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F4BC" w14:textId="77777777" w:rsidR="00CC0EE7" w:rsidRPr="00643D1D" w:rsidRDefault="00CC0EE7" w:rsidP="00CC0EE7">
      <w:pPr>
        <w:spacing w:after="0" w:line="240" w:lineRule="auto"/>
        <w:jc w:val="center"/>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00"/>
          <w:sz w:val="24"/>
          <w:szCs w:val="24"/>
          <w:lang w:eastAsia="lt-LT"/>
        </w:rPr>
        <w:t>NUMATOMO TEISINIO REGULIAVIMO POVEIKIO VERTINIMO PAŽYM</w:t>
      </w:r>
      <w:r w:rsidR="00063492" w:rsidRPr="00643D1D">
        <w:rPr>
          <w:rFonts w:ascii="Times New Roman" w:eastAsia="Times New Roman" w:hAnsi="Times New Roman" w:cs="Times New Roman"/>
          <w:b/>
          <w:bCs/>
          <w:color w:val="000000"/>
          <w:sz w:val="24"/>
          <w:szCs w:val="24"/>
          <w:lang w:eastAsia="lt-LT"/>
        </w:rPr>
        <w:t>A</w:t>
      </w:r>
    </w:p>
    <w:p w14:paraId="0B0FA6FE" w14:textId="77777777" w:rsidR="00CC0EE7" w:rsidRPr="00643D1D" w:rsidRDefault="00CC0EE7" w:rsidP="00CC0EE7">
      <w:pPr>
        <w:spacing w:after="0" w:line="240" w:lineRule="auto"/>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FF"/>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688"/>
      </w:tblGrid>
      <w:tr w:rsidR="00CC0EE7" w:rsidRPr="00643D1D" w14:paraId="1EBABDD8" w14:textId="77777777" w:rsidTr="00300F3D">
        <w:tc>
          <w:tcPr>
            <w:tcW w:w="2235" w:type="dxa"/>
            <w:shd w:val="clear" w:color="auto" w:fill="DBE5F1"/>
            <w:tcMar>
              <w:top w:w="0" w:type="dxa"/>
              <w:left w:w="108" w:type="dxa"/>
              <w:bottom w:w="0" w:type="dxa"/>
              <w:right w:w="108" w:type="dxa"/>
            </w:tcMar>
            <w:hideMark/>
          </w:tcPr>
          <w:p w14:paraId="728617D1" w14:textId="77777777" w:rsidR="00CC0EE7" w:rsidRPr="00643D1D" w:rsidRDefault="00256AAC" w:rsidP="00A96F58">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Teisės akto p</w:t>
            </w:r>
            <w:r w:rsidR="00CC0EE7" w:rsidRPr="00643D1D">
              <w:rPr>
                <w:rFonts w:ascii="Times New Roman" w:eastAsia="Times New Roman" w:hAnsi="Times New Roman" w:cs="Times New Roman"/>
                <w:b/>
                <w:bCs/>
                <w:sz w:val="24"/>
                <w:szCs w:val="24"/>
                <w:lang w:eastAsia="lt-LT"/>
              </w:rPr>
              <w:t>rojekto pavadinimas</w:t>
            </w:r>
          </w:p>
        </w:tc>
        <w:tc>
          <w:tcPr>
            <w:tcW w:w="7688" w:type="dxa"/>
            <w:shd w:val="clear" w:color="auto" w:fill="DBE5F1"/>
            <w:tcMar>
              <w:top w:w="0" w:type="dxa"/>
              <w:left w:w="108" w:type="dxa"/>
              <w:bottom w:w="0" w:type="dxa"/>
              <w:right w:w="108" w:type="dxa"/>
            </w:tcMar>
            <w:hideMark/>
          </w:tcPr>
          <w:p w14:paraId="424FA529" w14:textId="71CFE864" w:rsidR="00503D75" w:rsidRPr="00503D75" w:rsidRDefault="00503D75" w:rsidP="00503D75">
            <w:pPr>
              <w:overflowPunct w:val="0"/>
              <w:spacing w:after="0" w:line="240" w:lineRule="auto"/>
              <w:jc w:val="both"/>
              <w:textAlignment w:val="baseline"/>
              <w:rPr>
                <w:rFonts w:ascii="Times New Roman" w:hAnsi="Times New Roman" w:cs="Times New Roman"/>
                <w:color w:val="000000"/>
                <w:sz w:val="24"/>
                <w:szCs w:val="24"/>
              </w:rPr>
            </w:pPr>
            <w:r w:rsidRPr="00503D75">
              <w:rPr>
                <w:rFonts w:ascii="Times New Roman" w:hAnsi="Times New Roman" w:cs="Times New Roman"/>
                <w:sz w:val="24"/>
                <w:szCs w:val="24"/>
              </w:rPr>
              <w:t xml:space="preserve">Lietuvos Respublikos geležinkelių transporto kodekso </w:t>
            </w:r>
            <w:r w:rsidRPr="00503D75">
              <w:rPr>
                <w:rFonts w:ascii="Times New Roman" w:hAnsi="Times New Roman" w:cs="Times New Roman"/>
                <w:sz w:val="24"/>
                <w:szCs w:val="24"/>
                <w:lang w:eastAsia="lt-LT"/>
              </w:rPr>
              <w:t>3, 4, 4</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 7</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 10</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 12, 14, 17, 20, 21, 23, 24</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 25, 25</w:t>
            </w:r>
            <w:r w:rsidRPr="00503D75">
              <w:rPr>
                <w:rFonts w:ascii="Times New Roman" w:hAnsi="Times New Roman" w:cs="Times New Roman"/>
                <w:sz w:val="24"/>
                <w:szCs w:val="24"/>
                <w:vertAlign w:val="superscript"/>
                <w:lang w:eastAsia="lt-LT"/>
              </w:rPr>
              <w:t>2</w:t>
            </w:r>
            <w:r w:rsidRPr="00503D75">
              <w:rPr>
                <w:rFonts w:ascii="Times New Roman" w:hAnsi="Times New Roman" w:cs="Times New Roman"/>
                <w:sz w:val="24"/>
                <w:szCs w:val="24"/>
                <w:lang w:eastAsia="lt-LT"/>
              </w:rPr>
              <w:t>, 26, 28, 29, 29</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w:t>
            </w:r>
            <w:r w:rsidRPr="00503D75">
              <w:rPr>
                <w:rFonts w:ascii="Times New Roman" w:hAnsi="Times New Roman" w:cs="Times New Roman"/>
                <w:sz w:val="24"/>
                <w:szCs w:val="24"/>
              </w:rPr>
              <w:t xml:space="preserve"> 29</w:t>
            </w:r>
            <w:r w:rsidRPr="00503D75">
              <w:rPr>
                <w:rFonts w:ascii="Times New Roman" w:hAnsi="Times New Roman" w:cs="Times New Roman"/>
                <w:sz w:val="24"/>
                <w:szCs w:val="24"/>
                <w:vertAlign w:val="superscript"/>
              </w:rPr>
              <w:t>2</w:t>
            </w:r>
            <w:r w:rsidRPr="00503D75">
              <w:rPr>
                <w:rFonts w:ascii="Times New Roman" w:hAnsi="Times New Roman" w:cs="Times New Roman"/>
                <w:sz w:val="24"/>
                <w:szCs w:val="24"/>
              </w:rPr>
              <w:t>, 29</w:t>
            </w:r>
            <w:r w:rsidRPr="00503D75">
              <w:rPr>
                <w:rFonts w:ascii="Times New Roman" w:hAnsi="Times New Roman" w:cs="Times New Roman"/>
                <w:sz w:val="24"/>
                <w:szCs w:val="24"/>
                <w:vertAlign w:val="superscript"/>
              </w:rPr>
              <w:t>3</w:t>
            </w:r>
            <w:r w:rsidRPr="00503D75">
              <w:rPr>
                <w:rFonts w:ascii="Times New Roman" w:hAnsi="Times New Roman" w:cs="Times New Roman"/>
                <w:sz w:val="24"/>
                <w:szCs w:val="24"/>
              </w:rPr>
              <w:t>, 29</w:t>
            </w:r>
            <w:r w:rsidRPr="00503D75">
              <w:rPr>
                <w:rFonts w:ascii="Times New Roman" w:hAnsi="Times New Roman" w:cs="Times New Roman"/>
                <w:sz w:val="24"/>
                <w:szCs w:val="24"/>
                <w:vertAlign w:val="superscript"/>
              </w:rPr>
              <w:t>5</w:t>
            </w:r>
            <w:r w:rsidRPr="00503D75">
              <w:rPr>
                <w:rFonts w:ascii="Times New Roman" w:hAnsi="Times New Roman" w:cs="Times New Roman"/>
                <w:sz w:val="24"/>
                <w:szCs w:val="24"/>
              </w:rPr>
              <w:t xml:space="preserve">, </w:t>
            </w:r>
            <w:r w:rsidRPr="00503D75">
              <w:rPr>
                <w:rFonts w:ascii="Times New Roman" w:hAnsi="Times New Roman" w:cs="Times New Roman"/>
                <w:sz w:val="24"/>
                <w:szCs w:val="24"/>
                <w:lang w:eastAsia="lt-LT"/>
              </w:rPr>
              <w:t>29</w:t>
            </w:r>
            <w:r w:rsidRPr="00503D75">
              <w:rPr>
                <w:rFonts w:ascii="Times New Roman" w:hAnsi="Times New Roman" w:cs="Times New Roman"/>
                <w:sz w:val="24"/>
                <w:szCs w:val="24"/>
                <w:vertAlign w:val="superscript"/>
                <w:lang w:eastAsia="lt-LT"/>
              </w:rPr>
              <w:t>6</w:t>
            </w:r>
            <w:r w:rsidRPr="00503D75">
              <w:rPr>
                <w:rFonts w:ascii="Times New Roman" w:hAnsi="Times New Roman" w:cs="Times New Roman"/>
                <w:sz w:val="24"/>
                <w:szCs w:val="24"/>
                <w:lang w:eastAsia="lt-LT"/>
              </w:rPr>
              <w:t>, 29</w:t>
            </w:r>
            <w:r w:rsidRPr="00503D75">
              <w:rPr>
                <w:rFonts w:ascii="Times New Roman" w:hAnsi="Times New Roman" w:cs="Times New Roman"/>
                <w:sz w:val="24"/>
                <w:szCs w:val="24"/>
                <w:vertAlign w:val="superscript"/>
                <w:lang w:eastAsia="lt-LT"/>
              </w:rPr>
              <w:t>7</w:t>
            </w:r>
            <w:r w:rsidRPr="00503D75">
              <w:rPr>
                <w:rFonts w:ascii="Times New Roman" w:hAnsi="Times New Roman" w:cs="Times New Roman"/>
                <w:sz w:val="24"/>
                <w:szCs w:val="24"/>
                <w:lang w:eastAsia="lt-LT"/>
              </w:rPr>
              <w:t>, 29</w:t>
            </w:r>
            <w:r w:rsidRPr="00503D75">
              <w:rPr>
                <w:rFonts w:ascii="Times New Roman" w:hAnsi="Times New Roman" w:cs="Times New Roman"/>
                <w:sz w:val="24"/>
                <w:szCs w:val="24"/>
                <w:vertAlign w:val="superscript"/>
                <w:lang w:eastAsia="lt-LT"/>
              </w:rPr>
              <w:t>8</w:t>
            </w:r>
            <w:r w:rsidRPr="00503D75">
              <w:rPr>
                <w:rFonts w:ascii="Times New Roman" w:hAnsi="Times New Roman" w:cs="Times New Roman"/>
                <w:sz w:val="24"/>
                <w:szCs w:val="24"/>
                <w:lang w:eastAsia="lt-LT"/>
              </w:rPr>
              <w:t>, 30</w:t>
            </w:r>
            <w:r w:rsidRPr="00503D75">
              <w:rPr>
                <w:rFonts w:ascii="Times New Roman" w:hAnsi="Times New Roman" w:cs="Times New Roman"/>
                <w:sz w:val="24"/>
                <w:szCs w:val="24"/>
                <w:vertAlign w:val="superscript"/>
                <w:lang w:eastAsia="lt-LT"/>
              </w:rPr>
              <w:t>1</w:t>
            </w:r>
            <w:r w:rsidRPr="00503D75">
              <w:rPr>
                <w:rFonts w:ascii="Times New Roman" w:hAnsi="Times New Roman" w:cs="Times New Roman"/>
                <w:sz w:val="24"/>
                <w:szCs w:val="24"/>
                <w:lang w:eastAsia="lt-LT"/>
              </w:rPr>
              <w:t xml:space="preserve"> </w:t>
            </w:r>
            <w:r w:rsidRPr="00503D75">
              <w:rPr>
                <w:rFonts w:ascii="Times New Roman" w:hAnsi="Times New Roman" w:cs="Times New Roman"/>
                <w:sz w:val="24"/>
                <w:szCs w:val="24"/>
              </w:rPr>
              <w:t>ir 30</w:t>
            </w:r>
            <w:r w:rsidRPr="00503D75">
              <w:rPr>
                <w:rFonts w:ascii="Times New Roman" w:hAnsi="Times New Roman" w:cs="Times New Roman"/>
                <w:sz w:val="24"/>
                <w:szCs w:val="24"/>
                <w:vertAlign w:val="superscript"/>
              </w:rPr>
              <w:t>2</w:t>
            </w:r>
            <w:r w:rsidRPr="00503D75">
              <w:rPr>
                <w:rFonts w:ascii="Times New Roman" w:hAnsi="Times New Roman" w:cs="Times New Roman"/>
                <w:sz w:val="24"/>
                <w:szCs w:val="24"/>
              </w:rPr>
              <w:t xml:space="preserve"> straipsnių pakeitimo, Kodekso papildymo </w:t>
            </w:r>
            <w:r w:rsidRPr="00503D75">
              <w:rPr>
                <w:rFonts w:ascii="Times New Roman" w:hAnsi="Times New Roman" w:cs="Times New Roman"/>
                <w:sz w:val="24"/>
                <w:szCs w:val="24"/>
                <w:lang w:eastAsia="lt-LT"/>
              </w:rPr>
              <w:t>25</w:t>
            </w:r>
            <w:r w:rsidRPr="00503D75">
              <w:rPr>
                <w:rFonts w:ascii="Times New Roman" w:hAnsi="Times New Roman" w:cs="Times New Roman"/>
                <w:sz w:val="24"/>
                <w:szCs w:val="24"/>
                <w:vertAlign w:val="superscript"/>
                <w:lang w:eastAsia="lt-LT"/>
              </w:rPr>
              <w:t>3</w:t>
            </w:r>
            <w:r w:rsidRPr="00503D75">
              <w:rPr>
                <w:rFonts w:ascii="Times New Roman" w:hAnsi="Times New Roman" w:cs="Times New Roman"/>
                <w:sz w:val="24"/>
                <w:szCs w:val="24"/>
                <w:lang w:eastAsia="lt-LT"/>
              </w:rPr>
              <w:t xml:space="preserve">, </w:t>
            </w:r>
            <w:r w:rsidRPr="00503D75">
              <w:rPr>
                <w:rFonts w:ascii="Times New Roman" w:hAnsi="Times New Roman" w:cs="Times New Roman"/>
                <w:sz w:val="24"/>
                <w:szCs w:val="24"/>
              </w:rPr>
              <w:t>29</w:t>
            </w:r>
            <w:r w:rsidRPr="00503D75">
              <w:rPr>
                <w:rFonts w:ascii="Times New Roman" w:hAnsi="Times New Roman" w:cs="Times New Roman"/>
                <w:sz w:val="24"/>
                <w:szCs w:val="24"/>
                <w:vertAlign w:val="superscript"/>
              </w:rPr>
              <w:t>9</w:t>
            </w:r>
            <w:r w:rsidRPr="00503D75">
              <w:rPr>
                <w:rFonts w:ascii="Times New Roman" w:hAnsi="Times New Roman" w:cs="Times New Roman"/>
                <w:sz w:val="24"/>
                <w:szCs w:val="24"/>
              </w:rPr>
              <w:t xml:space="preserve"> ir 29</w:t>
            </w:r>
            <w:r w:rsidRPr="00503D75">
              <w:rPr>
                <w:rFonts w:ascii="Times New Roman" w:hAnsi="Times New Roman" w:cs="Times New Roman"/>
                <w:sz w:val="24"/>
                <w:szCs w:val="24"/>
                <w:vertAlign w:val="superscript"/>
              </w:rPr>
              <w:t>10</w:t>
            </w:r>
            <w:r w:rsidRPr="00503D75">
              <w:rPr>
                <w:rFonts w:ascii="Times New Roman" w:hAnsi="Times New Roman" w:cs="Times New Roman"/>
                <w:sz w:val="24"/>
                <w:szCs w:val="24"/>
              </w:rPr>
              <w:t xml:space="preserve"> straipsniais ir 25</w:t>
            </w:r>
            <w:r w:rsidRPr="00503D75">
              <w:rPr>
                <w:rFonts w:ascii="Times New Roman" w:hAnsi="Times New Roman" w:cs="Times New Roman"/>
                <w:sz w:val="24"/>
                <w:szCs w:val="24"/>
                <w:vertAlign w:val="superscript"/>
              </w:rPr>
              <w:t>1</w:t>
            </w:r>
            <w:r w:rsidRPr="00503D75">
              <w:rPr>
                <w:rFonts w:ascii="Times New Roman" w:hAnsi="Times New Roman" w:cs="Times New Roman"/>
                <w:sz w:val="24"/>
                <w:szCs w:val="24"/>
              </w:rPr>
              <w:t xml:space="preserve"> straipsnio pripažinimo netekusiu galios įstatymo </w:t>
            </w:r>
            <w:r w:rsidRPr="00503D75">
              <w:rPr>
                <w:rFonts w:ascii="Times New Roman" w:hAnsi="Times New Roman" w:cs="Times New Roman"/>
                <w:spacing w:val="-2"/>
                <w:sz w:val="24"/>
                <w:szCs w:val="24"/>
              </w:rPr>
              <w:t>projekt</w:t>
            </w:r>
            <w:r w:rsidR="009F7D9E">
              <w:rPr>
                <w:rFonts w:ascii="Times New Roman" w:hAnsi="Times New Roman" w:cs="Times New Roman"/>
                <w:spacing w:val="-2"/>
                <w:sz w:val="24"/>
                <w:szCs w:val="24"/>
              </w:rPr>
              <w:t>as</w:t>
            </w:r>
            <w:r w:rsidRPr="00503D75">
              <w:rPr>
                <w:rFonts w:ascii="Times New Roman" w:hAnsi="Times New Roman" w:cs="Times New Roman"/>
                <w:spacing w:val="-2"/>
                <w:sz w:val="24"/>
                <w:szCs w:val="24"/>
              </w:rPr>
              <w:t xml:space="preserve"> </w:t>
            </w:r>
            <w:r w:rsidRPr="00503D75">
              <w:rPr>
                <w:rFonts w:ascii="Times New Roman" w:hAnsi="Times New Roman" w:cs="Times New Roman"/>
                <w:sz w:val="24"/>
                <w:szCs w:val="24"/>
                <w:lang w:eastAsia="lt-LT"/>
              </w:rPr>
              <w:t xml:space="preserve">(toliau – </w:t>
            </w:r>
            <w:r w:rsidR="003F67E3">
              <w:rPr>
                <w:rFonts w:ascii="Times New Roman" w:hAnsi="Times New Roman" w:cs="Times New Roman"/>
                <w:sz w:val="24"/>
                <w:szCs w:val="24"/>
                <w:lang w:eastAsia="lt-LT"/>
              </w:rPr>
              <w:t>GTK pakeitimo į</w:t>
            </w:r>
            <w:r w:rsidRPr="00503D75">
              <w:rPr>
                <w:rFonts w:ascii="Times New Roman" w:hAnsi="Times New Roman" w:cs="Times New Roman"/>
                <w:sz w:val="24"/>
                <w:szCs w:val="24"/>
                <w:lang w:eastAsia="lt-LT"/>
              </w:rPr>
              <w:t>statymo projektas).</w:t>
            </w:r>
          </w:p>
          <w:p w14:paraId="1D4C99F3" w14:textId="0270F40F" w:rsidR="00CC0EE7" w:rsidRPr="00503D75" w:rsidRDefault="00CC0EE7" w:rsidP="00503D75">
            <w:pPr>
              <w:spacing w:after="0" w:line="240" w:lineRule="auto"/>
              <w:jc w:val="both"/>
              <w:rPr>
                <w:rFonts w:ascii="Times New Roman" w:eastAsia="Times New Roman" w:hAnsi="Times New Roman" w:cs="Times New Roman"/>
                <w:sz w:val="24"/>
                <w:szCs w:val="24"/>
                <w:lang w:eastAsia="lt-LT"/>
              </w:rPr>
            </w:pPr>
          </w:p>
        </w:tc>
      </w:tr>
    </w:tbl>
    <w:p w14:paraId="7D11D4A4" w14:textId="77777777" w:rsidR="00CC0EE7" w:rsidRPr="00602559"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688"/>
      </w:tblGrid>
      <w:tr w:rsidR="00CC0EE7" w:rsidRPr="00643D1D" w14:paraId="7A4B47BE" w14:textId="77777777" w:rsidTr="00300F3D">
        <w:tc>
          <w:tcPr>
            <w:tcW w:w="2235" w:type="dxa"/>
            <w:shd w:val="clear" w:color="auto" w:fill="DBE5F1"/>
            <w:tcMar>
              <w:top w:w="0" w:type="dxa"/>
              <w:left w:w="108" w:type="dxa"/>
              <w:bottom w:w="0" w:type="dxa"/>
              <w:right w:w="108" w:type="dxa"/>
            </w:tcMar>
            <w:hideMark/>
          </w:tcPr>
          <w:p w14:paraId="30179B3A" w14:textId="77777777" w:rsidR="00CC0EE7" w:rsidRPr="00643D1D" w:rsidRDefault="00256AAC"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Problema, kurią siekiama išspręsti</w:t>
            </w:r>
            <w:r w:rsidR="00CC0EE7" w:rsidRPr="00643D1D">
              <w:rPr>
                <w:rFonts w:ascii="Times New Roman" w:eastAsia="Times New Roman" w:hAnsi="Times New Roman" w:cs="Times New Roman"/>
                <w:b/>
                <w:bCs/>
                <w:sz w:val="24"/>
                <w:szCs w:val="24"/>
                <w:shd w:val="clear" w:color="auto" w:fill="DBE5F1"/>
                <w:lang w:eastAsia="lt-LT"/>
              </w:rPr>
              <w:t xml:space="preserve"> </w:t>
            </w:r>
          </w:p>
        </w:tc>
        <w:tc>
          <w:tcPr>
            <w:tcW w:w="7688" w:type="dxa"/>
            <w:shd w:val="clear" w:color="auto" w:fill="DBE5F1"/>
            <w:tcMar>
              <w:top w:w="0" w:type="dxa"/>
              <w:left w:w="108" w:type="dxa"/>
              <w:bottom w:w="0" w:type="dxa"/>
              <w:right w:w="108" w:type="dxa"/>
            </w:tcMar>
            <w:hideMark/>
          </w:tcPr>
          <w:p w14:paraId="1C54459A" w14:textId="272D96F3" w:rsidR="00D902A4" w:rsidRPr="00D902A4" w:rsidRDefault="00D902A4" w:rsidP="00D902A4">
            <w:pPr>
              <w:spacing w:after="0" w:line="240" w:lineRule="auto"/>
              <w:ind w:firstLine="637"/>
              <w:jc w:val="both"/>
              <w:textAlignment w:val="top"/>
              <w:rPr>
                <w:rFonts w:ascii="Times New Roman" w:eastAsia="Times New Roman" w:hAnsi="Times New Roman" w:cs="Times New Roman"/>
                <w:sz w:val="24"/>
                <w:szCs w:val="24"/>
              </w:rPr>
            </w:pPr>
            <w:r w:rsidRPr="009F7D49">
              <w:rPr>
                <w:rFonts w:ascii="Times New Roman" w:eastAsia="Times New Roman" w:hAnsi="Times New Roman" w:cs="Times New Roman"/>
                <w:sz w:val="24"/>
                <w:szCs w:val="24"/>
              </w:rPr>
              <w:t xml:space="preserve">Geležinkelio įmonės (vežėjo) ir geležinkelio riedmenų manevravimo paslaugas teikiančios įmonės privalomojo draudimo sumos </w:t>
            </w:r>
            <w:r>
              <w:rPr>
                <w:rFonts w:ascii="Times New Roman" w:eastAsia="Times New Roman" w:hAnsi="Times New Roman" w:cs="Times New Roman"/>
                <w:sz w:val="24"/>
                <w:szCs w:val="24"/>
              </w:rPr>
              <w:t xml:space="preserve">Lietuvos Respublikos geležinkelių transporto kodekse (toliau – </w:t>
            </w:r>
            <w:r w:rsidRPr="009F7D49">
              <w:rPr>
                <w:rFonts w:ascii="Times New Roman" w:eastAsia="Times New Roman" w:hAnsi="Times New Roman" w:cs="Times New Roman"/>
                <w:sz w:val="24"/>
                <w:szCs w:val="24"/>
              </w:rPr>
              <w:t>GTK</w:t>
            </w:r>
            <w:r>
              <w:rPr>
                <w:rFonts w:ascii="Times New Roman" w:eastAsia="Times New Roman" w:hAnsi="Times New Roman" w:cs="Times New Roman"/>
                <w:sz w:val="24"/>
                <w:szCs w:val="24"/>
              </w:rPr>
              <w:t>)</w:t>
            </w:r>
            <w:r w:rsidRPr="009F7D49">
              <w:rPr>
                <w:rFonts w:ascii="Times New Roman" w:eastAsia="Times New Roman" w:hAnsi="Times New Roman" w:cs="Times New Roman"/>
                <w:sz w:val="24"/>
                <w:szCs w:val="24"/>
              </w:rPr>
              <w:t xml:space="preserve"> buvo nustatytos 2013 m.</w:t>
            </w:r>
            <w:r w:rsidRPr="009F7D49">
              <w:rPr>
                <w:rFonts w:ascii="Times New Roman" w:hAnsi="Times New Roman" w:cs="Times New Roman"/>
                <w:color w:val="000000"/>
                <w:sz w:val="24"/>
                <w:szCs w:val="24"/>
              </w:rPr>
              <w:t xml:space="preserve"> ir nuo tada nebuvo keistos.</w:t>
            </w:r>
          </w:p>
          <w:p w14:paraId="67FEEE26" w14:textId="77777777" w:rsidR="00D902A4" w:rsidRPr="009F7D49" w:rsidRDefault="00D902A4" w:rsidP="00D902A4">
            <w:pPr>
              <w:spacing w:after="0" w:line="240" w:lineRule="auto"/>
              <w:ind w:firstLine="637"/>
              <w:jc w:val="both"/>
              <w:rPr>
                <w:rFonts w:ascii="Times New Roman" w:hAnsi="Times New Roman" w:cs="Times New Roman"/>
                <w:sz w:val="24"/>
                <w:szCs w:val="24"/>
              </w:rPr>
            </w:pPr>
            <w:r w:rsidRPr="009F7D49">
              <w:rPr>
                <w:rFonts w:ascii="Times New Roman" w:hAnsi="Times New Roman" w:cs="Times New Roman"/>
                <w:sz w:val="24"/>
                <w:szCs w:val="24"/>
              </w:rPr>
              <w:t xml:space="preserve">Įvertinus geležinkelio įmonės (vežėjo) veiklos teikiant keleivių, bagažo ir krovinių vežimo geležinkelių transportu paslaugas rizikingumą, GTK nustatytos draudimo sumos, t. y. </w:t>
            </w:r>
            <w:r w:rsidRPr="009F7D9E">
              <w:rPr>
                <w:rFonts w:ascii="Times New Roman" w:eastAsia="Times New Roman" w:hAnsi="Times New Roman" w:cs="Times New Roman"/>
                <w:iCs/>
                <w:sz w:val="24"/>
                <w:szCs w:val="24"/>
                <w:u w:val="single"/>
              </w:rPr>
              <w:t>290 000 Eur vienam draudžiamajam įvykiui ir 725 000 Eur visiems draudžiamiesiems įvykiams per metus</w:t>
            </w:r>
            <w:r w:rsidRPr="009F7D49">
              <w:rPr>
                <w:rFonts w:ascii="Times New Roman" w:hAnsi="Times New Roman" w:cs="Times New Roman"/>
                <w:sz w:val="24"/>
                <w:szCs w:val="24"/>
              </w:rPr>
              <w:t>, yra neadekvačios galimam žalos dydžiui, todėl abejotina, ar bus užtikrinta tinkama trečiųjų asmenų interesų apsauga, įvykus geležinkelių transporto eismo įvykiui, taigi, teisinio reguliavimo tikslai nebus pasiekti.</w:t>
            </w:r>
          </w:p>
          <w:p w14:paraId="3A031367" w14:textId="2484BFC7" w:rsidR="00D902A4" w:rsidRPr="00CA5B46" w:rsidRDefault="00D902A4" w:rsidP="00CA5B46">
            <w:pPr>
              <w:spacing w:after="0" w:line="240" w:lineRule="auto"/>
              <w:ind w:firstLine="637"/>
              <w:jc w:val="both"/>
              <w:rPr>
                <w:rFonts w:ascii="Times New Roman" w:hAnsi="Times New Roman" w:cs="Times New Roman"/>
                <w:sz w:val="24"/>
                <w:szCs w:val="24"/>
              </w:rPr>
            </w:pPr>
            <w:r w:rsidRPr="009F7D49">
              <w:rPr>
                <w:rFonts w:ascii="Times New Roman" w:hAnsi="Times New Roman" w:cs="Times New Roman"/>
                <w:sz w:val="24"/>
                <w:szCs w:val="24"/>
              </w:rPr>
              <w:t>Atkreiptinas dėmesys į tai, kad</w:t>
            </w:r>
            <w:r>
              <w:rPr>
                <w:rFonts w:ascii="Times New Roman" w:hAnsi="Times New Roman" w:cs="Times New Roman"/>
                <w:sz w:val="24"/>
                <w:szCs w:val="24"/>
              </w:rPr>
              <w:t>,</w:t>
            </w:r>
            <w:r w:rsidRPr="009F7D49">
              <w:rPr>
                <w:rFonts w:ascii="Times New Roman" w:hAnsi="Times New Roman" w:cs="Times New Roman"/>
                <w:sz w:val="24"/>
                <w:szCs w:val="24"/>
              </w:rPr>
              <w:t xml:space="preserve"> pavyzdžiui</w:t>
            </w:r>
            <w:r>
              <w:rPr>
                <w:rFonts w:ascii="Times New Roman" w:hAnsi="Times New Roman" w:cs="Times New Roman"/>
                <w:sz w:val="24"/>
                <w:szCs w:val="24"/>
              </w:rPr>
              <w:t>,</w:t>
            </w:r>
            <w:r w:rsidRPr="009F7D49">
              <w:rPr>
                <w:rFonts w:ascii="Times New Roman" w:hAnsi="Times New Roman" w:cs="Times New Roman"/>
                <w:sz w:val="24"/>
                <w:szCs w:val="24"/>
              </w:rPr>
              <w:t xml:space="preserve"> Lietuvos Respublikos transporto priemonių privalomojo civilinės atsakomybės draudimo įstatyme </w:t>
            </w:r>
            <w:r w:rsidR="00CA5B46">
              <w:rPr>
                <w:rFonts w:ascii="Times New Roman" w:hAnsi="Times New Roman" w:cs="Times New Roman"/>
                <w:sz w:val="24"/>
                <w:szCs w:val="24"/>
              </w:rPr>
              <w:t>(toliau –</w:t>
            </w:r>
            <w:r w:rsidR="00CA5B46" w:rsidRPr="00CA5B46">
              <w:rPr>
                <w:rFonts w:ascii="Times New Roman" w:hAnsi="Times New Roman" w:cs="Times New Roman"/>
                <w:sz w:val="24"/>
                <w:szCs w:val="24"/>
              </w:rPr>
              <w:t>TPCADĮ)</w:t>
            </w:r>
            <w:r w:rsidR="00CA5B46" w:rsidRPr="00224045">
              <w:rPr>
                <w:sz w:val="24"/>
                <w:szCs w:val="24"/>
              </w:rPr>
              <w:t xml:space="preserve"> </w:t>
            </w:r>
            <w:r w:rsidRPr="009F7D49">
              <w:rPr>
                <w:rFonts w:ascii="Times New Roman" w:hAnsi="Times New Roman" w:cs="Times New Roman"/>
                <w:sz w:val="24"/>
                <w:szCs w:val="24"/>
              </w:rPr>
              <w:t xml:space="preserve">sumos yra </w:t>
            </w:r>
            <w:r>
              <w:rPr>
                <w:rFonts w:ascii="Times New Roman" w:hAnsi="Times New Roman" w:cs="Times New Roman"/>
                <w:sz w:val="24"/>
                <w:szCs w:val="24"/>
              </w:rPr>
              <w:t>gerokai</w:t>
            </w:r>
            <w:r w:rsidRPr="009F7D49">
              <w:rPr>
                <w:rFonts w:ascii="Times New Roman" w:hAnsi="Times New Roman" w:cs="Times New Roman"/>
                <w:sz w:val="24"/>
                <w:szCs w:val="24"/>
              </w:rPr>
              <w:t xml:space="preserve"> didesnės, nors galimos žalos tretiesiems asmenims dydis yra mažesnis nei geležinkelių transporte, t. y. dėl vieno eismo įvykio Lietuvos Respublikos teritorijoje, nepaisant to, kiek yra nukentėjusių trečiųjų asmenų, </w:t>
            </w:r>
            <w:r>
              <w:rPr>
                <w:rFonts w:ascii="Times New Roman" w:hAnsi="Times New Roman" w:cs="Times New Roman"/>
                <w:sz w:val="24"/>
                <w:szCs w:val="24"/>
              </w:rPr>
              <w:t xml:space="preserve">draudimo suma </w:t>
            </w:r>
            <w:r w:rsidRPr="009F7D49">
              <w:rPr>
                <w:rFonts w:ascii="Times New Roman" w:hAnsi="Times New Roman" w:cs="Times New Roman"/>
                <w:sz w:val="24"/>
                <w:szCs w:val="24"/>
              </w:rPr>
              <w:t xml:space="preserve">yra </w:t>
            </w:r>
            <w:r w:rsidRPr="009F7D9E">
              <w:rPr>
                <w:rFonts w:ascii="Times New Roman" w:hAnsi="Times New Roman" w:cs="Times New Roman"/>
                <w:sz w:val="24"/>
                <w:szCs w:val="24"/>
                <w:u w:val="single"/>
              </w:rPr>
              <w:t>6 mln. Eur, t. y. 5 mln. Eur dėl žalos asmeniui (tarp jų 5 000 Eur dėl neturtinės žalos) ir 1 mln. eurų dėl žalos turtui</w:t>
            </w:r>
            <w:r w:rsidRPr="009F7D9E">
              <w:rPr>
                <w:u w:val="single"/>
              </w:rPr>
              <w:t>.</w:t>
            </w:r>
          </w:p>
          <w:p w14:paraId="230C29F7" w14:textId="77777777" w:rsidR="00D902A4" w:rsidRPr="009F7D49" w:rsidRDefault="00D902A4" w:rsidP="00D902A4">
            <w:pPr>
              <w:spacing w:after="0" w:line="240" w:lineRule="auto"/>
              <w:ind w:firstLine="637"/>
              <w:jc w:val="both"/>
              <w:rPr>
                <w:rFonts w:ascii="Times New Roman" w:hAnsi="Times New Roman" w:cs="Times New Roman"/>
                <w:sz w:val="24"/>
                <w:szCs w:val="24"/>
              </w:rPr>
            </w:pPr>
            <w:r w:rsidRPr="009F7D49">
              <w:rPr>
                <w:rFonts w:ascii="Times New Roman" w:hAnsi="Times New Roman" w:cs="Times New Roman"/>
                <w:sz w:val="24"/>
                <w:szCs w:val="24"/>
              </w:rPr>
              <w:t xml:space="preserve">Be to, daugumoje Europos Sąjungos valstybių geležinkelio įmonių (vežėjų) draudimo sumos yra </w:t>
            </w:r>
            <w:r>
              <w:rPr>
                <w:rFonts w:ascii="Times New Roman" w:hAnsi="Times New Roman" w:cs="Times New Roman"/>
                <w:sz w:val="24"/>
                <w:szCs w:val="24"/>
              </w:rPr>
              <w:t>gerokai</w:t>
            </w:r>
            <w:r w:rsidRPr="009F7D49">
              <w:rPr>
                <w:rFonts w:ascii="Times New Roman" w:hAnsi="Times New Roman" w:cs="Times New Roman"/>
                <w:sz w:val="24"/>
                <w:szCs w:val="24"/>
              </w:rPr>
              <w:t xml:space="preserve"> didesnės, pavyzdžiui, D</w:t>
            </w:r>
            <w:r>
              <w:rPr>
                <w:rFonts w:ascii="Times New Roman" w:hAnsi="Times New Roman" w:cs="Times New Roman"/>
                <w:sz w:val="24"/>
                <w:szCs w:val="24"/>
              </w:rPr>
              <w:t>idžiojoje</w:t>
            </w:r>
            <w:r w:rsidRPr="009F7D49">
              <w:rPr>
                <w:rFonts w:ascii="Times New Roman" w:hAnsi="Times New Roman" w:cs="Times New Roman"/>
                <w:sz w:val="24"/>
                <w:szCs w:val="24"/>
              </w:rPr>
              <w:t xml:space="preserve"> Britanij</w:t>
            </w:r>
            <w:r>
              <w:rPr>
                <w:rFonts w:ascii="Times New Roman" w:hAnsi="Times New Roman" w:cs="Times New Roman"/>
                <w:sz w:val="24"/>
                <w:szCs w:val="24"/>
              </w:rPr>
              <w:t>oje</w:t>
            </w:r>
            <w:r w:rsidRPr="009F7D49">
              <w:rPr>
                <w:rFonts w:ascii="Times New Roman" w:hAnsi="Times New Roman" w:cs="Times New Roman"/>
                <w:sz w:val="24"/>
                <w:szCs w:val="24"/>
              </w:rPr>
              <w:t xml:space="preserve"> (ne mažiau 155 mln. GBP), Olandij</w:t>
            </w:r>
            <w:r>
              <w:rPr>
                <w:rFonts w:ascii="Times New Roman" w:hAnsi="Times New Roman" w:cs="Times New Roman"/>
                <w:sz w:val="24"/>
                <w:szCs w:val="24"/>
              </w:rPr>
              <w:t>oje</w:t>
            </w:r>
            <w:r w:rsidRPr="009F7D49">
              <w:rPr>
                <w:rFonts w:ascii="Times New Roman" w:hAnsi="Times New Roman" w:cs="Times New Roman"/>
                <w:sz w:val="24"/>
                <w:szCs w:val="24"/>
              </w:rPr>
              <w:t>, Vokietij</w:t>
            </w:r>
            <w:r>
              <w:rPr>
                <w:rFonts w:ascii="Times New Roman" w:hAnsi="Times New Roman" w:cs="Times New Roman"/>
                <w:sz w:val="24"/>
                <w:szCs w:val="24"/>
              </w:rPr>
              <w:t>oje</w:t>
            </w:r>
            <w:r w:rsidRPr="009F7D49">
              <w:rPr>
                <w:rFonts w:ascii="Times New Roman" w:hAnsi="Times New Roman" w:cs="Times New Roman"/>
                <w:sz w:val="24"/>
                <w:szCs w:val="24"/>
              </w:rPr>
              <w:t>, Portugalij</w:t>
            </w:r>
            <w:r>
              <w:rPr>
                <w:rFonts w:ascii="Times New Roman" w:hAnsi="Times New Roman" w:cs="Times New Roman"/>
                <w:sz w:val="24"/>
                <w:szCs w:val="24"/>
              </w:rPr>
              <w:t>oje</w:t>
            </w:r>
            <w:r w:rsidRPr="009F7D49">
              <w:rPr>
                <w:rFonts w:ascii="Times New Roman" w:hAnsi="Times New Roman" w:cs="Times New Roman"/>
                <w:sz w:val="24"/>
                <w:szCs w:val="24"/>
              </w:rPr>
              <w:t>, Slovėnij</w:t>
            </w:r>
            <w:r>
              <w:rPr>
                <w:rFonts w:ascii="Times New Roman" w:hAnsi="Times New Roman" w:cs="Times New Roman"/>
                <w:sz w:val="24"/>
                <w:szCs w:val="24"/>
              </w:rPr>
              <w:t>oje</w:t>
            </w:r>
            <w:r w:rsidRPr="009F7D49">
              <w:rPr>
                <w:rFonts w:ascii="Times New Roman" w:hAnsi="Times New Roman" w:cs="Times New Roman"/>
                <w:sz w:val="24"/>
                <w:szCs w:val="24"/>
              </w:rPr>
              <w:t xml:space="preserve"> (ne mažiau </w:t>
            </w:r>
            <w:r>
              <w:rPr>
                <w:rFonts w:ascii="Times New Roman" w:hAnsi="Times New Roman" w:cs="Times New Roman"/>
                <w:sz w:val="24"/>
                <w:szCs w:val="24"/>
              </w:rPr>
              <w:t xml:space="preserve">kaip </w:t>
            </w:r>
            <w:r w:rsidRPr="009F7D49">
              <w:rPr>
                <w:rFonts w:ascii="Times New Roman" w:hAnsi="Times New Roman" w:cs="Times New Roman"/>
                <w:sz w:val="24"/>
                <w:szCs w:val="24"/>
              </w:rPr>
              <w:t xml:space="preserve">10 mln. </w:t>
            </w:r>
            <w:r>
              <w:rPr>
                <w:rFonts w:ascii="Times New Roman" w:hAnsi="Times New Roman" w:cs="Times New Roman"/>
                <w:sz w:val="24"/>
                <w:szCs w:val="24"/>
              </w:rPr>
              <w:t>Eur</w:t>
            </w:r>
            <w:r w:rsidRPr="009F7D49">
              <w:rPr>
                <w:rFonts w:ascii="Times New Roman" w:hAnsi="Times New Roman" w:cs="Times New Roman"/>
                <w:sz w:val="24"/>
                <w:szCs w:val="24"/>
              </w:rPr>
              <w:t>), Danij</w:t>
            </w:r>
            <w:r>
              <w:rPr>
                <w:rFonts w:ascii="Times New Roman" w:hAnsi="Times New Roman" w:cs="Times New Roman"/>
                <w:sz w:val="24"/>
                <w:szCs w:val="24"/>
              </w:rPr>
              <w:t>oje</w:t>
            </w:r>
            <w:r w:rsidRPr="009F7D49">
              <w:rPr>
                <w:rFonts w:ascii="Times New Roman" w:hAnsi="Times New Roman" w:cs="Times New Roman"/>
                <w:sz w:val="24"/>
                <w:szCs w:val="24"/>
              </w:rPr>
              <w:t xml:space="preserve"> (ne mažiau </w:t>
            </w:r>
            <w:r>
              <w:rPr>
                <w:rFonts w:ascii="Times New Roman" w:hAnsi="Times New Roman" w:cs="Times New Roman"/>
                <w:sz w:val="24"/>
                <w:szCs w:val="24"/>
              </w:rPr>
              <w:t xml:space="preserve">kaip </w:t>
            </w:r>
            <w:r w:rsidRPr="009F7D49">
              <w:rPr>
                <w:rFonts w:ascii="Times New Roman" w:hAnsi="Times New Roman" w:cs="Times New Roman"/>
                <w:sz w:val="24"/>
                <w:szCs w:val="24"/>
              </w:rPr>
              <w:t xml:space="preserve">50 mln. </w:t>
            </w:r>
            <w:r>
              <w:rPr>
                <w:rFonts w:ascii="Times New Roman" w:hAnsi="Times New Roman" w:cs="Times New Roman"/>
                <w:sz w:val="24"/>
                <w:szCs w:val="24"/>
              </w:rPr>
              <w:t>Eur</w:t>
            </w:r>
            <w:r w:rsidRPr="009F7D49">
              <w:rPr>
                <w:rFonts w:ascii="Times New Roman" w:hAnsi="Times New Roman" w:cs="Times New Roman"/>
                <w:sz w:val="24"/>
                <w:szCs w:val="24"/>
              </w:rPr>
              <w:t xml:space="preserve">).  </w:t>
            </w:r>
          </w:p>
          <w:p w14:paraId="14AADF75" w14:textId="4B411F22" w:rsidR="00CC0EE7" w:rsidRPr="00643D1D" w:rsidRDefault="00CC0EE7" w:rsidP="00256AAC">
            <w:pPr>
              <w:spacing w:after="0" w:line="240" w:lineRule="auto"/>
              <w:ind w:firstLine="354"/>
              <w:jc w:val="both"/>
              <w:rPr>
                <w:rFonts w:ascii="Times New Roman" w:eastAsia="Times New Roman" w:hAnsi="Times New Roman" w:cs="Times New Roman"/>
                <w:sz w:val="24"/>
                <w:szCs w:val="24"/>
                <w:lang w:eastAsia="lt-LT"/>
              </w:rPr>
            </w:pPr>
          </w:p>
        </w:tc>
      </w:tr>
    </w:tbl>
    <w:p w14:paraId="350C45BA"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688"/>
      </w:tblGrid>
      <w:tr w:rsidR="00BF1394" w:rsidRPr="00643D1D" w14:paraId="18C28EAF" w14:textId="77777777" w:rsidTr="00300F3D">
        <w:tc>
          <w:tcPr>
            <w:tcW w:w="2235" w:type="dxa"/>
            <w:shd w:val="clear" w:color="auto" w:fill="DBE5F1"/>
            <w:tcMar>
              <w:top w:w="0" w:type="dxa"/>
              <w:left w:w="108" w:type="dxa"/>
              <w:bottom w:w="0" w:type="dxa"/>
              <w:right w:w="108" w:type="dxa"/>
            </w:tcMar>
            <w:hideMark/>
          </w:tcPr>
          <w:p w14:paraId="32DBB43B" w14:textId="77777777" w:rsidR="00BF1394" w:rsidRPr="00643D1D" w:rsidRDefault="00BF1394"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Problemos mastas ir priežastys </w:t>
            </w:r>
          </w:p>
        </w:tc>
        <w:tc>
          <w:tcPr>
            <w:tcW w:w="7688" w:type="dxa"/>
            <w:shd w:val="clear" w:color="auto" w:fill="DBE5F1"/>
            <w:tcMar>
              <w:top w:w="0" w:type="dxa"/>
              <w:left w:w="108" w:type="dxa"/>
              <w:bottom w:w="0" w:type="dxa"/>
              <w:right w:w="108" w:type="dxa"/>
            </w:tcMar>
            <w:hideMark/>
          </w:tcPr>
          <w:p w14:paraId="4B79907D" w14:textId="5D1877CF" w:rsidR="00D902A4" w:rsidRDefault="00D902A4" w:rsidP="007824DF">
            <w:pPr>
              <w:spacing w:after="0" w:line="240" w:lineRule="auto"/>
              <w:ind w:firstLine="354"/>
              <w:jc w:val="both"/>
              <w:rPr>
                <w:color w:val="000000"/>
              </w:rPr>
            </w:pPr>
            <w:r>
              <w:rPr>
                <w:rFonts w:ascii="Times New Roman" w:eastAsia="Times New Roman" w:hAnsi="Times New Roman" w:cs="Times New Roman"/>
                <w:sz w:val="24"/>
                <w:szCs w:val="24"/>
                <w:lang w:eastAsia="lt-LT"/>
              </w:rPr>
              <w:t xml:space="preserve">Reikalavimas geležinkelio įmonei (vežėjui) apsidrausti privalomuoju civilinės </w:t>
            </w:r>
            <w:r w:rsidRPr="00D902A4">
              <w:rPr>
                <w:rFonts w:ascii="Times New Roman" w:eastAsia="Times New Roman" w:hAnsi="Times New Roman" w:cs="Times New Roman"/>
                <w:sz w:val="24"/>
                <w:szCs w:val="24"/>
                <w:lang w:eastAsia="lt-LT"/>
              </w:rPr>
              <w:t>atsakomybės draudimu yra būtina geležinkelio įmonės (vežėjo) veiklos Europos Sąjungos geležinkelių tinkle sąlyga</w:t>
            </w:r>
            <w:r w:rsidR="00A73E09">
              <w:rPr>
                <w:rFonts w:ascii="Times New Roman" w:eastAsia="Times New Roman" w:hAnsi="Times New Roman" w:cs="Times New Roman"/>
                <w:sz w:val="24"/>
                <w:szCs w:val="24"/>
                <w:lang w:eastAsia="lt-LT"/>
              </w:rPr>
              <w:t>.</w:t>
            </w:r>
          </w:p>
          <w:p w14:paraId="5787F060" w14:textId="70116D51" w:rsidR="00A73E09" w:rsidRPr="00A73E09" w:rsidRDefault="00A73E09" w:rsidP="00A73E09">
            <w:pPr>
              <w:spacing w:after="0" w:line="240" w:lineRule="auto"/>
              <w:ind w:firstLine="354"/>
              <w:jc w:val="both"/>
              <w:rPr>
                <w:rFonts w:ascii="Times New Roman" w:hAnsi="Times New Roman" w:cs="Times New Roman"/>
                <w:sz w:val="24"/>
                <w:szCs w:val="24"/>
              </w:rPr>
            </w:pPr>
            <w:r w:rsidRPr="00A73E09">
              <w:rPr>
                <w:rFonts w:ascii="Times New Roman" w:hAnsi="Times New Roman" w:cs="Times New Roman"/>
                <w:sz w:val="24"/>
                <w:szCs w:val="24"/>
              </w:rPr>
              <w:t>Į</w:t>
            </w:r>
            <w:r w:rsidRPr="00A73E09">
              <w:rPr>
                <w:rFonts w:ascii="Times New Roman" w:hAnsi="Times New Roman" w:cs="Times New Roman"/>
                <w:sz w:val="24"/>
                <w:szCs w:val="24"/>
              </w:rPr>
              <w:t>vertinus geležinkelio įmonės (vežėjo) veiklos teikiant keleivių, bagažo ir krovinių vežimo  geležinkelių transportu paslaugas rizikingumą</w:t>
            </w:r>
            <w:r w:rsidRPr="00A73E09">
              <w:rPr>
                <w:rFonts w:ascii="Times New Roman" w:hAnsi="Times New Roman" w:cs="Times New Roman"/>
                <w:iCs/>
                <w:sz w:val="24"/>
                <w:szCs w:val="24"/>
              </w:rPr>
              <w:t>, GTK 10</w:t>
            </w:r>
            <w:r w:rsidRPr="00A73E09">
              <w:rPr>
                <w:rFonts w:ascii="Times New Roman" w:hAnsi="Times New Roman" w:cs="Times New Roman"/>
                <w:iCs/>
                <w:sz w:val="24"/>
                <w:szCs w:val="24"/>
                <w:vertAlign w:val="superscript"/>
              </w:rPr>
              <w:t>1</w:t>
            </w:r>
            <w:r w:rsidRPr="00A73E09">
              <w:rPr>
                <w:rFonts w:ascii="Times New Roman" w:hAnsi="Times New Roman" w:cs="Times New Roman"/>
                <w:iCs/>
                <w:sz w:val="24"/>
                <w:szCs w:val="24"/>
              </w:rPr>
              <w:t xml:space="preserve"> straipsnio 2 ir 3 dalyse nustatytos minimalios draudimo sumos, draudžiant geležinkelio įmonę (vežėją) – 290 tūkst. eurų vienam draudžiamajam įvykiui ir 725 tūkst. eurų visiems draudžiamiesiems įvykiams per metus, o draudžiant remonto įmonę – </w:t>
            </w:r>
            <w:r w:rsidRPr="00A73E09">
              <w:rPr>
                <w:rFonts w:ascii="Times New Roman" w:hAnsi="Times New Roman" w:cs="Times New Roman"/>
                <w:sz w:val="24"/>
                <w:szCs w:val="24"/>
              </w:rPr>
              <w:t>58 tūkst. eurų vienam draudžiamajam įvykiui ir 145 tūkst. eurų visiems draudžiamiesiems įvykiams per metus, yra neproporcingos galimam žalos, kuri įvykus draudžiamajam įvykiui, turėtų būti atlyginta trečiajam asmeniui, dydžiui, taigi neužtikrina, kad įvykus draudžiamajam įvykiui būtų užtikrintas žalos atlyginamas tretiesiems asmenims, nekeliant rizikos tolimesniam geležinkelio įmonės (vežėjo) ir remonto įmonės veiklos tęstinumui.</w:t>
            </w:r>
          </w:p>
          <w:p w14:paraId="319E1619" w14:textId="299264EA" w:rsidR="00BF1394" w:rsidRPr="00643D1D" w:rsidRDefault="00BF1394" w:rsidP="007824DF">
            <w:pPr>
              <w:spacing w:after="0" w:line="240" w:lineRule="auto"/>
              <w:ind w:firstLine="354"/>
              <w:jc w:val="both"/>
              <w:rPr>
                <w:rFonts w:ascii="Times New Roman" w:eastAsia="Times New Roman" w:hAnsi="Times New Roman" w:cs="Times New Roman"/>
                <w:sz w:val="24"/>
                <w:szCs w:val="24"/>
                <w:lang w:eastAsia="lt-LT"/>
              </w:rPr>
            </w:pPr>
          </w:p>
        </w:tc>
      </w:tr>
    </w:tbl>
    <w:p w14:paraId="7AE87BA1"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AE4E9E" w:rsidRPr="00643D1D" w14:paraId="3C50CEA7" w14:textId="77777777" w:rsidTr="00300F3D">
        <w:tc>
          <w:tcPr>
            <w:tcW w:w="2235" w:type="dxa"/>
            <w:shd w:val="clear" w:color="auto" w:fill="DBE5F1"/>
            <w:tcMar>
              <w:top w:w="0" w:type="dxa"/>
              <w:left w:w="108" w:type="dxa"/>
              <w:bottom w:w="0" w:type="dxa"/>
              <w:right w:w="108" w:type="dxa"/>
            </w:tcMar>
            <w:hideMark/>
          </w:tcPr>
          <w:p w14:paraId="43DBC833"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Rezultatas, kuriuo tikimasi priėmus teisės aktą </w:t>
            </w:r>
          </w:p>
        </w:tc>
        <w:tc>
          <w:tcPr>
            <w:tcW w:w="7688" w:type="dxa"/>
            <w:shd w:val="clear" w:color="auto" w:fill="DBE5F1"/>
            <w:tcMar>
              <w:top w:w="0" w:type="dxa"/>
              <w:left w:w="108" w:type="dxa"/>
              <w:bottom w:w="0" w:type="dxa"/>
              <w:right w:w="108" w:type="dxa"/>
            </w:tcMar>
            <w:hideMark/>
          </w:tcPr>
          <w:p w14:paraId="619C17FA" w14:textId="61FAED74" w:rsidR="00AE4E9E" w:rsidRPr="00643D1D" w:rsidRDefault="00D902A4" w:rsidP="007824DF">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Sudarytos sąlygos užt</w:t>
            </w:r>
            <w:r w:rsidR="00A73E09">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krinti </w:t>
            </w:r>
            <w:r w:rsidRPr="00D902A4">
              <w:rPr>
                <w:rFonts w:ascii="Times New Roman" w:eastAsia="Times New Roman" w:hAnsi="Times New Roman" w:cs="Times New Roman"/>
                <w:sz w:val="24"/>
                <w:szCs w:val="24"/>
                <w:lang w:eastAsia="lt-LT"/>
              </w:rPr>
              <w:t>tinkam</w:t>
            </w:r>
            <w:r w:rsidR="00A73E09">
              <w:rPr>
                <w:rFonts w:ascii="Times New Roman" w:eastAsia="Times New Roman" w:hAnsi="Times New Roman" w:cs="Times New Roman"/>
                <w:sz w:val="24"/>
                <w:szCs w:val="24"/>
                <w:lang w:eastAsia="lt-LT"/>
              </w:rPr>
              <w:t>ą</w:t>
            </w:r>
            <w:r w:rsidRPr="00D902A4">
              <w:rPr>
                <w:rFonts w:ascii="Times New Roman" w:hAnsi="Times New Roman" w:cs="Times New Roman"/>
                <w:sz w:val="24"/>
                <w:szCs w:val="24"/>
              </w:rPr>
              <w:t xml:space="preserve"> žalos, atsiradusios trečiajam asmeniui dėl geležinkelio įmonės (vežėjo) veiklos, atlyginim</w:t>
            </w:r>
            <w:r w:rsidR="00A73E09">
              <w:rPr>
                <w:rFonts w:ascii="Times New Roman" w:hAnsi="Times New Roman" w:cs="Times New Roman"/>
                <w:sz w:val="24"/>
                <w:szCs w:val="24"/>
              </w:rPr>
              <w:t>ą</w:t>
            </w:r>
            <w:r w:rsidRPr="00D902A4">
              <w:rPr>
                <w:rFonts w:ascii="Times New Roman" w:hAnsi="Times New Roman" w:cs="Times New Roman"/>
                <w:sz w:val="24"/>
                <w:szCs w:val="24"/>
              </w:rPr>
              <w:t xml:space="preserve"> ir</w:t>
            </w:r>
            <w:r w:rsidRPr="00D902A4">
              <w:rPr>
                <w:rFonts w:ascii="Times New Roman" w:hAnsi="Times New Roman" w:cs="Times New Roman"/>
                <w:color w:val="000000"/>
                <w:sz w:val="24"/>
                <w:szCs w:val="24"/>
              </w:rPr>
              <w:t xml:space="preserve"> geležinkelio įmonės (vežėjo) veiklos, įvykus draudžiamajam įvykiui, tęstinum</w:t>
            </w:r>
            <w:r w:rsidR="00A73E09">
              <w:rPr>
                <w:rFonts w:ascii="Times New Roman" w:hAnsi="Times New Roman" w:cs="Times New Roman"/>
                <w:color w:val="000000"/>
                <w:sz w:val="24"/>
                <w:szCs w:val="24"/>
              </w:rPr>
              <w:t>ą</w:t>
            </w:r>
            <w:r w:rsidR="003F67E3">
              <w:rPr>
                <w:rFonts w:ascii="Times New Roman" w:hAnsi="Times New Roman" w:cs="Times New Roman"/>
                <w:color w:val="000000"/>
                <w:sz w:val="24"/>
                <w:szCs w:val="24"/>
              </w:rPr>
              <w:t>, geležinkelio įmonės (vežėjo)</w:t>
            </w:r>
            <w:r w:rsidR="00D352C2">
              <w:rPr>
                <w:rFonts w:ascii="Times New Roman" w:hAnsi="Times New Roman" w:cs="Times New Roman"/>
                <w:color w:val="000000"/>
                <w:sz w:val="24"/>
                <w:szCs w:val="24"/>
              </w:rPr>
              <w:t>, geležinkelio transporto paslaugų teikimo</w:t>
            </w:r>
            <w:r w:rsidR="003F67E3">
              <w:rPr>
                <w:rFonts w:ascii="Times New Roman" w:hAnsi="Times New Roman" w:cs="Times New Roman"/>
                <w:color w:val="000000"/>
                <w:sz w:val="24"/>
                <w:szCs w:val="24"/>
              </w:rPr>
              <w:t xml:space="preserve"> patikimumą.</w:t>
            </w:r>
          </w:p>
        </w:tc>
      </w:tr>
    </w:tbl>
    <w:p w14:paraId="0314A7AD"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AE4E9E" w:rsidRPr="00643D1D" w14:paraId="21616B6C" w14:textId="77777777" w:rsidTr="00300F3D">
        <w:tc>
          <w:tcPr>
            <w:tcW w:w="2235" w:type="dxa"/>
            <w:shd w:val="clear" w:color="auto" w:fill="DBE5F1"/>
            <w:tcMar>
              <w:top w:w="0" w:type="dxa"/>
              <w:left w:w="108" w:type="dxa"/>
              <w:bottom w:w="0" w:type="dxa"/>
              <w:right w:w="108" w:type="dxa"/>
            </w:tcMar>
            <w:hideMark/>
          </w:tcPr>
          <w:p w14:paraId="4A714481"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Problemai spręsti svarstytos alternatyvos </w:t>
            </w:r>
          </w:p>
        </w:tc>
        <w:tc>
          <w:tcPr>
            <w:tcW w:w="7688" w:type="dxa"/>
            <w:shd w:val="clear" w:color="auto" w:fill="DBE5F1"/>
            <w:tcMar>
              <w:top w:w="0" w:type="dxa"/>
              <w:left w:w="108" w:type="dxa"/>
              <w:bottom w:w="0" w:type="dxa"/>
              <w:right w:w="108" w:type="dxa"/>
            </w:tcMar>
            <w:hideMark/>
          </w:tcPr>
          <w:p w14:paraId="765DEC98" w14:textId="77777777" w:rsidR="00AE4E9E" w:rsidRPr="00026913" w:rsidRDefault="00AE4E9E" w:rsidP="00026913">
            <w:pPr>
              <w:spacing w:after="0" w:line="240" w:lineRule="auto"/>
              <w:ind w:firstLine="352"/>
              <w:jc w:val="both"/>
              <w:rPr>
                <w:rFonts w:ascii="Times New Roman" w:eastAsia="Times New Roman" w:hAnsi="Times New Roman" w:cs="Times New Roman"/>
                <w:sz w:val="24"/>
                <w:szCs w:val="24"/>
                <w:lang w:eastAsia="lt-LT"/>
              </w:rPr>
            </w:pPr>
            <w:r w:rsidRPr="00026913">
              <w:rPr>
                <w:rFonts w:ascii="Times New Roman" w:eastAsia="Times New Roman" w:hAnsi="Times New Roman" w:cs="Times New Roman"/>
                <w:sz w:val="24"/>
                <w:szCs w:val="24"/>
                <w:lang w:eastAsia="lt-LT"/>
              </w:rPr>
              <w:t xml:space="preserve">Problemai spręsti svarstytos 3 alternatyvos: </w:t>
            </w:r>
          </w:p>
          <w:p w14:paraId="54095BD1" w14:textId="3A5C1164" w:rsidR="00026913" w:rsidRPr="00026913" w:rsidRDefault="00AE4E9E" w:rsidP="00026913">
            <w:pPr>
              <w:autoSpaceDE w:val="0"/>
              <w:autoSpaceDN w:val="0"/>
              <w:adjustRightInd w:val="0"/>
              <w:spacing w:after="0" w:line="240" w:lineRule="auto"/>
              <w:ind w:firstLine="352"/>
              <w:jc w:val="both"/>
              <w:rPr>
                <w:rFonts w:ascii="Times New Roman" w:eastAsia="Times New Roman" w:hAnsi="Times New Roman" w:cs="Times New Roman"/>
                <w:sz w:val="24"/>
                <w:szCs w:val="24"/>
                <w:lang w:eastAsia="lt-LT"/>
              </w:rPr>
            </w:pPr>
            <w:r w:rsidRPr="00026913">
              <w:rPr>
                <w:rFonts w:ascii="Times New Roman" w:eastAsia="Times New Roman" w:hAnsi="Times New Roman" w:cs="Times New Roman"/>
                <w:b/>
                <w:bCs/>
                <w:sz w:val="24"/>
                <w:szCs w:val="24"/>
                <w:lang w:eastAsia="lt-LT"/>
              </w:rPr>
              <w:t>I alternatyva</w:t>
            </w:r>
            <w:r w:rsidRPr="00026913">
              <w:rPr>
                <w:rFonts w:ascii="Times New Roman" w:eastAsia="Times New Roman" w:hAnsi="Times New Roman" w:cs="Times New Roman"/>
                <w:sz w:val="24"/>
                <w:szCs w:val="24"/>
                <w:lang w:eastAsia="lt-LT"/>
              </w:rPr>
              <w:t xml:space="preserve"> </w:t>
            </w:r>
            <w:r w:rsidRPr="00026913">
              <w:rPr>
                <w:rFonts w:ascii="Times New Roman" w:eastAsia="Times New Roman" w:hAnsi="Times New Roman" w:cs="Times New Roman"/>
                <w:b/>
                <w:bCs/>
                <w:sz w:val="24"/>
                <w:szCs w:val="24"/>
                <w:lang w:eastAsia="lt-LT"/>
              </w:rPr>
              <w:t>(status quo). Nekeisti esamo teisinio reguliavimo</w:t>
            </w:r>
            <w:r w:rsidR="00930D96" w:rsidRPr="00026913">
              <w:rPr>
                <w:rFonts w:ascii="Times New Roman" w:eastAsia="Times New Roman" w:hAnsi="Times New Roman" w:cs="Times New Roman"/>
                <w:sz w:val="24"/>
                <w:szCs w:val="24"/>
                <w:lang w:eastAsia="lt-LT"/>
              </w:rPr>
              <w:t>.</w:t>
            </w:r>
            <w:r w:rsidR="00A73E09" w:rsidRPr="00026913">
              <w:rPr>
                <w:rFonts w:ascii="Times New Roman" w:eastAsia="Times New Roman" w:hAnsi="Times New Roman" w:cs="Times New Roman"/>
                <w:sz w:val="24"/>
                <w:szCs w:val="24"/>
                <w:lang w:eastAsia="lt-LT"/>
              </w:rPr>
              <w:t xml:space="preserve"> </w:t>
            </w:r>
          </w:p>
          <w:p w14:paraId="1A4C0C64" w14:textId="6006A30A" w:rsidR="00026913" w:rsidRPr="00026913" w:rsidRDefault="003F67E3" w:rsidP="00026913">
            <w:pPr>
              <w:autoSpaceDE w:val="0"/>
              <w:autoSpaceDN w:val="0"/>
              <w:adjustRightInd w:val="0"/>
              <w:spacing w:after="0" w:line="240" w:lineRule="auto"/>
              <w:ind w:firstLine="352"/>
              <w:jc w:val="both"/>
              <w:rPr>
                <w:rFonts w:ascii="Times New Roman" w:hAnsi="Times New Roman" w:cs="Times New Roman"/>
                <w:sz w:val="24"/>
                <w:szCs w:val="24"/>
              </w:rPr>
            </w:pPr>
            <w:r>
              <w:rPr>
                <w:rFonts w:ascii="Times New Roman" w:hAnsi="Times New Roman" w:cs="Times New Roman"/>
                <w:color w:val="000000"/>
                <w:sz w:val="24"/>
                <w:szCs w:val="24"/>
              </w:rPr>
              <w:t>Pagal galiojantį reguliavimą, j</w:t>
            </w:r>
            <w:r w:rsidR="00026913" w:rsidRPr="00026913">
              <w:rPr>
                <w:rFonts w:ascii="Times New Roman" w:hAnsi="Times New Roman" w:cs="Times New Roman"/>
                <w:color w:val="000000"/>
                <w:sz w:val="24"/>
                <w:szCs w:val="24"/>
              </w:rPr>
              <w:t xml:space="preserve">eigu dėl minimaliai geležinkelio įmonės (vežėjo) veiklą apsidraudusios geležinkelio įmonės (vežėjo) kaltės vieno </w:t>
            </w:r>
            <w:r w:rsidR="00026913" w:rsidRPr="00026913">
              <w:rPr>
                <w:rFonts w:ascii="Times New Roman" w:hAnsi="Times New Roman" w:cs="Times New Roman"/>
                <w:color w:val="000000"/>
                <w:sz w:val="24"/>
                <w:szCs w:val="24"/>
              </w:rPr>
              <w:lastRenderedPageBreak/>
              <w:t xml:space="preserve">įvykio metu atsirastų žala keleiviams, kitiems tretiesiems asmenims, įvertinus kokio dydžio žalą keleiviui gali tekti atlyginti, draudiko maksimali  visiems tretiesiems asmenims išmokėtina draudimo išmoka siektų </w:t>
            </w:r>
            <w:r w:rsidR="00026913" w:rsidRPr="00026913">
              <w:rPr>
                <w:rFonts w:ascii="Times New Roman" w:hAnsi="Times New Roman" w:cs="Times New Roman"/>
                <w:iCs/>
                <w:sz w:val="24"/>
                <w:szCs w:val="24"/>
              </w:rPr>
              <w:t xml:space="preserve">290 tūkst. eurų, o likusią sumą tretiesiems asmenims turėtų išmokėti geležinkelio įmonė (vežėjas). Taigi, nors draudimo </w:t>
            </w:r>
            <w:r w:rsidR="00026913" w:rsidRPr="00026913">
              <w:rPr>
                <w:rFonts w:ascii="Times New Roman" w:hAnsi="Times New Roman" w:cs="Times New Roman"/>
                <w:sz w:val="24"/>
                <w:szCs w:val="24"/>
              </w:rPr>
              <w:t xml:space="preserve">objektas yra geležinkelio įmonės (vežėjo) turtiniai interesai, susiję su geležinkelio įmonės (vežėjo) civiline atsakomybe trečiajam asmeniui už žalą, atsiradusią dėl geležinkelio įmonės (vežėjo) vykdomos veiklos pasekmių,  </w:t>
            </w:r>
            <w:r w:rsidR="00026913" w:rsidRPr="00026913">
              <w:rPr>
                <w:rFonts w:ascii="Times New Roman" w:hAnsi="Times New Roman" w:cs="Times New Roman"/>
                <w:iCs/>
                <w:sz w:val="24"/>
                <w:szCs w:val="24"/>
              </w:rPr>
              <w:t>įvykus dideliam geležinkelių transporto eismo įvykiui, kurio metu žūva ar sužalojama daugiau nei vienas asmuo, sugadinama geležinkelių infrastruktūra (geležinkelio bėgiai, signalizacijos, telekomunikacijos įrenginiai ir pan.)</w:t>
            </w:r>
            <w:r w:rsidR="009F7D9E">
              <w:rPr>
                <w:rFonts w:ascii="Times New Roman" w:hAnsi="Times New Roman" w:cs="Times New Roman"/>
                <w:iCs/>
                <w:sz w:val="24"/>
                <w:szCs w:val="24"/>
              </w:rPr>
              <w:t xml:space="preserve"> ar kitos geležinkelio įmonės (vežėjo) geležinkelių riedmenys</w:t>
            </w:r>
            <w:r w:rsidR="00026913" w:rsidRPr="00026913">
              <w:rPr>
                <w:rFonts w:ascii="Times New Roman" w:hAnsi="Times New Roman" w:cs="Times New Roman"/>
                <w:iCs/>
                <w:sz w:val="24"/>
                <w:szCs w:val="24"/>
              </w:rPr>
              <w:t xml:space="preserve">, teisinio reguliavimo tikslai nebūtų pasiekti, nes įvykus dideliam geležinkelių transporto eismo įvykiui ir draudikui atlyginus tretiesiems asmenims žalą, neviršijant minimalios draudimo sumos, vadovaujantis Lietuvos Respublikos civilinio kodekso 6.254 straipsnio 2 dalimi draudimo atlyginimo ir faktinės žalos dydžio skirtumą turėtų atlyginti apdraustasis asmuo, atsakingas už žalos padarymą, taigi, kiltų </w:t>
            </w:r>
            <w:r w:rsidR="009F7D9E">
              <w:rPr>
                <w:rFonts w:ascii="Times New Roman" w:hAnsi="Times New Roman" w:cs="Times New Roman"/>
                <w:iCs/>
                <w:sz w:val="24"/>
                <w:szCs w:val="24"/>
              </w:rPr>
              <w:t xml:space="preserve">atsakingos </w:t>
            </w:r>
            <w:r w:rsidR="00026913" w:rsidRPr="00026913">
              <w:rPr>
                <w:rFonts w:ascii="Times New Roman" w:hAnsi="Times New Roman" w:cs="Times New Roman"/>
                <w:iCs/>
                <w:sz w:val="24"/>
                <w:szCs w:val="24"/>
              </w:rPr>
              <w:t>geležinkelio įmonės (vežėjo) bankroto rizika.</w:t>
            </w:r>
          </w:p>
          <w:p w14:paraId="0C4A6AFF" w14:textId="384DEF9F" w:rsidR="00930D96" w:rsidRPr="003F67E3" w:rsidRDefault="00026913" w:rsidP="003F67E3">
            <w:pPr>
              <w:spacing w:after="0" w:line="240" w:lineRule="auto"/>
              <w:ind w:firstLine="637"/>
              <w:jc w:val="both"/>
              <w:rPr>
                <w:rFonts w:ascii="Times New Roman" w:hAnsi="Times New Roman" w:cs="Times New Roman"/>
                <w:sz w:val="24"/>
                <w:szCs w:val="24"/>
              </w:rPr>
            </w:pPr>
            <w:proofErr w:type="spellStart"/>
            <w:r w:rsidRPr="00026913">
              <w:rPr>
                <w:rFonts w:ascii="Times New Roman" w:eastAsia="Times New Roman" w:hAnsi="Times New Roman" w:cs="Times New Roman"/>
                <w:iCs/>
                <w:sz w:val="24"/>
                <w:szCs w:val="24"/>
              </w:rPr>
              <w:t>Atsižvelgiant</w:t>
            </w:r>
            <w:proofErr w:type="spellEnd"/>
            <w:r w:rsidRPr="00026913">
              <w:rPr>
                <w:rFonts w:ascii="Times New Roman" w:eastAsia="Times New Roman" w:hAnsi="Times New Roman" w:cs="Times New Roman"/>
                <w:iCs/>
                <w:sz w:val="24"/>
                <w:szCs w:val="24"/>
              </w:rPr>
              <w:t xml:space="preserve"> į tai, </w:t>
            </w:r>
            <w:proofErr w:type="spellStart"/>
            <w:r w:rsidRPr="00026913">
              <w:rPr>
                <w:rFonts w:ascii="Times New Roman" w:eastAsia="Times New Roman" w:hAnsi="Times New Roman" w:cs="Times New Roman"/>
                <w:iCs/>
                <w:sz w:val="24"/>
                <w:szCs w:val="24"/>
              </w:rPr>
              <w:t>nepadidinus</w:t>
            </w:r>
            <w:proofErr w:type="spellEnd"/>
            <w:r w:rsidRPr="00026913">
              <w:rPr>
                <w:rFonts w:ascii="Times New Roman" w:eastAsia="Times New Roman" w:hAnsi="Times New Roman" w:cs="Times New Roman"/>
                <w:iCs/>
                <w:sz w:val="24"/>
                <w:szCs w:val="24"/>
              </w:rPr>
              <w:t xml:space="preserve"> </w:t>
            </w:r>
            <w:proofErr w:type="spellStart"/>
            <w:r w:rsidRPr="00026913">
              <w:rPr>
                <w:rFonts w:ascii="Times New Roman" w:eastAsia="Times New Roman" w:hAnsi="Times New Roman" w:cs="Times New Roman"/>
                <w:iCs/>
                <w:sz w:val="24"/>
                <w:szCs w:val="24"/>
              </w:rPr>
              <w:t>minimalių</w:t>
            </w:r>
            <w:proofErr w:type="spellEnd"/>
            <w:r w:rsidRPr="00026913">
              <w:rPr>
                <w:rFonts w:ascii="Times New Roman" w:eastAsia="Times New Roman" w:hAnsi="Times New Roman" w:cs="Times New Roman"/>
                <w:iCs/>
                <w:sz w:val="24"/>
                <w:szCs w:val="24"/>
              </w:rPr>
              <w:t xml:space="preserve"> </w:t>
            </w:r>
            <w:proofErr w:type="spellStart"/>
            <w:r w:rsidRPr="00026913">
              <w:rPr>
                <w:rFonts w:ascii="Times New Roman" w:eastAsia="Times New Roman" w:hAnsi="Times New Roman" w:cs="Times New Roman"/>
                <w:iCs/>
                <w:sz w:val="24"/>
                <w:szCs w:val="24"/>
              </w:rPr>
              <w:t>privalomojo</w:t>
            </w:r>
            <w:proofErr w:type="spellEnd"/>
            <w:r w:rsidRPr="00026913">
              <w:rPr>
                <w:rFonts w:ascii="Times New Roman" w:eastAsia="Times New Roman" w:hAnsi="Times New Roman" w:cs="Times New Roman"/>
                <w:iCs/>
                <w:sz w:val="24"/>
                <w:szCs w:val="24"/>
              </w:rPr>
              <w:t xml:space="preserve"> </w:t>
            </w:r>
            <w:proofErr w:type="spellStart"/>
            <w:r w:rsidRPr="00026913">
              <w:rPr>
                <w:rFonts w:ascii="Times New Roman" w:eastAsia="Times New Roman" w:hAnsi="Times New Roman" w:cs="Times New Roman"/>
                <w:iCs/>
                <w:sz w:val="24"/>
                <w:szCs w:val="24"/>
              </w:rPr>
              <w:t>civilinės</w:t>
            </w:r>
            <w:proofErr w:type="spellEnd"/>
            <w:r w:rsidRPr="00026913">
              <w:rPr>
                <w:rFonts w:ascii="Times New Roman" w:eastAsia="Times New Roman" w:hAnsi="Times New Roman" w:cs="Times New Roman"/>
                <w:iCs/>
                <w:sz w:val="24"/>
                <w:szCs w:val="24"/>
              </w:rPr>
              <w:t xml:space="preserve"> atsakomybės draudimo sumų, nebus </w:t>
            </w:r>
            <w:r w:rsidRPr="00026913">
              <w:rPr>
                <w:rFonts w:ascii="Times New Roman" w:hAnsi="Times New Roman" w:cs="Times New Roman"/>
                <w:iCs/>
                <w:sz w:val="24"/>
                <w:szCs w:val="24"/>
              </w:rPr>
              <w:t>užtikrint</w:t>
            </w:r>
            <w:r w:rsidRPr="00026913">
              <w:rPr>
                <w:rFonts w:ascii="Times New Roman" w:hAnsi="Times New Roman" w:cs="Times New Roman"/>
                <w:iCs/>
                <w:sz w:val="24"/>
                <w:szCs w:val="24"/>
              </w:rPr>
              <w:t>as</w:t>
            </w:r>
            <w:r w:rsidRPr="00026913">
              <w:rPr>
                <w:rFonts w:ascii="Times New Roman" w:hAnsi="Times New Roman" w:cs="Times New Roman"/>
                <w:iCs/>
                <w:sz w:val="24"/>
                <w:szCs w:val="24"/>
              </w:rPr>
              <w:t xml:space="preserve"> geležinkelio įmonių (vežėjų) veiklos patikimum</w:t>
            </w:r>
            <w:r w:rsidRPr="00026913">
              <w:rPr>
                <w:rFonts w:ascii="Times New Roman" w:hAnsi="Times New Roman" w:cs="Times New Roman"/>
                <w:iCs/>
                <w:sz w:val="24"/>
                <w:szCs w:val="24"/>
              </w:rPr>
              <w:t xml:space="preserve">as ir tinkamas </w:t>
            </w:r>
            <w:r w:rsidRPr="00026913">
              <w:rPr>
                <w:rFonts w:ascii="Times New Roman" w:hAnsi="Times New Roman" w:cs="Times New Roman"/>
                <w:sz w:val="24"/>
                <w:szCs w:val="24"/>
              </w:rPr>
              <w:t>Direktyvos 2012/34/ES</w:t>
            </w:r>
            <w:r w:rsidRPr="00026913">
              <w:rPr>
                <w:rStyle w:val="Puslapioinaosnuoroda"/>
                <w:rFonts w:ascii="Times New Roman" w:hAnsi="Times New Roman" w:cs="Times New Roman"/>
                <w:sz w:val="24"/>
                <w:szCs w:val="24"/>
              </w:rPr>
              <w:footnoteReference w:id="1"/>
            </w:r>
            <w:r w:rsidRPr="00026913">
              <w:rPr>
                <w:rFonts w:ascii="Times New Roman" w:hAnsi="Times New Roman" w:cs="Times New Roman"/>
                <w:sz w:val="24"/>
                <w:szCs w:val="24"/>
              </w:rPr>
              <w:t xml:space="preserve"> 22 straipsnyje Europos Sąjungos valstybėms narėms nustatyt</w:t>
            </w:r>
            <w:r w:rsidRPr="00026913">
              <w:rPr>
                <w:rFonts w:ascii="Times New Roman" w:hAnsi="Times New Roman" w:cs="Times New Roman"/>
                <w:sz w:val="24"/>
                <w:szCs w:val="24"/>
              </w:rPr>
              <w:t>os</w:t>
            </w:r>
            <w:r w:rsidRPr="00026913">
              <w:rPr>
                <w:rFonts w:ascii="Times New Roman" w:hAnsi="Times New Roman" w:cs="Times New Roman"/>
                <w:sz w:val="24"/>
                <w:szCs w:val="24"/>
              </w:rPr>
              <w:t xml:space="preserve"> pareig</w:t>
            </w:r>
            <w:r w:rsidRPr="00026913">
              <w:rPr>
                <w:rFonts w:ascii="Times New Roman" w:hAnsi="Times New Roman" w:cs="Times New Roman"/>
                <w:sz w:val="24"/>
                <w:szCs w:val="24"/>
              </w:rPr>
              <w:t>os</w:t>
            </w:r>
            <w:r w:rsidRPr="00026913">
              <w:rPr>
                <w:rFonts w:ascii="Times New Roman" w:hAnsi="Times New Roman" w:cs="Times New Roman"/>
                <w:sz w:val="24"/>
                <w:szCs w:val="24"/>
              </w:rPr>
              <w:t xml:space="preserve"> užtikrinti, kad</w:t>
            </w:r>
            <w:r w:rsidRPr="00026913">
              <w:rPr>
                <w:rFonts w:ascii="Times New Roman" w:hAnsi="Times New Roman" w:cs="Times New Roman"/>
                <w:i/>
                <w:sz w:val="24"/>
                <w:szCs w:val="24"/>
              </w:rPr>
              <w:t xml:space="preserve"> ,,geležinkelio įmonės civilinė atsakomybė būtų pagal nacionalinės ir tarptautinės teisės aktus tinkamai apdraudžiama</w:t>
            </w:r>
            <w:r w:rsidRPr="00026913">
              <w:rPr>
                <w:rFonts w:ascii="Times New Roman" w:hAnsi="Times New Roman" w:cs="Times New Roman"/>
                <w:sz w:val="24"/>
                <w:szCs w:val="24"/>
              </w:rPr>
              <w:t>“</w:t>
            </w:r>
            <w:r w:rsidR="003F67E3">
              <w:rPr>
                <w:rFonts w:ascii="Times New Roman" w:hAnsi="Times New Roman" w:cs="Times New Roman"/>
                <w:sz w:val="24"/>
                <w:szCs w:val="24"/>
              </w:rPr>
              <w:t xml:space="preserve"> </w:t>
            </w:r>
            <w:r w:rsidR="003F67E3" w:rsidRPr="003F67E3">
              <w:rPr>
                <w:rFonts w:ascii="Times New Roman" w:hAnsi="Times New Roman" w:cs="Times New Roman"/>
                <w:sz w:val="24"/>
                <w:szCs w:val="24"/>
              </w:rPr>
              <w:t>įgyvendinimas</w:t>
            </w:r>
            <w:r w:rsidR="00930D96" w:rsidRPr="003F67E3">
              <w:rPr>
                <w:rFonts w:ascii="Times New Roman" w:eastAsia="Times New Roman" w:hAnsi="Times New Roman" w:cs="Times New Roman"/>
                <w:sz w:val="24"/>
                <w:szCs w:val="24"/>
                <w:lang w:eastAsia="lt-LT"/>
              </w:rPr>
              <w:t>, todėl ši alternatyva nėra tinkama.</w:t>
            </w:r>
          </w:p>
          <w:p w14:paraId="3B488030" w14:textId="78BC8C6B" w:rsidR="00930D96" w:rsidRPr="00CA5B46" w:rsidRDefault="00930D96" w:rsidP="004F75D3">
            <w:pPr>
              <w:spacing w:after="0" w:line="240" w:lineRule="auto"/>
              <w:ind w:firstLine="495"/>
              <w:jc w:val="both"/>
              <w:rPr>
                <w:rFonts w:ascii="Times New Roman" w:eastAsia="Times New Roman" w:hAnsi="Times New Roman" w:cs="Times New Roman"/>
                <w:sz w:val="24"/>
                <w:szCs w:val="24"/>
                <w:lang w:eastAsia="lt-LT"/>
              </w:rPr>
            </w:pPr>
            <w:r w:rsidRPr="00CA5B46">
              <w:rPr>
                <w:rFonts w:ascii="Times New Roman" w:eastAsia="Times New Roman" w:hAnsi="Times New Roman" w:cs="Times New Roman"/>
                <w:b/>
                <w:bCs/>
                <w:sz w:val="24"/>
                <w:szCs w:val="24"/>
                <w:lang w:eastAsia="lt-LT"/>
              </w:rPr>
              <w:t xml:space="preserve">II alternatyva. </w:t>
            </w:r>
            <w:r w:rsidR="00DF6514" w:rsidRPr="00CA5B46">
              <w:rPr>
                <w:rFonts w:ascii="Times New Roman" w:eastAsia="Times New Roman" w:hAnsi="Times New Roman" w:cs="Times New Roman"/>
                <w:b/>
                <w:bCs/>
                <w:sz w:val="24"/>
                <w:szCs w:val="24"/>
                <w:lang w:eastAsia="lt-LT"/>
              </w:rPr>
              <w:t>Tobulinti teisinį reglamentavimą</w:t>
            </w:r>
            <w:r w:rsidR="00CA5B46" w:rsidRPr="00CA5B46">
              <w:rPr>
                <w:rFonts w:ascii="Times New Roman" w:eastAsia="Times New Roman" w:hAnsi="Times New Roman" w:cs="Times New Roman"/>
                <w:b/>
                <w:bCs/>
                <w:sz w:val="24"/>
                <w:szCs w:val="24"/>
                <w:lang w:eastAsia="lt-LT"/>
              </w:rPr>
              <w:t>, didinant minimalias privalomojo civilinės atsakomybės draudimo sumas</w:t>
            </w:r>
            <w:r w:rsidR="003E7B34" w:rsidRPr="00CA5B46">
              <w:rPr>
                <w:rFonts w:ascii="Times New Roman" w:eastAsia="Times New Roman" w:hAnsi="Times New Roman" w:cs="Times New Roman"/>
                <w:b/>
                <w:bCs/>
                <w:sz w:val="24"/>
                <w:szCs w:val="24"/>
                <w:lang w:eastAsia="lt-LT"/>
              </w:rPr>
              <w:t xml:space="preserve"> </w:t>
            </w:r>
            <w:r w:rsidR="003E7B34" w:rsidRPr="00CA5B46">
              <w:rPr>
                <w:rFonts w:ascii="Times New Roman" w:eastAsia="Times New Roman" w:hAnsi="Times New Roman" w:cs="Times New Roman"/>
                <w:sz w:val="24"/>
                <w:szCs w:val="24"/>
                <w:lang w:eastAsia="lt-LT"/>
              </w:rPr>
              <w:t xml:space="preserve">(priimti </w:t>
            </w:r>
            <w:r w:rsidR="003F67E3" w:rsidRPr="00CA5B46">
              <w:rPr>
                <w:rFonts w:ascii="Times New Roman" w:eastAsia="Times New Roman" w:hAnsi="Times New Roman" w:cs="Times New Roman"/>
                <w:sz w:val="24"/>
                <w:szCs w:val="24"/>
                <w:lang w:eastAsia="lt-LT"/>
              </w:rPr>
              <w:t>GTK pakeitimo į</w:t>
            </w:r>
            <w:r w:rsidR="003E7B34" w:rsidRPr="00CA5B46">
              <w:rPr>
                <w:rFonts w:ascii="Times New Roman" w:eastAsia="Times New Roman" w:hAnsi="Times New Roman" w:cs="Times New Roman"/>
                <w:sz w:val="24"/>
                <w:szCs w:val="24"/>
                <w:lang w:eastAsia="lt-LT"/>
              </w:rPr>
              <w:t>statymą)</w:t>
            </w:r>
            <w:r w:rsidR="00DF6514" w:rsidRPr="00CA5B46">
              <w:rPr>
                <w:rFonts w:ascii="Times New Roman" w:eastAsia="Times New Roman" w:hAnsi="Times New Roman" w:cs="Times New Roman"/>
                <w:sz w:val="24"/>
                <w:szCs w:val="24"/>
                <w:lang w:eastAsia="lt-LT"/>
              </w:rPr>
              <w:t xml:space="preserve">. </w:t>
            </w:r>
          </w:p>
          <w:p w14:paraId="355B129E" w14:textId="0E6A5A21" w:rsidR="00CA5B46" w:rsidRPr="00CA5B46" w:rsidRDefault="004F75D3" w:rsidP="00CA5B46">
            <w:pPr>
              <w:spacing w:after="0" w:line="240" w:lineRule="auto"/>
              <w:jc w:val="both"/>
              <w:rPr>
                <w:rFonts w:ascii="Times New Roman" w:hAnsi="Times New Roman" w:cs="Times New Roman"/>
                <w:bCs/>
                <w:sz w:val="24"/>
                <w:szCs w:val="24"/>
              </w:rPr>
            </w:pPr>
            <w:r w:rsidRPr="004F75D3">
              <w:rPr>
                <w:sz w:val="24"/>
                <w:szCs w:val="24"/>
              </w:rPr>
              <w:t xml:space="preserve">    </w:t>
            </w:r>
            <w:r>
              <w:rPr>
                <w:sz w:val="24"/>
                <w:szCs w:val="24"/>
              </w:rPr>
              <w:t xml:space="preserve">     </w:t>
            </w:r>
            <w:r w:rsidR="00CA5B46" w:rsidRPr="00CA5B46">
              <w:rPr>
                <w:rFonts w:ascii="Times New Roman" w:hAnsi="Times New Roman" w:cs="Times New Roman"/>
                <w:bCs/>
                <w:sz w:val="24"/>
                <w:szCs w:val="24"/>
              </w:rPr>
              <w:t>GTK pakeitimo įstatymo projektu siūlomi pakeitimai dėl laipsniško minimalių draudimo sumų padidinimo nuo    202</w:t>
            </w:r>
            <w:r w:rsidR="00CA5B46" w:rsidRPr="00CA5B46">
              <w:rPr>
                <w:rFonts w:ascii="Times New Roman" w:hAnsi="Times New Roman" w:cs="Times New Roman"/>
                <w:bCs/>
                <w:sz w:val="24"/>
                <w:szCs w:val="24"/>
                <w:lang w:val="en-US"/>
              </w:rPr>
              <w:t>2</w:t>
            </w:r>
            <w:r w:rsidR="00CA5B46" w:rsidRPr="00CA5B46">
              <w:rPr>
                <w:rFonts w:ascii="Times New Roman" w:hAnsi="Times New Roman" w:cs="Times New Roman"/>
                <w:bCs/>
                <w:sz w:val="24"/>
                <w:szCs w:val="24"/>
              </w:rPr>
              <w:t xml:space="preserve"> m. sausio 1 d. – </w:t>
            </w:r>
            <w:r w:rsidR="00CA5B46" w:rsidRPr="009F7D9E">
              <w:rPr>
                <w:rFonts w:ascii="Times New Roman" w:hAnsi="Times New Roman" w:cs="Times New Roman"/>
                <w:bCs/>
                <w:sz w:val="24"/>
                <w:szCs w:val="24"/>
                <w:u w:val="single"/>
              </w:rPr>
              <w:t>500 tūkst. eurų dėl  vienam draudžiamajam įvykiui  ir 2 mln.  eurų visiems draudžiamiesiems įvykiams per metus</w:t>
            </w:r>
            <w:r w:rsidR="00CA5B46" w:rsidRPr="009F7D9E">
              <w:rPr>
                <w:rFonts w:ascii="Times New Roman" w:hAnsi="Times New Roman" w:cs="Times New Roman"/>
                <w:bCs/>
                <w:color w:val="000000"/>
                <w:sz w:val="24"/>
                <w:szCs w:val="24"/>
                <w:u w:val="single"/>
              </w:rPr>
              <w:t>, o</w:t>
            </w:r>
            <w:r w:rsidR="00CA5B46" w:rsidRPr="009F7D9E">
              <w:rPr>
                <w:rFonts w:ascii="Times New Roman" w:hAnsi="Times New Roman" w:cs="Times New Roman"/>
                <w:bCs/>
                <w:sz w:val="24"/>
                <w:szCs w:val="24"/>
                <w:u w:val="single"/>
              </w:rPr>
              <w:t xml:space="preserve"> nuo 202</w:t>
            </w:r>
            <w:r w:rsidR="00CA5B46" w:rsidRPr="009F7D9E">
              <w:rPr>
                <w:rFonts w:ascii="Times New Roman" w:hAnsi="Times New Roman" w:cs="Times New Roman"/>
                <w:bCs/>
                <w:sz w:val="24"/>
                <w:szCs w:val="24"/>
                <w:u w:val="single"/>
              </w:rPr>
              <w:t>7</w:t>
            </w:r>
            <w:r w:rsidR="00CA5B46" w:rsidRPr="009F7D9E">
              <w:rPr>
                <w:rFonts w:ascii="Times New Roman" w:hAnsi="Times New Roman" w:cs="Times New Roman"/>
                <w:bCs/>
                <w:sz w:val="24"/>
                <w:szCs w:val="24"/>
                <w:u w:val="single"/>
              </w:rPr>
              <w:t xml:space="preserve"> m. sausio 1 d.  –  1 mln. eurų vienam draudžiamajam įvykiui</w:t>
            </w:r>
            <w:r w:rsidR="00CA5B46" w:rsidRPr="009F7D9E">
              <w:rPr>
                <w:rFonts w:ascii="Times New Roman" w:hAnsi="Times New Roman" w:cs="Times New Roman"/>
                <w:sz w:val="24"/>
                <w:szCs w:val="24"/>
                <w:u w:val="single"/>
              </w:rPr>
              <w:t xml:space="preserve"> ir 5 mln. eurų visiems draudžiamiesiems įvykiams per metus</w:t>
            </w:r>
            <w:r w:rsidR="00CA5B46" w:rsidRPr="009F7D9E">
              <w:rPr>
                <w:rFonts w:ascii="Times New Roman" w:hAnsi="Times New Roman" w:cs="Times New Roman"/>
                <w:color w:val="000000"/>
                <w:sz w:val="24"/>
                <w:szCs w:val="24"/>
                <w:u w:val="single"/>
              </w:rPr>
              <w:t>,</w:t>
            </w:r>
            <w:r w:rsidR="00CA5B46" w:rsidRPr="00CA5B46">
              <w:rPr>
                <w:rFonts w:ascii="Times New Roman" w:hAnsi="Times New Roman" w:cs="Times New Roman"/>
                <w:color w:val="000000"/>
                <w:sz w:val="24"/>
                <w:szCs w:val="24"/>
              </w:rPr>
              <w:t xml:space="preserve"> laikytini būtina,</w:t>
            </w:r>
            <w:r w:rsidR="00CA5B46" w:rsidRPr="00CA5B46">
              <w:rPr>
                <w:rFonts w:ascii="Times New Roman" w:hAnsi="Times New Roman" w:cs="Times New Roman"/>
                <w:bCs/>
                <w:sz w:val="24"/>
                <w:szCs w:val="24"/>
              </w:rPr>
              <w:t xml:space="preserve"> pagrįsta ir proporcinga priemone siekiant užtikrinti tinkamą geležinkelio įmonių (vežėjų), remonto įmonių ir trečiųjų asmenų teisėtų interesų apsaugą.</w:t>
            </w:r>
          </w:p>
          <w:p w14:paraId="64C4FCB0" w14:textId="7DFD8B3D" w:rsidR="00DB7902" w:rsidRPr="00643D1D" w:rsidRDefault="00DB7902" w:rsidP="00DB7902">
            <w:pPr>
              <w:pStyle w:val="Default"/>
              <w:ind w:firstLine="354"/>
              <w:jc w:val="both"/>
              <w:rPr>
                <w:rFonts w:eastAsia="Times New Roman"/>
                <w:color w:val="auto"/>
                <w:lang w:val="lt-LT" w:eastAsia="lt-LT"/>
              </w:rPr>
            </w:pPr>
            <w:r w:rsidRPr="00643D1D">
              <w:rPr>
                <w:lang w:val="lt-LT"/>
              </w:rPr>
              <w:t xml:space="preserve">Šios </w:t>
            </w:r>
            <w:r w:rsidRPr="00643D1D">
              <w:rPr>
                <w:b/>
                <w:bCs/>
                <w:lang w:val="lt-LT"/>
              </w:rPr>
              <w:t xml:space="preserve">alternatyvos privalumai – </w:t>
            </w:r>
            <w:r w:rsidR="004F75D3" w:rsidRPr="004F75D3">
              <w:rPr>
                <w:lang w:val="lt-LT"/>
              </w:rPr>
              <w:t xml:space="preserve">padidinus minimalią </w:t>
            </w:r>
            <w:r w:rsidR="004F75D3">
              <w:rPr>
                <w:lang w:val="lt-LT"/>
              </w:rPr>
              <w:t xml:space="preserve">geležinkelio įmonės (vežėjo) </w:t>
            </w:r>
            <w:r w:rsidR="004F75D3" w:rsidRPr="004F75D3">
              <w:rPr>
                <w:lang w:val="lt-LT"/>
              </w:rPr>
              <w:t>privalomojo civilinės atsakomybės draudimo sumą</w:t>
            </w:r>
            <w:r w:rsidR="004F75D3">
              <w:rPr>
                <w:lang w:val="lt-LT"/>
              </w:rPr>
              <w:t xml:space="preserve"> padidėja </w:t>
            </w:r>
            <w:proofErr w:type="spellStart"/>
            <w:r w:rsidR="004F75D3" w:rsidRPr="00026913">
              <w:t>draudiko</w:t>
            </w:r>
            <w:proofErr w:type="spellEnd"/>
            <w:r w:rsidR="004F75D3" w:rsidRPr="00026913">
              <w:t xml:space="preserve"> </w:t>
            </w:r>
            <w:proofErr w:type="spellStart"/>
            <w:r w:rsidR="004F75D3" w:rsidRPr="00026913">
              <w:t>maksimali</w:t>
            </w:r>
            <w:proofErr w:type="spellEnd"/>
            <w:r w:rsidR="004F75D3" w:rsidRPr="00026913">
              <w:t xml:space="preserve">  </w:t>
            </w:r>
            <w:proofErr w:type="spellStart"/>
            <w:r w:rsidR="004F75D3" w:rsidRPr="00026913">
              <w:t>visiems</w:t>
            </w:r>
            <w:proofErr w:type="spellEnd"/>
            <w:r w:rsidR="004F75D3" w:rsidRPr="00026913">
              <w:t xml:space="preserve"> </w:t>
            </w:r>
            <w:proofErr w:type="spellStart"/>
            <w:r w:rsidR="004F75D3" w:rsidRPr="00026913">
              <w:t>tretiesiems</w:t>
            </w:r>
            <w:proofErr w:type="spellEnd"/>
            <w:r w:rsidR="004F75D3" w:rsidRPr="00026913">
              <w:t xml:space="preserve"> </w:t>
            </w:r>
            <w:proofErr w:type="spellStart"/>
            <w:r w:rsidR="004F75D3" w:rsidRPr="00026913">
              <w:t>asmenims</w:t>
            </w:r>
            <w:proofErr w:type="spellEnd"/>
            <w:r w:rsidR="004F75D3" w:rsidRPr="00026913">
              <w:t xml:space="preserve"> </w:t>
            </w:r>
            <w:proofErr w:type="spellStart"/>
            <w:r w:rsidR="004F75D3" w:rsidRPr="00026913">
              <w:t>išmokėtina</w:t>
            </w:r>
            <w:proofErr w:type="spellEnd"/>
            <w:r w:rsidR="004F75D3" w:rsidRPr="00026913">
              <w:t xml:space="preserve"> </w:t>
            </w:r>
            <w:proofErr w:type="spellStart"/>
            <w:r w:rsidR="004F75D3" w:rsidRPr="00026913">
              <w:t>draudimo</w:t>
            </w:r>
            <w:proofErr w:type="spellEnd"/>
            <w:r w:rsidR="004F75D3" w:rsidRPr="00026913">
              <w:t xml:space="preserve"> </w:t>
            </w:r>
            <w:proofErr w:type="spellStart"/>
            <w:r w:rsidR="004F75D3" w:rsidRPr="00026913">
              <w:t>išmoka</w:t>
            </w:r>
            <w:proofErr w:type="spellEnd"/>
            <w:r w:rsidR="004F75D3">
              <w:t xml:space="preserve">, </w:t>
            </w:r>
            <w:proofErr w:type="spellStart"/>
            <w:r w:rsidR="004F75D3">
              <w:t>ir</w:t>
            </w:r>
            <w:proofErr w:type="spellEnd"/>
            <w:r w:rsidR="004F75D3">
              <w:t xml:space="preserve"> </w:t>
            </w:r>
            <w:proofErr w:type="spellStart"/>
            <w:r w:rsidR="004F75D3">
              <w:t>atitinkamai</w:t>
            </w:r>
            <w:proofErr w:type="spellEnd"/>
            <w:r w:rsidR="004F75D3">
              <w:t xml:space="preserve"> </w:t>
            </w:r>
            <w:proofErr w:type="spellStart"/>
            <w:r w:rsidR="004F75D3">
              <w:t>mažėtų</w:t>
            </w:r>
            <w:proofErr w:type="spellEnd"/>
            <w:r w:rsidR="004F75D3" w:rsidRPr="00026913">
              <w:rPr>
                <w:iCs/>
              </w:rPr>
              <w:t xml:space="preserve"> </w:t>
            </w:r>
            <w:proofErr w:type="spellStart"/>
            <w:r w:rsidR="004F75D3" w:rsidRPr="00026913">
              <w:rPr>
                <w:iCs/>
              </w:rPr>
              <w:t>sum</w:t>
            </w:r>
            <w:r w:rsidR="004F75D3">
              <w:rPr>
                <w:iCs/>
              </w:rPr>
              <w:t>a</w:t>
            </w:r>
            <w:proofErr w:type="spellEnd"/>
            <w:r w:rsidR="004F75D3">
              <w:rPr>
                <w:iCs/>
              </w:rPr>
              <w:t xml:space="preserve">, </w:t>
            </w:r>
            <w:proofErr w:type="spellStart"/>
            <w:r w:rsidR="004F75D3">
              <w:rPr>
                <w:iCs/>
              </w:rPr>
              <w:t>kurią</w:t>
            </w:r>
            <w:proofErr w:type="spellEnd"/>
            <w:r w:rsidR="004F75D3">
              <w:rPr>
                <w:iCs/>
              </w:rPr>
              <w:t xml:space="preserve"> </w:t>
            </w:r>
            <w:proofErr w:type="spellStart"/>
            <w:r w:rsidR="004F75D3">
              <w:rPr>
                <w:iCs/>
              </w:rPr>
              <w:t>prireikus</w:t>
            </w:r>
            <w:proofErr w:type="spellEnd"/>
            <w:r w:rsidR="004F75D3">
              <w:rPr>
                <w:iCs/>
              </w:rPr>
              <w:t xml:space="preserve"> </w:t>
            </w:r>
            <w:proofErr w:type="spellStart"/>
            <w:r w:rsidR="004F75D3" w:rsidRPr="00026913">
              <w:rPr>
                <w:iCs/>
              </w:rPr>
              <w:t>tretiesiems</w:t>
            </w:r>
            <w:proofErr w:type="spellEnd"/>
            <w:r w:rsidR="004F75D3" w:rsidRPr="00026913">
              <w:rPr>
                <w:iCs/>
              </w:rPr>
              <w:t xml:space="preserve"> </w:t>
            </w:r>
            <w:proofErr w:type="spellStart"/>
            <w:r w:rsidR="004F75D3" w:rsidRPr="00026913">
              <w:rPr>
                <w:iCs/>
              </w:rPr>
              <w:t>asmenims</w:t>
            </w:r>
            <w:proofErr w:type="spellEnd"/>
            <w:r w:rsidR="004F75D3" w:rsidRPr="00026913">
              <w:rPr>
                <w:iCs/>
              </w:rPr>
              <w:t xml:space="preserve"> </w:t>
            </w:r>
            <w:proofErr w:type="spellStart"/>
            <w:r w:rsidR="004F75D3" w:rsidRPr="00026913">
              <w:rPr>
                <w:iCs/>
              </w:rPr>
              <w:t>turėtų</w:t>
            </w:r>
            <w:proofErr w:type="spellEnd"/>
            <w:r w:rsidR="004F75D3" w:rsidRPr="00026913">
              <w:rPr>
                <w:iCs/>
              </w:rPr>
              <w:t xml:space="preserve"> </w:t>
            </w:r>
            <w:proofErr w:type="spellStart"/>
            <w:r w:rsidR="004F75D3" w:rsidRPr="00026913">
              <w:rPr>
                <w:iCs/>
              </w:rPr>
              <w:t>išmokėti</w:t>
            </w:r>
            <w:proofErr w:type="spellEnd"/>
            <w:r w:rsidR="004F75D3" w:rsidRPr="00026913">
              <w:rPr>
                <w:iCs/>
              </w:rPr>
              <w:t xml:space="preserve"> </w:t>
            </w:r>
            <w:proofErr w:type="spellStart"/>
            <w:r w:rsidR="004F75D3" w:rsidRPr="00026913">
              <w:rPr>
                <w:iCs/>
              </w:rPr>
              <w:t>geležinkelio</w:t>
            </w:r>
            <w:proofErr w:type="spellEnd"/>
            <w:r w:rsidR="004F75D3" w:rsidRPr="00026913">
              <w:rPr>
                <w:iCs/>
              </w:rPr>
              <w:t xml:space="preserve"> </w:t>
            </w:r>
            <w:proofErr w:type="spellStart"/>
            <w:r w:rsidR="004F75D3" w:rsidRPr="00026913">
              <w:rPr>
                <w:iCs/>
              </w:rPr>
              <w:t>įmonė</w:t>
            </w:r>
            <w:proofErr w:type="spellEnd"/>
            <w:r w:rsidR="004F75D3" w:rsidRPr="00026913">
              <w:rPr>
                <w:iCs/>
              </w:rPr>
              <w:t xml:space="preserve"> (</w:t>
            </w:r>
            <w:proofErr w:type="spellStart"/>
            <w:r w:rsidR="004F75D3" w:rsidRPr="00026913">
              <w:rPr>
                <w:iCs/>
              </w:rPr>
              <w:t>vežėjas</w:t>
            </w:r>
            <w:proofErr w:type="spellEnd"/>
            <w:r w:rsidR="004F75D3" w:rsidRPr="00026913">
              <w:rPr>
                <w:iCs/>
              </w:rPr>
              <w:t xml:space="preserve">). </w:t>
            </w:r>
            <w:proofErr w:type="spellStart"/>
            <w:r w:rsidR="004F75D3">
              <w:rPr>
                <w:iCs/>
              </w:rPr>
              <w:t>Taigi</w:t>
            </w:r>
            <w:proofErr w:type="spellEnd"/>
            <w:r w:rsidR="004F75D3">
              <w:rPr>
                <w:iCs/>
              </w:rPr>
              <w:t xml:space="preserve">, </w:t>
            </w:r>
            <w:proofErr w:type="spellStart"/>
            <w:r w:rsidR="004F75D3">
              <w:rPr>
                <w:iCs/>
              </w:rPr>
              <w:t>mažėja</w:t>
            </w:r>
            <w:proofErr w:type="spellEnd"/>
            <w:r w:rsidR="004F75D3">
              <w:rPr>
                <w:iCs/>
              </w:rPr>
              <w:t xml:space="preserve"> </w:t>
            </w:r>
            <w:proofErr w:type="spellStart"/>
            <w:r w:rsidR="004F75D3">
              <w:rPr>
                <w:iCs/>
              </w:rPr>
              <w:t>rizika</w:t>
            </w:r>
            <w:proofErr w:type="spellEnd"/>
            <w:r w:rsidR="004F75D3">
              <w:rPr>
                <w:iCs/>
              </w:rPr>
              <w:t xml:space="preserve">, </w:t>
            </w:r>
            <w:proofErr w:type="spellStart"/>
            <w:r w:rsidR="004F75D3">
              <w:rPr>
                <w:iCs/>
              </w:rPr>
              <w:t>kad</w:t>
            </w:r>
            <w:proofErr w:type="spellEnd"/>
            <w:r w:rsidR="004F75D3">
              <w:rPr>
                <w:iCs/>
              </w:rPr>
              <w:t xml:space="preserve"> </w:t>
            </w:r>
            <w:proofErr w:type="spellStart"/>
            <w:r w:rsidR="004F75D3">
              <w:rPr>
                <w:iCs/>
              </w:rPr>
              <w:t>geležinkelio</w:t>
            </w:r>
            <w:proofErr w:type="spellEnd"/>
            <w:r w:rsidR="004F75D3">
              <w:rPr>
                <w:iCs/>
              </w:rPr>
              <w:t xml:space="preserve"> </w:t>
            </w:r>
            <w:proofErr w:type="spellStart"/>
            <w:r w:rsidR="004F75D3">
              <w:rPr>
                <w:iCs/>
              </w:rPr>
              <w:t>įmonė</w:t>
            </w:r>
            <w:proofErr w:type="spellEnd"/>
            <w:r w:rsidR="004F75D3">
              <w:rPr>
                <w:iCs/>
              </w:rPr>
              <w:t xml:space="preserve"> (</w:t>
            </w:r>
            <w:proofErr w:type="spellStart"/>
            <w:r w:rsidR="004F75D3">
              <w:rPr>
                <w:iCs/>
              </w:rPr>
              <w:t>vežėjas</w:t>
            </w:r>
            <w:proofErr w:type="spellEnd"/>
            <w:r w:rsidR="004F75D3">
              <w:rPr>
                <w:iCs/>
              </w:rPr>
              <w:t xml:space="preserve">) bus </w:t>
            </w:r>
            <w:proofErr w:type="spellStart"/>
            <w:r w:rsidR="004F75D3">
              <w:rPr>
                <w:iCs/>
              </w:rPr>
              <w:t>finansiškai</w:t>
            </w:r>
            <w:proofErr w:type="spellEnd"/>
            <w:r w:rsidR="004F75D3">
              <w:rPr>
                <w:iCs/>
              </w:rPr>
              <w:t xml:space="preserve"> </w:t>
            </w:r>
            <w:proofErr w:type="spellStart"/>
            <w:r w:rsidR="004F75D3">
              <w:rPr>
                <w:iCs/>
              </w:rPr>
              <w:t>nepajėgus</w:t>
            </w:r>
            <w:proofErr w:type="spellEnd"/>
            <w:r w:rsidR="004F75D3">
              <w:rPr>
                <w:iCs/>
              </w:rPr>
              <w:t xml:space="preserve"> </w:t>
            </w:r>
            <w:proofErr w:type="spellStart"/>
            <w:r w:rsidR="004F75D3">
              <w:rPr>
                <w:iCs/>
              </w:rPr>
              <w:t>atlyginti</w:t>
            </w:r>
            <w:proofErr w:type="spellEnd"/>
            <w:r w:rsidR="004F75D3">
              <w:rPr>
                <w:iCs/>
              </w:rPr>
              <w:t xml:space="preserve"> </w:t>
            </w:r>
            <w:proofErr w:type="spellStart"/>
            <w:r w:rsidR="004F75D3">
              <w:rPr>
                <w:iCs/>
              </w:rPr>
              <w:t>žalą</w:t>
            </w:r>
            <w:proofErr w:type="spellEnd"/>
            <w:r w:rsidR="004F75D3">
              <w:rPr>
                <w:iCs/>
              </w:rPr>
              <w:t xml:space="preserve"> </w:t>
            </w:r>
            <w:proofErr w:type="spellStart"/>
            <w:r w:rsidR="004F75D3">
              <w:rPr>
                <w:iCs/>
              </w:rPr>
              <w:t>tretiesiems</w:t>
            </w:r>
            <w:proofErr w:type="spellEnd"/>
            <w:r w:rsidR="004F75D3">
              <w:rPr>
                <w:iCs/>
              </w:rPr>
              <w:t xml:space="preserve"> </w:t>
            </w:r>
            <w:proofErr w:type="spellStart"/>
            <w:r w:rsidR="004F75D3">
              <w:rPr>
                <w:iCs/>
              </w:rPr>
              <w:t>asmenis</w:t>
            </w:r>
            <w:proofErr w:type="spellEnd"/>
            <w:r w:rsidR="004F75D3">
              <w:rPr>
                <w:iCs/>
              </w:rPr>
              <w:t xml:space="preserve">, o </w:t>
            </w:r>
            <w:proofErr w:type="spellStart"/>
            <w:r w:rsidR="004F75D3">
              <w:rPr>
                <w:iCs/>
              </w:rPr>
              <w:t>kartu</w:t>
            </w:r>
            <w:proofErr w:type="spellEnd"/>
            <w:r w:rsidR="004F75D3">
              <w:rPr>
                <w:iCs/>
              </w:rPr>
              <w:t xml:space="preserve"> </w:t>
            </w:r>
            <w:proofErr w:type="spellStart"/>
            <w:r w:rsidR="004F75D3">
              <w:rPr>
                <w:iCs/>
              </w:rPr>
              <w:t>didėja</w:t>
            </w:r>
            <w:proofErr w:type="spellEnd"/>
            <w:r w:rsidR="004F75D3">
              <w:rPr>
                <w:iCs/>
              </w:rPr>
              <w:t xml:space="preserve"> </w:t>
            </w:r>
            <w:proofErr w:type="spellStart"/>
            <w:r w:rsidR="004F75D3">
              <w:rPr>
                <w:iCs/>
              </w:rPr>
              <w:t>geležinkelio</w:t>
            </w:r>
            <w:proofErr w:type="spellEnd"/>
            <w:r w:rsidR="004F75D3">
              <w:rPr>
                <w:iCs/>
              </w:rPr>
              <w:t xml:space="preserve"> </w:t>
            </w:r>
            <w:proofErr w:type="spellStart"/>
            <w:r w:rsidR="004F75D3">
              <w:rPr>
                <w:iCs/>
              </w:rPr>
              <w:t>įmonės</w:t>
            </w:r>
            <w:proofErr w:type="spellEnd"/>
            <w:r w:rsidR="004F75D3">
              <w:rPr>
                <w:iCs/>
              </w:rPr>
              <w:t xml:space="preserve"> (</w:t>
            </w:r>
            <w:proofErr w:type="spellStart"/>
            <w:r w:rsidR="004F75D3">
              <w:rPr>
                <w:iCs/>
              </w:rPr>
              <w:t>vežėjo</w:t>
            </w:r>
            <w:proofErr w:type="spellEnd"/>
            <w:r w:rsidR="004F75D3">
              <w:rPr>
                <w:iCs/>
              </w:rPr>
              <w:t xml:space="preserve">) </w:t>
            </w:r>
            <w:proofErr w:type="spellStart"/>
            <w:r w:rsidR="004F75D3">
              <w:rPr>
                <w:iCs/>
              </w:rPr>
              <w:t>b</w:t>
            </w:r>
            <w:r w:rsidR="009F7D9E">
              <w:rPr>
                <w:iCs/>
              </w:rPr>
              <w:t>e</w:t>
            </w:r>
            <w:r w:rsidR="004F75D3">
              <w:rPr>
                <w:iCs/>
              </w:rPr>
              <w:t>i</w:t>
            </w:r>
            <w:proofErr w:type="spellEnd"/>
            <w:r w:rsidR="004F75D3">
              <w:rPr>
                <w:iCs/>
              </w:rPr>
              <w:t xml:space="preserve"> </w:t>
            </w:r>
            <w:proofErr w:type="spellStart"/>
            <w:r w:rsidR="004F75D3">
              <w:rPr>
                <w:iCs/>
              </w:rPr>
              <w:t>geležinkelių</w:t>
            </w:r>
            <w:proofErr w:type="spellEnd"/>
            <w:r w:rsidR="004F75D3">
              <w:rPr>
                <w:iCs/>
              </w:rPr>
              <w:t xml:space="preserve"> </w:t>
            </w:r>
            <w:proofErr w:type="spellStart"/>
            <w:r w:rsidR="004F75D3">
              <w:rPr>
                <w:iCs/>
              </w:rPr>
              <w:t>transporto</w:t>
            </w:r>
            <w:proofErr w:type="spellEnd"/>
            <w:r w:rsidR="004F75D3">
              <w:rPr>
                <w:iCs/>
              </w:rPr>
              <w:t xml:space="preserve"> </w:t>
            </w:r>
            <w:proofErr w:type="spellStart"/>
            <w:r w:rsidR="004F75D3">
              <w:rPr>
                <w:iCs/>
              </w:rPr>
              <w:t>paslaugų</w:t>
            </w:r>
            <w:proofErr w:type="spellEnd"/>
            <w:r w:rsidR="004F75D3">
              <w:rPr>
                <w:iCs/>
              </w:rPr>
              <w:t xml:space="preserve"> </w:t>
            </w:r>
            <w:proofErr w:type="spellStart"/>
            <w:r w:rsidR="004F75D3">
              <w:rPr>
                <w:iCs/>
              </w:rPr>
              <w:t>patrauklumas</w:t>
            </w:r>
            <w:proofErr w:type="spellEnd"/>
            <w:r w:rsidR="004F75D3">
              <w:rPr>
                <w:iCs/>
              </w:rPr>
              <w:t xml:space="preserve">. </w:t>
            </w:r>
            <w:r w:rsidR="004F75D3" w:rsidRPr="004F75D3">
              <w:rPr>
                <w:rFonts w:eastAsia="Times New Roman"/>
                <w:color w:val="auto"/>
                <w:lang w:val="lt-LT" w:eastAsia="lt-LT"/>
              </w:rPr>
              <w:t>Be</w:t>
            </w:r>
            <w:r w:rsidR="004F75D3">
              <w:rPr>
                <w:rFonts w:eastAsia="Times New Roman"/>
                <w:color w:val="auto"/>
                <w:lang w:val="lt-LT" w:eastAsia="lt-LT"/>
              </w:rPr>
              <w:t xml:space="preserve"> to, kadangi visoms geležinkelio įmonių (vežėjų) minimali privalomojo civilinės atsakomybės draudimo suma būtų vienoda, </w:t>
            </w:r>
            <w:r w:rsidR="00602559">
              <w:rPr>
                <w:rFonts w:eastAsia="Times New Roman"/>
                <w:color w:val="auto"/>
                <w:lang w:val="lt-LT" w:eastAsia="lt-LT"/>
              </w:rPr>
              <w:t>bus užtikrintas lygiateisiškumo principas.</w:t>
            </w:r>
          </w:p>
          <w:p w14:paraId="0E7275FC" w14:textId="1BB58955" w:rsidR="003F67E3" w:rsidRDefault="00DB7902" w:rsidP="00CA5B46">
            <w:pPr>
              <w:pStyle w:val="prastasiniatinklio"/>
              <w:shd w:val="clear" w:color="auto" w:fill="FFFFFF"/>
              <w:spacing w:after="0"/>
              <w:ind w:firstLine="637"/>
              <w:jc w:val="both"/>
            </w:pPr>
            <w:r w:rsidRPr="00643D1D">
              <w:rPr>
                <w:b/>
                <w:bCs/>
              </w:rPr>
              <w:t xml:space="preserve">Alternatyvos trūkumas </w:t>
            </w:r>
            <w:r w:rsidRPr="00643D1D">
              <w:t xml:space="preserve">– </w:t>
            </w:r>
            <w:r w:rsidR="003F67E3" w:rsidRPr="003F67E3">
              <w:rPr>
                <w:rStyle w:val="Grietas"/>
                <w:b w:val="0"/>
                <w:bCs w:val="0"/>
              </w:rPr>
              <w:t xml:space="preserve">dėl minimalių draudimo sumų padidinimo gali didėti draudimo įmokos </w:t>
            </w:r>
            <w:r w:rsidR="00CA5B46" w:rsidRPr="00CA5B46">
              <w:rPr>
                <w:rStyle w:val="Grietas"/>
                <w:b w:val="0"/>
                <w:bCs w:val="0"/>
              </w:rPr>
              <w:t>kai kurioms</w:t>
            </w:r>
            <w:r w:rsidR="00CA5B46">
              <w:rPr>
                <w:rStyle w:val="Grietas"/>
              </w:rPr>
              <w:t xml:space="preserve"> </w:t>
            </w:r>
            <w:r w:rsidR="003F67E3" w:rsidRPr="003F67E3">
              <w:rPr>
                <w:rStyle w:val="Grietas"/>
                <w:b w:val="0"/>
                <w:bCs w:val="0"/>
              </w:rPr>
              <w:t>geležinkelio įmonėms (vežėjams) ir remonto įmonėms</w:t>
            </w:r>
            <w:r w:rsidR="00CA5B46">
              <w:rPr>
                <w:rStyle w:val="Grietas"/>
                <w:b w:val="0"/>
                <w:bCs w:val="0"/>
              </w:rPr>
              <w:t>.</w:t>
            </w:r>
          </w:p>
          <w:p w14:paraId="72C241C1" w14:textId="5824F7F2" w:rsidR="00AE4E9E" w:rsidRPr="00643D1D" w:rsidRDefault="00AE4E9E" w:rsidP="00DB7902">
            <w:pPr>
              <w:pStyle w:val="Default"/>
              <w:ind w:firstLine="495"/>
              <w:jc w:val="both"/>
              <w:rPr>
                <w:lang w:val="lt-LT"/>
              </w:rPr>
            </w:pPr>
          </w:p>
        </w:tc>
      </w:tr>
    </w:tbl>
    <w:p w14:paraId="3162CDB3" w14:textId="77777777" w:rsidR="000C3F06" w:rsidRPr="00643D1D" w:rsidRDefault="000C3F06" w:rsidP="00CC0EE7">
      <w:pPr>
        <w:spacing w:after="0" w:line="240" w:lineRule="auto"/>
        <w:rPr>
          <w:rFonts w:ascii="Times New Roman" w:eastAsia="Times New Roman" w:hAnsi="Times New Roman" w:cs="Times New Roman"/>
          <w:sz w:val="24"/>
          <w:szCs w:val="24"/>
          <w:lang w:eastAsia="lt-LT"/>
        </w:rPr>
      </w:pPr>
    </w:p>
    <w:tbl>
      <w:tblPr>
        <w:tblW w:w="9923" w:type="dxa"/>
        <w:tblCellMar>
          <w:left w:w="0" w:type="dxa"/>
          <w:right w:w="0" w:type="dxa"/>
        </w:tblCellMar>
        <w:tblLook w:val="04A0" w:firstRow="1" w:lastRow="0" w:firstColumn="1" w:lastColumn="0" w:noHBand="0" w:noVBand="1"/>
      </w:tblPr>
      <w:tblGrid>
        <w:gridCol w:w="2164"/>
        <w:gridCol w:w="7759"/>
      </w:tblGrid>
      <w:tr w:rsidR="00CC0EE7" w:rsidRPr="00643D1D" w14:paraId="35255499" w14:textId="77777777" w:rsidTr="00300F3D">
        <w:trPr>
          <w:trHeight w:val="415"/>
        </w:trPr>
        <w:tc>
          <w:tcPr>
            <w:tcW w:w="2164" w:type="dxa"/>
            <w:shd w:val="clear" w:color="auto" w:fill="DBE5F1"/>
            <w:tcMar>
              <w:top w:w="0" w:type="dxa"/>
              <w:left w:w="108" w:type="dxa"/>
              <w:bottom w:w="0" w:type="dxa"/>
              <w:right w:w="108" w:type="dxa"/>
            </w:tcMar>
            <w:hideMark/>
          </w:tcPr>
          <w:p w14:paraId="367A2019"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c>
        <w:tc>
          <w:tcPr>
            <w:tcW w:w="7759" w:type="dxa"/>
            <w:shd w:val="clear" w:color="auto" w:fill="DBE5F1"/>
            <w:tcMar>
              <w:top w:w="0" w:type="dxa"/>
              <w:left w:w="108" w:type="dxa"/>
              <w:bottom w:w="0" w:type="dxa"/>
              <w:right w:w="108" w:type="dxa"/>
            </w:tcMar>
            <w:hideMark/>
          </w:tcPr>
          <w:p w14:paraId="062E3148" w14:textId="77777777" w:rsidR="00CC0EE7" w:rsidRPr="00643D1D" w:rsidRDefault="00CC0EE7" w:rsidP="00105B06">
            <w:pPr>
              <w:spacing w:after="0" w:line="240" w:lineRule="auto"/>
              <w:jc w:val="center"/>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Siūlomo projekto poveikio įvertinimas </w:t>
            </w:r>
          </w:p>
        </w:tc>
      </w:tr>
    </w:tbl>
    <w:p w14:paraId="742B495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lastRenderedPageBreak/>
        <w:t> </w:t>
      </w:r>
    </w:p>
    <w:tbl>
      <w:tblPr>
        <w:tblW w:w="0" w:type="auto"/>
        <w:tblCellMar>
          <w:left w:w="0" w:type="dxa"/>
          <w:right w:w="0" w:type="dxa"/>
        </w:tblCellMar>
        <w:tblLook w:val="04A0" w:firstRow="1" w:lastRow="0" w:firstColumn="1" w:lastColumn="0" w:noHBand="0" w:noVBand="1"/>
      </w:tblPr>
      <w:tblGrid>
        <w:gridCol w:w="2235"/>
        <w:gridCol w:w="7688"/>
      </w:tblGrid>
      <w:tr w:rsidR="00D2277A" w:rsidRPr="00643D1D" w14:paraId="7FA56703" w14:textId="77777777" w:rsidTr="00300F3D">
        <w:tc>
          <w:tcPr>
            <w:tcW w:w="2235" w:type="dxa"/>
            <w:shd w:val="clear" w:color="auto" w:fill="DBE5F1"/>
            <w:tcMar>
              <w:top w:w="0" w:type="dxa"/>
              <w:left w:w="108" w:type="dxa"/>
              <w:bottom w:w="0" w:type="dxa"/>
              <w:right w:w="108" w:type="dxa"/>
            </w:tcMar>
            <w:hideMark/>
          </w:tcPr>
          <w:p w14:paraId="3BA8C387"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socialiniai sričiai</w:t>
            </w:r>
          </w:p>
        </w:tc>
        <w:tc>
          <w:tcPr>
            <w:tcW w:w="7688" w:type="dxa"/>
            <w:shd w:val="clear" w:color="auto" w:fill="DBE5F1"/>
            <w:tcMar>
              <w:top w:w="0" w:type="dxa"/>
              <w:left w:w="108" w:type="dxa"/>
              <w:bottom w:w="0" w:type="dxa"/>
              <w:right w:w="108" w:type="dxa"/>
            </w:tcMar>
            <w:hideMark/>
          </w:tcPr>
          <w:p w14:paraId="5461EBE2" w14:textId="71F0FFCA" w:rsidR="00D2277A" w:rsidRPr="00643D1D" w:rsidRDefault="00D2277A" w:rsidP="00D2277A">
            <w:pPr>
              <w:spacing w:after="0" w:line="240" w:lineRule="auto"/>
              <w:ind w:firstLine="212"/>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Teigiamos pasekmės. </w:t>
            </w:r>
            <w:r w:rsidR="004F75D3">
              <w:rPr>
                <w:rFonts w:ascii="Times New Roman" w:eastAsia="Times New Roman" w:hAnsi="Times New Roman" w:cs="Times New Roman"/>
                <w:sz w:val="24"/>
                <w:szCs w:val="24"/>
                <w:lang w:eastAsia="lt-LT"/>
              </w:rPr>
              <w:t>Padidinus geležinkelio įmonės (vežėjo) privalomojo civilinės atsakomybės draudimo sumas bus užtikrinam</w:t>
            </w:r>
            <w:r w:rsidR="00BD0086">
              <w:rPr>
                <w:rFonts w:ascii="Times New Roman" w:eastAsia="Times New Roman" w:hAnsi="Times New Roman" w:cs="Times New Roman"/>
                <w:sz w:val="24"/>
                <w:szCs w:val="24"/>
                <w:lang w:eastAsia="lt-LT"/>
              </w:rPr>
              <w:t>as</w:t>
            </w:r>
            <w:r w:rsidR="004F75D3">
              <w:rPr>
                <w:rFonts w:ascii="Times New Roman" w:eastAsia="Times New Roman" w:hAnsi="Times New Roman" w:cs="Times New Roman"/>
                <w:sz w:val="24"/>
                <w:szCs w:val="24"/>
                <w:lang w:eastAsia="lt-LT"/>
              </w:rPr>
              <w:t xml:space="preserve"> </w:t>
            </w:r>
            <w:r w:rsidR="00BD0086">
              <w:rPr>
                <w:rFonts w:ascii="Times New Roman" w:eastAsia="Times New Roman" w:hAnsi="Times New Roman" w:cs="Times New Roman"/>
                <w:sz w:val="24"/>
                <w:szCs w:val="24"/>
                <w:lang w:eastAsia="lt-LT"/>
              </w:rPr>
              <w:t>geležinkelių transporto paslaugų naudotojų (keleivių), geležinkelių infrastruktūros valdytojų žalos, patirtos dėl geležinkelio įmonės (vežėjo) vykdomos veiklos, tinkamas atlyginimas.</w:t>
            </w:r>
          </w:p>
          <w:p w14:paraId="497A9B52" w14:textId="1CE6E458" w:rsidR="00D2277A" w:rsidRPr="00643D1D" w:rsidRDefault="00D2277A" w:rsidP="004F75D3">
            <w:pPr>
              <w:spacing w:after="0" w:line="240" w:lineRule="auto"/>
              <w:jc w:val="both"/>
              <w:rPr>
                <w:rFonts w:ascii="Times New Roman" w:eastAsia="Times New Roman" w:hAnsi="Times New Roman" w:cs="Times New Roman"/>
                <w:sz w:val="24"/>
                <w:szCs w:val="24"/>
                <w:lang w:eastAsia="lt-LT"/>
              </w:rPr>
            </w:pPr>
          </w:p>
        </w:tc>
      </w:tr>
    </w:tbl>
    <w:p w14:paraId="076DD036" w14:textId="77777777" w:rsidR="00D2277A" w:rsidRPr="00D2277A" w:rsidRDefault="00D2277A"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D2277A" w:rsidRPr="00643D1D" w14:paraId="01851DC4" w14:textId="77777777" w:rsidTr="00300F3D">
        <w:tc>
          <w:tcPr>
            <w:tcW w:w="2235" w:type="dxa"/>
            <w:shd w:val="clear" w:color="auto" w:fill="DBE5F1"/>
            <w:tcMar>
              <w:top w:w="0" w:type="dxa"/>
              <w:left w:w="108" w:type="dxa"/>
              <w:bottom w:w="0" w:type="dxa"/>
              <w:right w:w="108" w:type="dxa"/>
            </w:tcMar>
            <w:hideMark/>
          </w:tcPr>
          <w:p w14:paraId="1AD94D4F"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transporto sričiai (viešajam transportui)</w:t>
            </w:r>
          </w:p>
        </w:tc>
        <w:tc>
          <w:tcPr>
            <w:tcW w:w="7688" w:type="dxa"/>
            <w:shd w:val="clear" w:color="auto" w:fill="DBE5F1"/>
            <w:tcMar>
              <w:top w:w="0" w:type="dxa"/>
              <w:left w:w="108" w:type="dxa"/>
              <w:bottom w:w="0" w:type="dxa"/>
              <w:right w:w="108" w:type="dxa"/>
            </w:tcMar>
            <w:hideMark/>
          </w:tcPr>
          <w:p w14:paraId="1D779130" w14:textId="0D074D90" w:rsidR="00D2277A"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Teigiamos pasekmės. Bus užtikrintas </w:t>
            </w:r>
            <w:r w:rsidR="00BD0086">
              <w:rPr>
                <w:rFonts w:ascii="Times New Roman" w:eastAsia="Times New Roman" w:hAnsi="Times New Roman" w:cs="Times New Roman"/>
                <w:sz w:val="24"/>
                <w:szCs w:val="24"/>
                <w:lang w:eastAsia="lt-LT"/>
              </w:rPr>
              <w:t xml:space="preserve">geležinkelio įmonės (vežėjo) veiklos stabilumas, geležinkelių transporto paslaugų </w:t>
            </w:r>
            <w:r w:rsidRPr="00643D1D">
              <w:rPr>
                <w:rFonts w:ascii="Times New Roman" w:eastAsia="Times New Roman" w:hAnsi="Times New Roman" w:cs="Times New Roman"/>
                <w:sz w:val="24"/>
                <w:szCs w:val="24"/>
                <w:lang w:eastAsia="lt-LT"/>
              </w:rPr>
              <w:t xml:space="preserve">patrauklumas, </w:t>
            </w:r>
          </w:p>
          <w:p w14:paraId="2B793955" w14:textId="1AF3186A" w:rsidR="00BD0086" w:rsidRDefault="00BD0086" w:rsidP="00BD0086">
            <w:pPr>
              <w:pStyle w:val="prastasiniatinklio"/>
              <w:shd w:val="clear" w:color="auto" w:fill="FFFFFF"/>
              <w:spacing w:after="0"/>
              <w:jc w:val="both"/>
            </w:pPr>
            <w:r>
              <w:t xml:space="preserve">       </w:t>
            </w:r>
            <w:r w:rsidR="00D2277A" w:rsidRPr="00643D1D">
              <w:t>Neigiamos pasekmės</w:t>
            </w:r>
            <w:r>
              <w:t>.</w:t>
            </w:r>
            <w:r w:rsidRPr="003F67E3">
              <w:rPr>
                <w:rStyle w:val="Grietas"/>
                <w:b w:val="0"/>
                <w:bCs w:val="0"/>
              </w:rPr>
              <w:t xml:space="preserve"> </w:t>
            </w:r>
            <w:r>
              <w:rPr>
                <w:rStyle w:val="Grietas"/>
                <w:b w:val="0"/>
                <w:bCs w:val="0"/>
              </w:rPr>
              <w:t>D</w:t>
            </w:r>
            <w:r w:rsidRPr="003F67E3">
              <w:rPr>
                <w:rStyle w:val="Grietas"/>
                <w:b w:val="0"/>
                <w:bCs w:val="0"/>
              </w:rPr>
              <w:t xml:space="preserve">ėl minimalių draudimo sumų padidinimo gali didėti draudimo įmokos </w:t>
            </w:r>
            <w:r w:rsidRPr="00CA5B46">
              <w:rPr>
                <w:rStyle w:val="Grietas"/>
                <w:b w:val="0"/>
                <w:bCs w:val="0"/>
              </w:rPr>
              <w:t>kai kurioms</w:t>
            </w:r>
            <w:r>
              <w:rPr>
                <w:rStyle w:val="Grietas"/>
              </w:rPr>
              <w:t xml:space="preserve"> </w:t>
            </w:r>
            <w:r w:rsidRPr="003F67E3">
              <w:rPr>
                <w:rStyle w:val="Grietas"/>
                <w:b w:val="0"/>
                <w:bCs w:val="0"/>
              </w:rPr>
              <w:t>geležinkelio įmonėms (vežėjams) ir remonto įmonėms</w:t>
            </w:r>
            <w:r>
              <w:rPr>
                <w:rStyle w:val="Grietas"/>
                <w:b w:val="0"/>
                <w:bCs w:val="0"/>
              </w:rPr>
              <w:t>.</w:t>
            </w:r>
          </w:p>
          <w:p w14:paraId="0F09AED7" w14:textId="64994A38"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p>
        </w:tc>
      </w:tr>
    </w:tbl>
    <w:p w14:paraId="6AD38965" w14:textId="77777777" w:rsidR="009F4894"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688"/>
      </w:tblGrid>
      <w:tr w:rsidR="00D2277A" w:rsidRPr="00643D1D" w14:paraId="1C87D6E2" w14:textId="77777777" w:rsidTr="00300F3D">
        <w:tc>
          <w:tcPr>
            <w:tcW w:w="2235" w:type="dxa"/>
            <w:shd w:val="clear" w:color="auto" w:fill="DBE5F1"/>
            <w:tcMar>
              <w:top w:w="0" w:type="dxa"/>
              <w:left w:w="108" w:type="dxa"/>
              <w:bottom w:w="0" w:type="dxa"/>
              <w:right w:w="108" w:type="dxa"/>
            </w:tcMar>
            <w:hideMark/>
          </w:tcPr>
          <w:p w14:paraId="504AD370"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p>
          <w:p w14:paraId="619E5CB5"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valstybės finansams</w:t>
            </w:r>
          </w:p>
        </w:tc>
        <w:tc>
          <w:tcPr>
            <w:tcW w:w="7688" w:type="dxa"/>
            <w:shd w:val="clear" w:color="auto" w:fill="DBE5F1"/>
            <w:tcMar>
              <w:top w:w="0" w:type="dxa"/>
              <w:left w:w="108" w:type="dxa"/>
              <w:bottom w:w="0" w:type="dxa"/>
              <w:right w:w="108" w:type="dxa"/>
            </w:tcMar>
            <w:hideMark/>
          </w:tcPr>
          <w:p w14:paraId="1357709C" w14:textId="18298290"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Įgyvendinant </w:t>
            </w:r>
            <w:r w:rsidR="00DB7902">
              <w:rPr>
                <w:rFonts w:ascii="Times New Roman" w:eastAsia="Times New Roman" w:hAnsi="Times New Roman" w:cs="Times New Roman"/>
                <w:sz w:val="24"/>
                <w:szCs w:val="24"/>
                <w:lang w:eastAsia="lt-LT"/>
              </w:rPr>
              <w:t>p</w:t>
            </w:r>
            <w:r w:rsidRPr="00643D1D">
              <w:rPr>
                <w:rFonts w:ascii="Times New Roman" w:eastAsia="Times New Roman" w:hAnsi="Times New Roman" w:cs="Times New Roman"/>
                <w:sz w:val="24"/>
                <w:szCs w:val="24"/>
                <w:lang w:eastAsia="lt-LT"/>
              </w:rPr>
              <w:t>rojektą papildomų valstybės biudžeto lėšų nereikės</w:t>
            </w:r>
            <w:r>
              <w:rPr>
                <w:rFonts w:ascii="Times New Roman" w:eastAsia="Times New Roman" w:hAnsi="Times New Roman" w:cs="Times New Roman"/>
                <w:sz w:val="24"/>
                <w:szCs w:val="24"/>
                <w:lang w:eastAsia="lt-LT"/>
              </w:rPr>
              <w:t>.</w:t>
            </w:r>
          </w:p>
        </w:tc>
      </w:tr>
    </w:tbl>
    <w:p w14:paraId="3F5B0560" w14:textId="77777777" w:rsidR="00C346AC" w:rsidRDefault="00C346AC" w:rsidP="009F7D9E">
      <w:pPr>
        <w:spacing w:after="0" w:line="240" w:lineRule="auto"/>
        <w:ind w:hanging="851"/>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C346AC" w:rsidRPr="00643D1D" w14:paraId="26C9CACC" w14:textId="77777777" w:rsidTr="00300F3D">
        <w:tc>
          <w:tcPr>
            <w:tcW w:w="2235" w:type="dxa"/>
            <w:shd w:val="clear" w:color="auto" w:fill="DBE5F1"/>
            <w:tcMar>
              <w:top w:w="0" w:type="dxa"/>
              <w:left w:w="108" w:type="dxa"/>
              <w:bottom w:w="0" w:type="dxa"/>
              <w:right w:w="108" w:type="dxa"/>
            </w:tcMar>
            <w:hideMark/>
          </w:tcPr>
          <w:p w14:paraId="21EA1309" w14:textId="77777777" w:rsidR="00C346AC" w:rsidRPr="00643D1D" w:rsidRDefault="00C346AC"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administracinei naštai</w:t>
            </w:r>
          </w:p>
        </w:tc>
        <w:tc>
          <w:tcPr>
            <w:tcW w:w="7688" w:type="dxa"/>
            <w:shd w:val="clear" w:color="auto" w:fill="DBE5F1"/>
            <w:tcMar>
              <w:top w:w="0" w:type="dxa"/>
              <w:left w:w="108" w:type="dxa"/>
              <w:bottom w:w="0" w:type="dxa"/>
              <w:right w:w="108" w:type="dxa"/>
            </w:tcMar>
            <w:hideMark/>
          </w:tcPr>
          <w:p w14:paraId="2BE90DF9" w14:textId="77777777" w:rsidR="00C346AC" w:rsidRPr="00643D1D" w:rsidRDefault="00C346AC"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2675B693" w14:textId="77777777" w:rsidR="00C346AC" w:rsidRDefault="00C346AC"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56597B" w:rsidRPr="00643D1D" w14:paraId="3DA75A15" w14:textId="77777777" w:rsidTr="00300F3D">
        <w:tc>
          <w:tcPr>
            <w:tcW w:w="2235" w:type="dxa"/>
            <w:shd w:val="clear" w:color="auto" w:fill="DBE5F1"/>
            <w:tcMar>
              <w:top w:w="0" w:type="dxa"/>
              <w:left w:w="108" w:type="dxa"/>
              <w:bottom w:w="0" w:type="dxa"/>
              <w:right w:w="108" w:type="dxa"/>
            </w:tcMar>
            <w:hideMark/>
          </w:tcPr>
          <w:p w14:paraId="0CE9DD4D" w14:textId="77777777" w:rsidR="0056597B" w:rsidRPr="00643D1D" w:rsidRDefault="0056597B"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r>
              <w:rPr>
                <w:rFonts w:ascii="Times New Roman" w:eastAsia="Times New Roman" w:hAnsi="Times New Roman" w:cs="Times New Roman"/>
                <w:b/>
                <w:bCs/>
                <w:sz w:val="24"/>
                <w:szCs w:val="24"/>
                <w:lang w:eastAsia="lt-LT"/>
              </w:rPr>
              <w:t>korupcijos mastui</w:t>
            </w:r>
          </w:p>
        </w:tc>
        <w:tc>
          <w:tcPr>
            <w:tcW w:w="7688" w:type="dxa"/>
            <w:shd w:val="clear" w:color="auto" w:fill="DBE5F1"/>
            <w:tcMar>
              <w:top w:w="0" w:type="dxa"/>
              <w:left w:w="108" w:type="dxa"/>
              <w:bottom w:w="0" w:type="dxa"/>
              <w:right w:w="108" w:type="dxa"/>
            </w:tcMar>
            <w:hideMark/>
          </w:tcPr>
          <w:p w14:paraId="02DB99C9" w14:textId="77777777" w:rsidR="0056597B" w:rsidRPr="00643D1D" w:rsidRDefault="0056597B"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6D329F29" w14:textId="77777777" w:rsidR="0056597B" w:rsidRDefault="0056597B"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688"/>
      </w:tblGrid>
      <w:tr w:rsidR="00D2277A" w:rsidRPr="00643D1D" w14:paraId="119E3E49" w14:textId="77777777" w:rsidTr="009F7D9E">
        <w:tc>
          <w:tcPr>
            <w:tcW w:w="2235" w:type="dxa"/>
            <w:shd w:val="clear" w:color="auto" w:fill="DBE5F1"/>
            <w:tcMar>
              <w:top w:w="0" w:type="dxa"/>
              <w:left w:w="108" w:type="dxa"/>
              <w:bottom w:w="0" w:type="dxa"/>
              <w:right w:w="108" w:type="dxa"/>
            </w:tcMar>
            <w:hideMark/>
          </w:tcPr>
          <w:p w14:paraId="4A10DD15"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konkurencijai</w:t>
            </w:r>
          </w:p>
        </w:tc>
        <w:tc>
          <w:tcPr>
            <w:tcW w:w="7688" w:type="dxa"/>
            <w:shd w:val="clear" w:color="auto" w:fill="DBE5F1"/>
            <w:tcMar>
              <w:top w:w="0" w:type="dxa"/>
              <w:left w:w="108" w:type="dxa"/>
              <w:bottom w:w="0" w:type="dxa"/>
              <w:right w:w="108" w:type="dxa"/>
            </w:tcMar>
            <w:hideMark/>
          </w:tcPr>
          <w:p w14:paraId="5FFF1542" w14:textId="10287312" w:rsidR="00DB7902" w:rsidRPr="00BD0086" w:rsidRDefault="00BD0086" w:rsidP="00DB7902">
            <w:pPr>
              <w:spacing w:after="0" w:line="240" w:lineRule="auto"/>
              <w:ind w:firstLine="354"/>
              <w:jc w:val="both"/>
              <w:rPr>
                <w:rFonts w:ascii="Times New Roman" w:eastAsia="Times New Roman" w:hAnsi="Times New Roman" w:cs="Times New Roman"/>
                <w:sz w:val="24"/>
                <w:szCs w:val="24"/>
                <w:lang w:eastAsia="lt-LT"/>
              </w:rPr>
            </w:pPr>
            <w:r w:rsidRPr="00BD0086">
              <w:rPr>
                <w:rFonts w:ascii="Times New Roman" w:eastAsia="Times New Roman" w:hAnsi="Times New Roman" w:cs="Times New Roman"/>
                <w:sz w:val="24"/>
                <w:szCs w:val="24"/>
                <w:lang w:eastAsia="lt-LT"/>
              </w:rPr>
              <w:t xml:space="preserve">Kadangi </w:t>
            </w:r>
            <w:r w:rsidRPr="00BD0086">
              <w:rPr>
                <w:rFonts w:ascii="Times New Roman" w:eastAsia="Times New Roman" w:hAnsi="Times New Roman" w:cs="Times New Roman"/>
                <w:sz w:val="24"/>
                <w:szCs w:val="24"/>
                <w:lang w:eastAsia="lt-LT"/>
              </w:rPr>
              <w:t>visoms geležinkelio įmonių (vežėjų) minimali privalomojo civilinės atsakomybės draudimo suma būtų vienoda, bus užtikrintas lygiateisiškumo principas.</w:t>
            </w:r>
            <w:r>
              <w:rPr>
                <w:rFonts w:ascii="Times New Roman" w:eastAsia="Times New Roman" w:hAnsi="Times New Roman" w:cs="Times New Roman"/>
                <w:sz w:val="24"/>
                <w:szCs w:val="24"/>
                <w:lang w:eastAsia="lt-LT"/>
              </w:rPr>
              <w:t xml:space="preserve"> Dėl minimalių draudimo sumų padidėjimo kai kurioms geležinkelio įmonėms (vežėjams), atsižvelgiant į jų vykdomos veiklos pobūdį ir mastą, gali padidėti draudimo  įmokos.</w:t>
            </w:r>
          </w:p>
          <w:p w14:paraId="4DAD6F93" w14:textId="683B6655" w:rsidR="00D2277A" w:rsidRPr="00643D1D" w:rsidRDefault="005D0748" w:rsidP="00DB7902">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Visgi,</w:t>
            </w:r>
            <w:r w:rsidR="00DB7902">
              <w:rPr>
                <w:rFonts w:ascii="Times New Roman" w:eastAsia="Times New Roman" w:hAnsi="Times New Roman" w:cs="Times New Roman"/>
                <w:sz w:val="24"/>
                <w:szCs w:val="24"/>
                <w:lang w:eastAsia="lt-LT"/>
              </w:rPr>
              <w:t xml:space="preserve"> įvertinus siekiamą rezultatą – užtikrinti tam tikrus visuomeninius </w:t>
            </w:r>
            <w:r>
              <w:rPr>
                <w:rFonts w:ascii="Times New Roman" w:eastAsia="Times New Roman" w:hAnsi="Times New Roman" w:cs="Times New Roman"/>
                <w:sz w:val="24"/>
                <w:szCs w:val="24"/>
                <w:lang w:eastAsia="lt-LT"/>
              </w:rPr>
              <w:t>interesu</w:t>
            </w:r>
            <w:r w:rsidR="00DB7902">
              <w:rPr>
                <w:rFonts w:ascii="Times New Roman" w:eastAsia="Times New Roman" w:hAnsi="Times New Roman" w:cs="Times New Roman"/>
                <w:sz w:val="24"/>
                <w:szCs w:val="24"/>
                <w:lang w:eastAsia="lt-LT"/>
              </w:rPr>
              <w:t>s</w:t>
            </w:r>
            <w:r w:rsidR="00D352C2">
              <w:rPr>
                <w:rFonts w:ascii="Times New Roman" w:eastAsia="Times New Roman" w:hAnsi="Times New Roman" w:cs="Times New Roman"/>
                <w:sz w:val="24"/>
                <w:szCs w:val="24"/>
                <w:lang w:eastAsia="lt-LT"/>
              </w:rPr>
              <w:t xml:space="preserve"> (</w:t>
            </w:r>
            <w:r w:rsidR="00D352C2" w:rsidRPr="00D902A4">
              <w:rPr>
                <w:rFonts w:ascii="Times New Roman" w:eastAsia="Times New Roman" w:hAnsi="Times New Roman" w:cs="Times New Roman"/>
                <w:sz w:val="24"/>
                <w:szCs w:val="24"/>
                <w:lang w:eastAsia="lt-LT"/>
              </w:rPr>
              <w:t>tinkam</w:t>
            </w:r>
            <w:r w:rsidR="00D352C2">
              <w:rPr>
                <w:rFonts w:ascii="Times New Roman" w:eastAsia="Times New Roman" w:hAnsi="Times New Roman" w:cs="Times New Roman"/>
                <w:sz w:val="24"/>
                <w:szCs w:val="24"/>
                <w:lang w:eastAsia="lt-LT"/>
              </w:rPr>
              <w:t>ą</w:t>
            </w:r>
            <w:r w:rsidR="00D352C2" w:rsidRPr="00D902A4">
              <w:rPr>
                <w:rFonts w:ascii="Times New Roman" w:hAnsi="Times New Roman" w:cs="Times New Roman"/>
                <w:sz w:val="24"/>
                <w:szCs w:val="24"/>
              </w:rPr>
              <w:t xml:space="preserve"> žalos, atsiradusios trečiajam asmeniui dėl geležinkelio įmonės (vežėjo) veiklos, atlyginim</w:t>
            </w:r>
            <w:r w:rsidR="00D352C2">
              <w:rPr>
                <w:rFonts w:ascii="Times New Roman" w:hAnsi="Times New Roman" w:cs="Times New Roman"/>
                <w:sz w:val="24"/>
                <w:szCs w:val="24"/>
              </w:rPr>
              <w:t>ą</w:t>
            </w:r>
            <w:r w:rsidR="00D352C2" w:rsidRPr="00D902A4">
              <w:rPr>
                <w:rFonts w:ascii="Times New Roman" w:hAnsi="Times New Roman" w:cs="Times New Roman"/>
                <w:sz w:val="24"/>
                <w:szCs w:val="24"/>
              </w:rPr>
              <w:t xml:space="preserve"> ir</w:t>
            </w:r>
            <w:r w:rsidR="00D352C2" w:rsidRPr="00D902A4">
              <w:rPr>
                <w:rFonts w:ascii="Times New Roman" w:hAnsi="Times New Roman" w:cs="Times New Roman"/>
                <w:color w:val="000000"/>
                <w:sz w:val="24"/>
                <w:szCs w:val="24"/>
              </w:rPr>
              <w:t xml:space="preserve"> geležinkelio įmonės (vežėjo) veiklos, įvykus draudžiamajam įvykiui, tęstinum</w:t>
            </w:r>
            <w:r w:rsidR="00D352C2">
              <w:rPr>
                <w:rFonts w:ascii="Times New Roman" w:hAnsi="Times New Roman" w:cs="Times New Roman"/>
                <w:color w:val="000000"/>
                <w:sz w:val="24"/>
                <w:szCs w:val="24"/>
              </w:rPr>
              <w:t>ą, geležinkelio įmonės (vežėjo)</w:t>
            </w:r>
            <w:r w:rsidR="00D352C2">
              <w:rPr>
                <w:rFonts w:ascii="Times New Roman" w:hAnsi="Times New Roman" w:cs="Times New Roman"/>
                <w:color w:val="000000"/>
                <w:sz w:val="24"/>
                <w:szCs w:val="24"/>
              </w:rPr>
              <w:t>, geležinkelių transporto paslaugų teikimo</w:t>
            </w:r>
            <w:r w:rsidR="00D352C2">
              <w:rPr>
                <w:rFonts w:ascii="Times New Roman" w:hAnsi="Times New Roman" w:cs="Times New Roman"/>
                <w:color w:val="000000"/>
                <w:sz w:val="24"/>
                <w:szCs w:val="24"/>
              </w:rPr>
              <w:t xml:space="preserve"> patikimumą</w:t>
            </w:r>
            <w:r w:rsidR="00D352C2">
              <w:rPr>
                <w:rFonts w:ascii="Times New Roman" w:hAnsi="Times New Roman" w:cs="Times New Roman"/>
                <w:color w:val="000000"/>
                <w:sz w:val="24"/>
                <w:szCs w:val="24"/>
              </w:rPr>
              <w:t>)</w:t>
            </w:r>
            <w:r w:rsidR="00DB7902">
              <w:rPr>
                <w:rFonts w:ascii="Times New Roman" w:eastAsia="Times New Roman" w:hAnsi="Times New Roman" w:cs="Times New Roman"/>
                <w:sz w:val="24"/>
                <w:szCs w:val="24"/>
                <w:lang w:eastAsia="lt-LT"/>
              </w:rPr>
              <w:t>, siūlomas sprendimo būdas yra proporcingas siektinam tikslui</w:t>
            </w:r>
            <w:r w:rsidR="00AC6BA5">
              <w:rPr>
                <w:rFonts w:ascii="Times New Roman" w:eastAsia="Times New Roman" w:hAnsi="Times New Roman" w:cs="Times New Roman"/>
                <w:sz w:val="24"/>
                <w:szCs w:val="24"/>
                <w:lang w:eastAsia="lt-LT"/>
              </w:rPr>
              <w:t xml:space="preserve">. </w:t>
            </w:r>
            <w:r w:rsidR="00523BDF" w:rsidRPr="00523BDF">
              <w:rPr>
                <w:rFonts w:ascii="Times New Roman" w:eastAsia="Times New Roman" w:hAnsi="Times New Roman" w:cs="Times New Roman"/>
                <w:sz w:val="24"/>
                <w:szCs w:val="24"/>
                <w:lang w:eastAsia="lt-LT"/>
              </w:rPr>
              <w:t xml:space="preserve"> </w:t>
            </w:r>
          </w:p>
        </w:tc>
      </w:tr>
    </w:tbl>
    <w:p w14:paraId="7EC82ED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i/>
          <w:iCs/>
          <w:sz w:val="24"/>
          <w:szCs w:val="24"/>
          <w:lang w:eastAsia="lt-LT"/>
        </w:rPr>
        <w:t> </w:t>
      </w:r>
    </w:p>
    <w:tbl>
      <w:tblPr>
        <w:tblW w:w="9935" w:type="dxa"/>
        <w:tblCellMar>
          <w:left w:w="0" w:type="dxa"/>
          <w:right w:w="0" w:type="dxa"/>
        </w:tblCellMar>
        <w:tblLook w:val="04A0" w:firstRow="1" w:lastRow="0" w:firstColumn="1" w:lastColumn="0" w:noHBand="0" w:noVBand="1"/>
      </w:tblPr>
      <w:tblGrid>
        <w:gridCol w:w="9915"/>
        <w:gridCol w:w="20"/>
      </w:tblGrid>
      <w:tr w:rsidR="00CC0EE7" w:rsidRPr="00643D1D" w14:paraId="6F2149E7" w14:textId="77777777" w:rsidTr="009F7D9E">
        <w:trPr>
          <w:trHeight w:val="407"/>
        </w:trPr>
        <w:tc>
          <w:tcPr>
            <w:tcW w:w="9915" w:type="dxa"/>
            <w:vMerge w:val="restart"/>
            <w:shd w:val="clear" w:color="auto" w:fill="DBE5F1"/>
            <w:tcMar>
              <w:top w:w="0" w:type="dxa"/>
              <w:left w:w="108" w:type="dxa"/>
              <w:bottom w:w="0" w:type="dxa"/>
              <w:right w:w="108" w:type="dxa"/>
            </w:tcMar>
            <w:hideMark/>
          </w:tcPr>
          <w:p w14:paraId="7820AC0E" w14:textId="6653BC7C" w:rsidR="009F4894" w:rsidRPr="009F7D9E" w:rsidRDefault="00CC0EE7" w:rsidP="009F7D9E">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Kita svarbi informacija</w:t>
            </w:r>
            <w:r w:rsidR="009C34B5">
              <w:rPr>
                <w:rFonts w:ascii="Times New Roman" w:eastAsia="Times New Roman" w:hAnsi="Times New Roman" w:cs="Times New Roman"/>
                <w:b/>
                <w:bCs/>
                <w:sz w:val="24"/>
                <w:szCs w:val="24"/>
                <w:lang w:eastAsia="lt-LT"/>
              </w:rPr>
              <w:t xml:space="preserve">      </w:t>
            </w:r>
          </w:p>
        </w:tc>
        <w:tc>
          <w:tcPr>
            <w:tcW w:w="20" w:type="dxa"/>
            <w:vAlign w:val="center"/>
            <w:hideMark/>
          </w:tcPr>
          <w:p w14:paraId="187582A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39D0DB74" w14:textId="77777777" w:rsidTr="009F7D9E">
        <w:trPr>
          <w:trHeight w:val="293"/>
        </w:trPr>
        <w:tc>
          <w:tcPr>
            <w:tcW w:w="9915" w:type="dxa"/>
            <w:vMerge/>
            <w:vAlign w:val="center"/>
            <w:hideMark/>
          </w:tcPr>
          <w:p w14:paraId="6B1D26F0"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20" w:type="dxa"/>
            <w:vAlign w:val="center"/>
            <w:hideMark/>
          </w:tcPr>
          <w:p w14:paraId="586BC77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281F8FE0" w14:textId="77777777" w:rsidTr="009F7D9E">
        <w:trPr>
          <w:trHeight w:val="61"/>
        </w:trPr>
        <w:tc>
          <w:tcPr>
            <w:tcW w:w="9915" w:type="dxa"/>
            <w:vMerge/>
            <w:vAlign w:val="center"/>
            <w:hideMark/>
          </w:tcPr>
          <w:p w14:paraId="1C7FD134"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20" w:type="dxa"/>
            <w:vAlign w:val="center"/>
            <w:hideMark/>
          </w:tcPr>
          <w:p w14:paraId="6E89661E"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1051AD" w:rsidRPr="00643D1D" w14:paraId="437CE49C" w14:textId="77777777" w:rsidTr="009F7D9E">
        <w:trPr>
          <w:trHeight w:val="283"/>
        </w:trPr>
        <w:tc>
          <w:tcPr>
            <w:tcW w:w="9915" w:type="dxa"/>
            <w:vAlign w:val="center"/>
          </w:tcPr>
          <w:p w14:paraId="5DDF4B55"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c>
          <w:tcPr>
            <w:tcW w:w="20" w:type="dxa"/>
            <w:vAlign w:val="center"/>
          </w:tcPr>
          <w:p w14:paraId="5A59D63E"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r>
    </w:tbl>
    <w:p w14:paraId="295B1794" w14:textId="77777777" w:rsidR="00CC0EE7" w:rsidRPr="00602559" w:rsidRDefault="00CC0EE7"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Informacija apie asmenį ir instituciją, atsakingą už poveikio vertinimą</w:t>
      </w:r>
    </w:p>
    <w:p w14:paraId="26A4599D" w14:textId="77777777" w:rsidR="00CC0EE7" w:rsidRPr="00602559" w:rsidRDefault="00CC0EE7" w:rsidP="00CC0EE7">
      <w:pPr>
        <w:spacing w:after="0" w:line="240" w:lineRule="auto"/>
        <w:ind w:left="1296"/>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8"/>
        <w:gridCol w:w="7055"/>
      </w:tblGrid>
      <w:tr w:rsidR="00CC0EE7" w:rsidRPr="00643D1D" w14:paraId="0267A84D" w14:textId="77777777" w:rsidTr="00CC0EE7">
        <w:tc>
          <w:tcPr>
            <w:tcW w:w="143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A0EB581"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Vardas ir pavardė</w:t>
            </w:r>
          </w:p>
        </w:tc>
        <w:tc>
          <w:tcPr>
            <w:tcW w:w="3562"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155C4B1" w14:textId="267578C2" w:rsidR="00CC0EE7" w:rsidRPr="00643D1D" w:rsidRDefault="00503D75" w:rsidP="005652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Jurgita Norkienė</w:t>
            </w:r>
          </w:p>
        </w:tc>
      </w:tr>
      <w:tr w:rsidR="00CC0EE7" w:rsidRPr="00643D1D" w14:paraId="0ECB9DDB"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B037F6"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Pareigos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C5FB5BB" w14:textId="7BFBBB2D"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Vyr</w:t>
            </w:r>
            <w:r w:rsidR="00503D75">
              <w:rPr>
                <w:rFonts w:ascii="Times New Roman" w:eastAsia="Times New Roman" w:hAnsi="Times New Roman" w:cs="Times New Roman"/>
                <w:sz w:val="24"/>
                <w:szCs w:val="24"/>
                <w:lang w:eastAsia="lt-LT"/>
              </w:rPr>
              <w:t>esnioji patarėja</w:t>
            </w:r>
          </w:p>
        </w:tc>
      </w:tr>
      <w:tr w:rsidR="00CC0EE7" w:rsidRPr="00643D1D" w14:paraId="0053D790"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7382A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Institucija (padalinys)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E67D499" w14:textId="2BB7DDC4"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Susisiekimo ministerijos </w:t>
            </w:r>
            <w:r w:rsidR="00503D75">
              <w:rPr>
                <w:rFonts w:ascii="Times New Roman" w:eastAsia="Times New Roman" w:hAnsi="Times New Roman" w:cs="Times New Roman"/>
                <w:sz w:val="24"/>
                <w:szCs w:val="24"/>
                <w:lang w:eastAsia="lt-LT"/>
              </w:rPr>
              <w:t>Vandens ir geležinkelių</w:t>
            </w:r>
            <w:r w:rsidRPr="00643D1D">
              <w:rPr>
                <w:rFonts w:ascii="Times New Roman" w:eastAsia="Times New Roman" w:hAnsi="Times New Roman" w:cs="Times New Roman"/>
                <w:sz w:val="24"/>
                <w:szCs w:val="24"/>
                <w:lang w:eastAsia="lt-LT"/>
              </w:rPr>
              <w:t xml:space="preserve"> transporto politikos grupė</w:t>
            </w:r>
          </w:p>
        </w:tc>
      </w:tr>
      <w:tr w:rsidR="00CC0EE7" w:rsidRPr="00643D1D" w14:paraId="1F0B63F2"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816AF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Telefono numeris ir elektroninio pašto adresas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1EF102F6" w14:textId="694372D7" w:rsidR="00CC0EE7" w:rsidRPr="00643D1D" w:rsidRDefault="005D0748" w:rsidP="00CC0EE7">
            <w:pPr>
              <w:spacing w:after="0" w:line="240" w:lineRule="auto"/>
              <w:jc w:val="both"/>
              <w:rPr>
                <w:rFonts w:ascii="Times New Roman" w:eastAsia="Times New Roman" w:hAnsi="Times New Roman" w:cs="Times New Roman"/>
                <w:sz w:val="24"/>
                <w:szCs w:val="24"/>
                <w:lang w:eastAsia="lt-LT"/>
              </w:rPr>
            </w:pPr>
            <w:r w:rsidRPr="005D0748">
              <w:rPr>
                <w:rFonts w:ascii="Times New Roman" w:hAnsi="Times New Roman" w:cs="Times New Roman"/>
                <w:sz w:val="24"/>
                <w:szCs w:val="24"/>
              </w:rPr>
              <w:t>(8 5) 239 3964</w:t>
            </w:r>
            <w:r w:rsidRPr="005D0748">
              <w:rPr>
                <w:rFonts w:ascii="Times New Roman" w:hAnsi="Times New Roman" w:cs="Times New Roman"/>
                <w:sz w:val="24"/>
                <w:szCs w:val="24"/>
              </w:rPr>
              <w:t>,</w:t>
            </w:r>
            <w:r>
              <w:t xml:space="preserve"> </w:t>
            </w:r>
            <w:r w:rsidR="00565261" w:rsidRPr="00643D1D">
              <w:rPr>
                <w:rFonts w:ascii="Times New Roman" w:eastAsia="Times New Roman" w:hAnsi="Times New Roman" w:cs="Times New Roman"/>
                <w:sz w:val="24"/>
                <w:szCs w:val="24"/>
                <w:lang w:eastAsia="lt-LT"/>
              </w:rPr>
              <w:t xml:space="preserve">el. p. </w:t>
            </w:r>
            <w:r w:rsidR="00503D75">
              <w:rPr>
                <w:rFonts w:ascii="Times New Roman" w:eastAsia="Times New Roman" w:hAnsi="Times New Roman" w:cs="Times New Roman"/>
                <w:sz w:val="24"/>
                <w:szCs w:val="24"/>
                <w:lang w:eastAsia="lt-LT"/>
              </w:rPr>
              <w:t>jurgita.norkiene</w:t>
            </w:r>
            <w:r w:rsidR="00565261" w:rsidRPr="00643D1D">
              <w:rPr>
                <w:rFonts w:ascii="Times New Roman" w:eastAsia="Times New Roman" w:hAnsi="Times New Roman" w:cs="Times New Roman"/>
                <w:sz w:val="24"/>
                <w:szCs w:val="24"/>
                <w:lang w:eastAsia="lt-LT"/>
              </w:rPr>
              <w:t>@sumin.lt</w:t>
            </w:r>
          </w:p>
        </w:tc>
      </w:tr>
    </w:tbl>
    <w:p w14:paraId="130606D2" w14:textId="77777777" w:rsidR="00AB4E4A" w:rsidRPr="00643D1D" w:rsidRDefault="00CC0EE7" w:rsidP="006F376C">
      <w:pPr>
        <w:spacing w:after="0" w:line="240" w:lineRule="auto"/>
        <w:jc w:val="both"/>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sz w:val="24"/>
          <w:szCs w:val="24"/>
          <w:lang w:eastAsia="lt-LT"/>
        </w:rPr>
        <w:t> </w:t>
      </w:r>
    </w:p>
    <w:sectPr w:rsidR="00AB4E4A" w:rsidRPr="00643D1D" w:rsidSect="009F7D9E">
      <w:headerReference w:type="default" r:id="rId7"/>
      <w:pgSz w:w="11906" w:h="16838"/>
      <w:pgMar w:top="426" w:right="282"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EE2E" w14:textId="77777777" w:rsidR="00916715" w:rsidRDefault="00916715" w:rsidP="0065510B">
      <w:pPr>
        <w:spacing w:after="0" w:line="240" w:lineRule="auto"/>
      </w:pPr>
      <w:r>
        <w:separator/>
      </w:r>
    </w:p>
  </w:endnote>
  <w:endnote w:type="continuationSeparator" w:id="0">
    <w:p w14:paraId="5DB8A722" w14:textId="77777777" w:rsidR="00916715" w:rsidRDefault="00916715" w:rsidP="0065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39BA" w14:textId="77777777" w:rsidR="00916715" w:rsidRDefault="00916715" w:rsidP="0065510B">
      <w:pPr>
        <w:spacing w:after="0" w:line="240" w:lineRule="auto"/>
      </w:pPr>
      <w:r>
        <w:separator/>
      </w:r>
    </w:p>
  </w:footnote>
  <w:footnote w:type="continuationSeparator" w:id="0">
    <w:p w14:paraId="2BE96F2F" w14:textId="77777777" w:rsidR="00916715" w:rsidRDefault="00916715" w:rsidP="0065510B">
      <w:pPr>
        <w:spacing w:after="0" w:line="240" w:lineRule="auto"/>
      </w:pPr>
      <w:r>
        <w:continuationSeparator/>
      </w:r>
    </w:p>
  </w:footnote>
  <w:footnote w:id="1">
    <w:p w14:paraId="15A825BF" w14:textId="77777777" w:rsidR="00026913" w:rsidRPr="00FE308B" w:rsidRDefault="00026913" w:rsidP="00026913">
      <w:pPr>
        <w:pStyle w:val="Puslapioinaostekstas"/>
        <w:rPr>
          <w:lang w:val="lt-LT"/>
        </w:rPr>
      </w:pPr>
      <w:r>
        <w:rPr>
          <w:rStyle w:val="Puslapioinaosnuoroda"/>
        </w:rPr>
        <w:footnoteRef/>
      </w:r>
      <w:r>
        <w:t xml:space="preserve"> </w:t>
      </w:r>
      <w:r w:rsidRPr="00FE308B">
        <w:t xml:space="preserve">2012 m. </w:t>
      </w:r>
      <w:proofErr w:type="spellStart"/>
      <w:r w:rsidRPr="00FE308B">
        <w:t>lapkričio</w:t>
      </w:r>
      <w:proofErr w:type="spellEnd"/>
      <w:r w:rsidRPr="00FE308B">
        <w:t xml:space="preserve"> 21 d. Europos </w:t>
      </w:r>
      <w:proofErr w:type="spellStart"/>
      <w:r w:rsidRPr="00FE308B">
        <w:t>Parlamento</w:t>
      </w:r>
      <w:proofErr w:type="spellEnd"/>
      <w:r w:rsidRPr="00FE308B">
        <w:t xml:space="preserve"> </w:t>
      </w:r>
      <w:proofErr w:type="spellStart"/>
      <w:r w:rsidRPr="00FE308B">
        <w:t>ir</w:t>
      </w:r>
      <w:proofErr w:type="spellEnd"/>
      <w:r w:rsidRPr="00FE308B">
        <w:t xml:space="preserve"> </w:t>
      </w:r>
      <w:proofErr w:type="spellStart"/>
      <w:r w:rsidRPr="00FE308B">
        <w:t>Tarybos</w:t>
      </w:r>
      <w:proofErr w:type="spellEnd"/>
      <w:r w:rsidRPr="00FE308B">
        <w:t xml:space="preserve"> </w:t>
      </w:r>
      <w:proofErr w:type="spellStart"/>
      <w:r w:rsidRPr="00FE308B">
        <w:t>direktyvos</w:t>
      </w:r>
      <w:proofErr w:type="spellEnd"/>
      <w:r w:rsidRPr="00FE308B">
        <w:t xml:space="preserve"> 2012/34/ES, </w:t>
      </w:r>
      <w:proofErr w:type="spellStart"/>
      <w:r w:rsidRPr="00FE308B">
        <w:t>kuria</w:t>
      </w:r>
      <w:proofErr w:type="spellEnd"/>
      <w:r w:rsidRPr="00FE308B">
        <w:t xml:space="preserve"> </w:t>
      </w:r>
      <w:proofErr w:type="spellStart"/>
      <w:r w:rsidRPr="00FE308B">
        <w:t>sukuriama</w:t>
      </w:r>
      <w:proofErr w:type="spellEnd"/>
      <w:r w:rsidRPr="00FE308B">
        <w:t xml:space="preserve"> </w:t>
      </w:r>
      <w:proofErr w:type="spellStart"/>
      <w:r w:rsidRPr="00FE308B">
        <w:t>bendra</w:t>
      </w:r>
      <w:proofErr w:type="spellEnd"/>
      <w:r w:rsidRPr="00FE308B">
        <w:t xml:space="preserve"> Europos </w:t>
      </w:r>
      <w:proofErr w:type="spellStart"/>
      <w:r w:rsidRPr="00FE308B">
        <w:t>geležinkelių</w:t>
      </w:r>
      <w:proofErr w:type="spellEnd"/>
      <w:r w:rsidRPr="00FE308B">
        <w:t xml:space="preserve"> </w:t>
      </w:r>
      <w:proofErr w:type="spellStart"/>
      <w:r w:rsidRPr="00FE308B">
        <w:t>erdvė</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070158"/>
      <w:docPartObj>
        <w:docPartGallery w:val="Page Numbers (Top of Page)"/>
        <w:docPartUnique/>
      </w:docPartObj>
    </w:sdtPr>
    <w:sdtEndPr/>
    <w:sdtContent>
      <w:p w14:paraId="6307E860" w14:textId="77777777" w:rsidR="0065510B" w:rsidRDefault="0065510B">
        <w:pPr>
          <w:pStyle w:val="Antrats"/>
          <w:jc w:val="center"/>
        </w:pPr>
        <w:r>
          <w:fldChar w:fldCharType="begin"/>
        </w:r>
        <w:r>
          <w:instrText>PAGE   \* MERGEFORMAT</w:instrText>
        </w:r>
        <w:r>
          <w:fldChar w:fldCharType="separate"/>
        </w:r>
        <w:r>
          <w:t>2</w:t>
        </w:r>
        <w:r>
          <w:fldChar w:fldCharType="end"/>
        </w:r>
      </w:p>
    </w:sdtContent>
  </w:sdt>
  <w:p w14:paraId="416AA60F" w14:textId="77777777" w:rsidR="0065510B" w:rsidRDefault="00655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4CC8"/>
    <w:multiLevelType w:val="hybridMultilevel"/>
    <w:tmpl w:val="BAA4D84E"/>
    <w:lvl w:ilvl="0" w:tplc="828A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70B5E29"/>
    <w:multiLevelType w:val="hybridMultilevel"/>
    <w:tmpl w:val="1D94237A"/>
    <w:lvl w:ilvl="0" w:tplc="3FFC08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60B55"/>
    <w:multiLevelType w:val="hybridMultilevel"/>
    <w:tmpl w:val="D45458FA"/>
    <w:lvl w:ilvl="0" w:tplc="1FBCC44A">
      <w:start w:val="3"/>
      <w:numFmt w:val="bullet"/>
      <w:lvlText w:val="-"/>
      <w:lvlJc w:val="left"/>
      <w:pPr>
        <w:ind w:left="712" w:hanging="360"/>
      </w:pPr>
      <w:rPr>
        <w:rFonts w:ascii="Times New Roman" w:eastAsia="Times New Roman" w:hAnsi="Times New Roman" w:cs="Times New Roman"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7"/>
    <w:rsid w:val="00026913"/>
    <w:rsid w:val="00046818"/>
    <w:rsid w:val="00063492"/>
    <w:rsid w:val="000779E5"/>
    <w:rsid w:val="000C3F06"/>
    <w:rsid w:val="000F3CD5"/>
    <w:rsid w:val="000F7736"/>
    <w:rsid w:val="001006C1"/>
    <w:rsid w:val="001051AD"/>
    <w:rsid w:val="00105B06"/>
    <w:rsid w:val="00156EEA"/>
    <w:rsid w:val="00183723"/>
    <w:rsid w:val="001D15C9"/>
    <w:rsid w:val="00224105"/>
    <w:rsid w:val="00256AAC"/>
    <w:rsid w:val="00264475"/>
    <w:rsid w:val="002A3A53"/>
    <w:rsid w:val="002B18C3"/>
    <w:rsid w:val="002C734F"/>
    <w:rsid w:val="002D5278"/>
    <w:rsid w:val="00300F3D"/>
    <w:rsid w:val="0038033F"/>
    <w:rsid w:val="003D0943"/>
    <w:rsid w:val="003E7B34"/>
    <w:rsid w:val="003F67E3"/>
    <w:rsid w:val="004560D3"/>
    <w:rsid w:val="004E2858"/>
    <w:rsid w:val="004F75D3"/>
    <w:rsid w:val="00503D75"/>
    <w:rsid w:val="00523BDF"/>
    <w:rsid w:val="005457B4"/>
    <w:rsid w:val="005471AE"/>
    <w:rsid w:val="00565261"/>
    <w:rsid w:val="0056597B"/>
    <w:rsid w:val="005D0748"/>
    <w:rsid w:val="005D7D84"/>
    <w:rsid w:val="00602559"/>
    <w:rsid w:val="00604153"/>
    <w:rsid w:val="0063054D"/>
    <w:rsid w:val="00643D1D"/>
    <w:rsid w:val="0065510B"/>
    <w:rsid w:val="006754ED"/>
    <w:rsid w:val="006B4ED3"/>
    <w:rsid w:val="006F376C"/>
    <w:rsid w:val="0071219A"/>
    <w:rsid w:val="00761DF3"/>
    <w:rsid w:val="0078173C"/>
    <w:rsid w:val="00850318"/>
    <w:rsid w:val="0086329D"/>
    <w:rsid w:val="00886262"/>
    <w:rsid w:val="008B264A"/>
    <w:rsid w:val="00916715"/>
    <w:rsid w:val="00930D96"/>
    <w:rsid w:val="00964324"/>
    <w:rsid w:val="009C34B5"/>
    <w:rsid w:val="009C684E"/>
    <w:rsid w:val="009F2D20"/>
    <w:rsid w:val="009F2E20"/>
    <w:rsid w:val="009F4894"/>
    <w:rsid w:val="009F7D9E"/>
    <w:rsid w:val="00A1237E"/>
    <w:rsid w:val="00A3606F"/>
    <w:rsid w:val="00A551B3"/>
    <w:rsid w:val="00A64755"/>
    <w:rsid w:val="00A73E09"/>
    <w:rsid w:val="00A96F58"/>
    <w:rsid w:val="00AA1C0F"/>
    <w:rsid w:val="00AB4E4A"/>
    <w:rsid w:val="00AC6BA5"/>
    <w:rsid w:val="00AE4E9E"/>
    <w:rsid w:val="00B06AFC"/>
    <w:rsid w:val="00B31AD5"/>
    <w:rsid w:val="00B5350D"/>
    <w:rsid w:val="00B939D4"/>
    <w:rsid w:val="00BA1883"/>
    <w:rsid w:val="00BD0086"/>
    <w:rsid w:val="00BF1394"/>
    <w:rsid w:val="00C26041"/>
    <w:rsid w:val="00C346AC"/>
    <w:rsid w:val="00C43922"/>
    <w:rsid w:val="00CA5B46"/>
    <w:rsid w:val="00CC0EE7"/>
    <w:rsid w:val="00CC19A4"/>
    <w:rsid w:val="00CD5D34"/>
    <w:rsid w:val="00CF67BF"/>
    <w:rsid w:val="00D2277A"/>
    <w:rsid w:val="00D352C2"/>
    <w:rsid w:val="00D81DEB"/>
    <w:rsid w:val="00D82E46"/>
    <w:rsid w:val="00D902A4"/>
    <w:rsid w:val="00DB7902"/>
    <w:rsid w:val="00DE2DEE"/>
    <w:rsid w:val="00DF6514"/>
    <w:rsid w:val="00E270AD"/>
    <w:rsid w:val="00EB7CB6"/>
    <w:rsid w:val="00ED6ED2"/>
    <w:rsid w:val="00F04B1B"/>
    <w:rsid w:val="00F542A7"/>
    <w:rsid w:val="00FA1AF1"/>
    <w:rsid w:val="00FD7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A84F"/>
  <w15:chartTrackingRefBased/>
  <w15:docId w15:val="{C362F3BA-1617-48D2-B9C7-93123B8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47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71AE"/>
    <w:rPr>
      <w:rFonts w:ascii="Segoe UI" w:hAnsi="Segoe UI" w:cs="Segoe UI"/>
      <w:sz w:val="18"/>
      <w:szCs w:val="18"/>
    </w:rPr>
  </w:style>
  <w:style w:type="character" w:styleId="Hipersaitas">
    <w:name w:val="Hyperlink"/>
    <w:basedOn w:val="Numatytasispastraiposriftas"/>
    <w:uiPriority w:val="99"/>
    <w:semiHidden/>
    <w:unhideWhenUsed/>
    <w:rsid w:val="00C26041"/>
    <w:rPr>
      <w:color w:val="0000FF"/>
      <w:u w:val="single"/>
    </w:rPr>
  </w:style>
  <w:style w:type="paragraph" w:styleId="Sraopastraipa">
    <w:name w:val="List Paragraph"/>
    <w:basedOn w:val="prastasis"/>
    <w:uiPriority w:val="34"/>
    <w:qFormat/>
    <w:rsid w:val="005D7D84"/>
    <w:pPr>
      <w:ind w:left="720"/>
      <w:contextualSpacing/>
    </w:pPr>
  </w:style>
  <w:style w:type="paragraph" w:customStyle="1" w:styleId="Default">
    <w:name w:val="Default"/>
    <w:rsid w:val="00AE4E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ntrats">
    <w:name w:val="header"/>
    <w:basedOn w:val="prastasis"/>
    <w:link w:val="AntratsDiagrama"/>
    <w:uiPriority w:val="99"/>
    <w:unhideWhenUsed/>
    <w:rsid w:val="0065510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510B"/>
  </w:style>
  <w:style w:type="paragraph" w:styleId="Porat">
    <w:name w:val="footer"/>
    <w:basedOn w:val="prastasis"/>
    <w:link w:val="PoratDiagrama"/>
    <w:uiPriority w:val="99"/>
    <w:unhideWhenUsed/>
    <w:rsid w:val="0065510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510B"/>
  </w:style>
  <w:style w:type="character" w:styleId="Puslapioinaosnuoroda">
    <w:name w:val="footnote reference"/>
    <w:basedOn w:val="Numatytasispastraiposriftas"/>
    <w:semiHidden/>
    <w:unhideWhenUsed/>
    <w:rsid w:val="00026913"/>
    <w:rPr>
      <w:vertAlign w:val="superscript"/>
    </w:rPr>
  </w:style>
  <w:style w:type="paragraph" w:styleId="Puslapioinaostekstas">
    <w:name w:val="footnote text"/>
    <w:basedOn w:val="prastasis"/>
    <w:link w:val="PuslapioinaostekstasDiagrama"/>
    <w:semiHidden/>
    <w:unhideWhenUsed/>
    <w:rsid w:val="00026913"/>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026913"/>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3F67E3"/>
    <w:rPr>
      <w:b/>
      <w:bCs/>
    </w:rPr>
  </w:style>
  <w:style w:type="paragraph" w:styleId="prastasiniatinklio">
    <w:name w:val="Normal (Web)"/>
    <w:basedOn w:val="prastasis"/>
    <w:uiPriority w:val="99"/>
    <w:unhideWhenUsed/>
    <w:rsid w:val="003F67E3"/>
    <w:pPr>
      <w:spacing w:after="225"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6400">
      <w:bodyDiv w:val="1"/>
      <w:marLeft w:val="0"/>
      <w:marRight w:val="0"/>
      <w:marTop w:val="0"/>
      <w:marBottom w:val="0"/>
      <w:divBdr>
        <w:top w:val="none" w:sz="0" w:space="0" w:color="auto"/>
        <w:left w:val="none" w:sz="0" w:space="0" w:color="auto"/>
        <w:bottom w:val="none" w:sz="0" w:space="0" w:color="auto"/>
        <w:right w:val="none" w:sz="0" w:space="0" w:color="auto"/>
      </w:divBdr>
      <w:divsChild>
        <w:div w:id="88428147">
          <w:marLeft w:val="0"/>
          <w:marRight w:val="0"/>
          <w:marTop w:val="0"/>
          <w:marBottom w:val="0"/>
          <w:divBdr>
            <w:top w:val="none" w:sz="0" w:space="0" w:color="auto"/>
            <w:left w:val="none" w:sz="0" w:space="0" w:color="auto"/>
            <w:bottom w:val="none" w:sz="0" w:space="0" w:color="auto"/>
            <w:right w:val="none" w:sz="0" w:space="0" w:color="auto"/>
          </w:divBdr>
          <w:divsChild>
            <w:div w:id="867335497">
              <w:marLeft w:val="0"/>
              <w:marRight w:val="0"/>
              <w:marTop w:val="0"/>
              <w:marBottom w:val="0"/>
              <w:divBdr>
                <w:top w:val="none" w:sz="0" w:space="0" w:color="auto"/>
                <w:left w:val="none" w:sz="0" w:space="0" w:color="auto"/>
                <w:bottom w:val="none" w:sz="0" w:space="0" w:color="auto"/>
                <w:right w:val="none" w:sz="0" w:space="0" w:color="auto"/>
              </w:divBdr>
              <w:divsChild>
                <w:div w:id="1874227626">
                  <w:marLeft w:val="0"/>
                  <w:marRight w:val="0"/>
                  <w:marTop w:val="0"/>
                  <w:marBottom w:val="0"/>
                  <w:divBdr>
                    <w:top w:val="none" w:sz="0" w:space="0" w:color="auto"/>
                    <w:left w:val="none" w:sz="0" w:space="0" w:color="auto"/>
                    <w:bottom w:val="none" w:sz="0" w:space="0" w:color="auto"/>
                    <w:right w:val="none" w:sz="0" w:space="0" w:color="auto"/>
                  </w:divBdr>
                  <w:divsChild>
                    <w:div w:id="117719646">
                      <w:marLeft w:val="0"/>
                      <w:marRight w:val="0"/>
                      <w:marTop w:val="0"/>
                      <w:marBottom w:val="0"/>
                      <w:divBdr>
                        <w:top w:val="none" w:sz="0" w:space="0" w:color="auto"/>
                        <w:left w:val="none" w:sz="0" w:space="0" w:color="auto"/>
                        <w:bottom w:val="none" w:sz="0" w:space="0" w:color="auto"/>
                        <w:right w:val="none" w:sz="0" w:space="0" w:color="auto"/>
                      </w:divBdr>
                    </w:div>
                    <w:div w:id="928658870">
                      <w:marLeft w:val="0"/>
                      <w:marRight w:val="0"/>
                      <w:marTop w:val="0"/>
                      <w:marBottom w:val="0"/>
                      <w:divBdr>
                        <w:top w:val="none" w:sz="0" w:space="0" w:color="auto"/>
                        <w:left w:val="none" w:sz="0" w:space="0" w:color="auto"/>
                        <w:bottom w:val="none" w:sz="0" w:space="0" w:color="auto"/>
                        <w:right w:val="none" w:sz="0" w:space="0" w:color="auto"/>
                      </w:divBdr>
                    </w:div>
                    <w:div w:id="633293518">
                      <w:marLeft w:val="0"/>
                      <w:marRight w:val="0"/>
                      <w:marTop w:val="0"/>
                      <w:marBottom w:val="0"/>
                      <w:divBdr>
                        <w:top w:val="none" w:sz="0" w:space="0" w:color="auto"/>
                        <w:left w:val="none" w:sz="0" w:space="0" w:color="auto"/>
                        <w:bottom w:val="none" w:sz="0" w:space="0" w:color="auto"/>
                        <w:right w:val="none" w:sz="0" w:space="0" w:color="auto"/>
                      </w:divBdr>
                    </w:div>
                    <w:div w:id="1905098447">
                      <w:marLeft w:val="0"/>
                      <w:marRight w:val="0"/>
                      <w:marTop w:val="0"/>
                      <w:marBottom w:val="0"/>
                      <w:divBdr>
                        <w:top w:val="none" w:sz="0" w:space="0" w:color="auto"/>
                        <w:left w:val="none" w:sz="0" w:space="0" w:color="auto"/>
                        <w:bottom w:val="none" w:sz="0" w:space="0" w:color="auto"/>
                        <w:right w:val="none" w:sz="0" w:space="0" w:color="auto"/>
                      </w:divBdr>
                    </w:div>
                    <w:div w:id="185291008">
                      <w:marLeft w:val="0"/>
                      <w:marRight w:val="0"/>
                      <w:marTop w:val="0"/>
                      <w:marBottom w:val="0"/>
                      <w:divBdr>
                        <w:top w:val="none" w:sz="0" w:space="0" w:color="auto"/>
                        <w:left w:val="none" w:sz="0" w:space="0" w:color="auto"/>
                        <w:bottom w:val="none" w:sz="0" w:space="0" w:color="auto"/>
                        <w:right w:val="none" w:sz="0" w:space="0" w:color="auto"/>
                      </w:divBdr>
                    </w:div>
                    <w:div w:id="425031455">
                      <w:marLeft w:val="0"/>
                      <w:marRight w:val="0"/>
                      <w:marTop w:val="0"/>
                      <w:marBottom w:val="0"/>
                      <w:divBdr>
                        <w:top w:val="none" w:sz="0" w:space="0" w:color="auto"/>
                        <w:left w:val="none" w:sz="0" w:space="0" w:color="auto"/>
                        <w:bottom w:val="none" w:sz="0" w:space="0" w:color="auto"/>
                        <w:right w:val="none" w:sz="0" w:space="0" w:color="auto"/>
                      </w:divBdr>
                    </w:div>
                    <w:div w:id="66877816">
                      <w:marLeft w:val="0"/>
                      <w:marRight w:val="0"/>
                      <w:marTop w:val="0"/>
                      <w:marBottom w:val="0"/>
                      <w:divBdr>
                        <w:top w:val="none" w:sz="0" w:space="0" w:color="auto"/>
                        <w:left w:val="none" w:sz="0" w:space="0" w:color="auto"/>
                        <w:bottom w:val="none" w:sz="0" w:space="0" w:color="auto"/>
                        <w:right w:val="none" w:sz="0" w:space="0" w:color="auto"/>
                      </w:divBdr>
                    </w:div>
                    <w:div w:id="4235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1949">
      <w:bodyDiv w:val="1"/>
      <w:marLeft w:val="0"/>
      <w:marRight w:val="0"/>
      <w:marTop w:val="0"/>
      <w:marBottom w:val="0"/>
      <w:divBdr>
        <w:top w:val="none" w:sz="0" w:space="0" w:color="auto"/>
        <w:left w:val="none" w:sz="0" w:space="0" w:color="auto"/>
        <w:bottom w:val="none" w:sz="0" w:space="0" w:color="auto"/>
        <w:right w:val="none" w:sz="0" w:space="0" w:color="auto"/>
      </w:divBdr>
    </w:div>
    <w:div w:id="1616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5809</Words>
  <Characters>3312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2021-05-18T08:09:00Z</dcterms:created>
  <dc:creator>Laurynas Buzys</dc:creator>
  <cp:lastModifiedBy>Jurgita Norkienė</cp:lastModifiedBy>
  <cp:lastPrinted>2019-11-22T06:59:00Z</cp:lastPrinted>
  <dcterms:modified xsi:type="dcterms:W3CDTF">2021-05-18T08:17:00Z</dcterms:modified>
  <cp:revision>4</cp:revision>
</cp:coreProperties>
</file>