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B9433" w14:textId="77777777" w:rsidR="00915C4D" w:rsidRPr="00461EE2" w:rsidRDefault="00F14F27" w:rsidP="00F5258E">
      <w:pPr>
        <w:jc w:val="center"/>
        <w:rPr>
          <w:b/>
          <w:bCs/>
        </w:rPr>
      </w:pPr>
      <w:r w:rsidRPr="00461EE2">
        <w:rPr>
          <w:b/>
          <w:bCs/>
        </w:rPr>
        <w:t>2022</w:t>
      </w:r>
      <w:r w:rsidR="00915C4D" w:rsidRPr="00461EE2">
        <w:rPr>
          <w:b/>
          <w:bCs/>
        </w:rPr>
        <w:t xml:space="preserve"> m. Lietuvai aktualiausių ES darbotvarkės klausimų sąvadas</w:t>
      </w:r>
      <w:bookmarkStart w:id="0" w:name="_GoBack"/>
      <w:bookmarkEnd w:id="0"/>
    </w:p>
    <w:p w14:paraId="28313D33" w14:textId="77777777" w:rsidR="00915C4D" w:rsidRPr="00461EE2" w:rsidRDefault="00915C4D" w:rsidP="00F5258E">
      <w:pPr>
        <w:jc w:val="both"/>
        <w:rPr>
          <w:bCs/>
        </w:rPr>
      </w:pPr>
    </w:p>
    <w:p w14:paraId="04058ABF" w14:textId="77777777" w:rsidR="00915C4D" w:rsidRPr="00461EE2" w:rsidRDefault="00915C4D" w:rsidP="00F5258E">
      <w:pPr>
        <w:jc w:val="both"/>
        <w:rPr>
          <w:bCs/>
        </w:rPr>
      </w:pPr>
      <w:r w:rsidRPr="00461EE2">
        <w:rPr>
          <w:bCs/>
        </w:rPr>
        <w:t>Sąvadas parengtas pagal 202</w:t>
      </w:r>
      <w:r w:rsidR="00F14F27" w:rsidRPr="00461EE2">
        <w:rPr>
          <w:bCs/>
        </w:rPr>
        <w:t>2</w:t>
      </w:r>
      <w:r w:rsidRPr="00461EE2">
        <w:rPr>
          <w:bCs/>
        </w:rPr>
        <w:t xml:space="preserve"> metų Europos Komisijos darbo programos I priedą „Naujos iniciatyvos“.</w:t>
      </w:r>
    </w:p>
    <w:p w14:paraId="63A88439" w14:textId="77777777" w:rsidR="00915C4D" w:rsidRPr="00461EE2" w:rsidRDefault="00915C4D" w:rsidP="00F5258E">
      <w:pPr>
        <w:jc w:val="both"/>
      </w:pPr>
    </w:p>
    <w:p w14:paraId="52E55972" w14:textId="77777777" w:rsidR="00915C4D" w:rsidRPr="00461EE2" w:rsidRDefault="00915C4D" w:rsidP="00F5258E"/>
    <w:tbl>
      <w:tblPr>
        <w:tblW w:w="146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23"/>
        <w:gridCol w:w="1927"/>
        <w:gridCol w:w="4394"/>
        <w:gridCol w:w="6096"/>
        <w:gridCol w:w="1560"/>
      </w:tblGrid>
      <w:tr w:rsidR="0021564D" w:rsidRPr="00461EE2" w14:paraId="71DF6FC5" w14:textId="77777777" w:rsidTr="00461EE2">
        <w:trPr>
          <w:trHeight w:val="282"/>
        </w:trPr>
        <w:tc>
          <w:tcPr>
            <w:tcW w:w="654" w:type="dxa"/>
            <w:gridSpan w:val="2"/>
            <w:tcBorders>
              <w:top w:val="single" w:sz="4" w:space="0" w:color="auto"/>
              <w:left w:val="single" w:sz="4" w:space="0" w:color="auto"/>
              <w:bottom w:val="single" w:sz="4" w:space="0" w:color="auto"/>
              <w:right w:val="single" w:sz="4" w:space="0" w:color="auto"/>
            </w:tcBorders>
            <w:hideMark/>
          </w:tcPr>
          <w:p w14:paraId="43A542FB" w14:textId="77777777" w:rsidR="00AE3C18" w:rsidRPr="00461EE2" w:rsidRDefault="00AE3C18" w:rsidP="00F5258E">
            <w:pPr>
              <w:ind w:left="12"/>
              <w:rPr>
                <w:color w:val="000000" w:themeColor="text1"/>
              </w:rPr>
            </w:pPr>
            <w:r w:rsidRPr="00461EE2">
              <w:rPr>
                <w:color w:val="000000" w:themeColor="text1"/>
              </w:rPr>
              <w:t>Eil. Nr.</w:t>
            </w:r>
          </w:p>
        </w:tc>
        <w:tc>
          <w:tcPr>
            <w:tcW w:w="1927" w:type="dxa"/>
            <w:tcBorders>
              <w:top w:val="single" w:sz="4" w:space="0" w:color="auto"/>
              <w:left w:val="single" w:sz="4" w:space="0" w:color="auto"/>
              <w:bottom w:val="single" w:sz="4" w:space="0" w:color="auto"/>
              <w:right w:val="single" w:sz="4" w:space="0" w:color="auto"/>
            </w:tcBorders>
            <w:vAlign w:val="center"/>
            <w:hideMark/>
          </w:tcPr>
          <w:p w14:paraId="3607657C" w14:textId="77777777" w:rsidR="00AE3C18" w:rsidRPr="00461EE2" w:rsidRDefault="00AE3C18" w:rsidP="00C25259">
            <w:pPr>
              <w:autoSpaceDE w:val="0"/>
              <w:autoSpaceDN w:val="0"/>
              <w:adjustRightInd w:val="0"/>
              <w:rPr>
                <w:b/>
                <w:bCs/>
                <w:color w:val="000000" w:themeColor="text1"/>
              </w:rPr>
            </w:pPr>
            <w:r w:rsidRPr="00461EE2">
              <w:rPr>
                <w:b/>
                <w:bCs/>
                <w:color w:val="000000" w:themeColor="text1"/>
              </w:rPr>
              <w:t>Pasiūlymo pavadinimas</w:t>
            </w:r>
          </w:p>
        </w:tc>
        <w:tc>
          <w:tcPr>
            <w:tcW w:w="4394" w:type="dxa"/>
            <w:tcBorders>
              <w:top w:val="single" w:sz="4" w:space="0" w:color="auto"/>
              <w:left w:val="single" w:sz="4" w:space="0" w:color="auto"/>
              <w:bottom w:val="single" w:sz="4" w:space="0" w:color="auto"/>
              <w:right w:val="single" w:sz="4" w:space="0" w:color="auto"/>
            </w:tcBorders>
            <w:vAlign w:val="center"/>
            <w:hideMark/>
          </w:tcPr>
          <w:p w14:paraId="54CD18C4" w14:textId="77777777" w:rsidR="00AE3C18" w:rsidRPr="00461EE2" w:rsidRDefault="00C25259" w:rsidP="00C25259">
            <w:pPr>
              <w:pStyle w:val="Heading9"/>
              <w:jc w:val="left"/>
              <w:rPr>
                <w:color w:val="000000" w:themeColor="text1"/>
                <w:sz w:val="24"/>
              </w:rPr>
            </w:pPr>
            <w:r>
              <w:rPr>
                <w:color w:val="000000" w:themeColor="text1"/>
                <w:sz w:val="24"/>
              </w:rPr>
              <w:t>Teisės akto pavadinimas ir p</w:t>
            </w:r>
            <w:r w:rsidR="00AE3C18" w:rsidRPr="00461EE2">
              <w:rPr>
                <w:color w:val="000000" w:themeColor="text1"/>
                <w:sz w:val="24"/>
              </w:rPr>
              <w:t>asiūlymo esmė</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B3C056C" w14:textId="77777777" w:rsidR="00AE3C18" w:rsidRPr="00461EE2" w:rsidRDefault="00AE3C18" w:rsidP="00F5258E">
            <w:pPr>
              <w:pStyle w:val="Heading9"/>
              <w:jc w:val="left"/>
              <w:rPr>
                <w:color w:val="000000" w:themeColor="text1"/>
                <w:sz w:val="24"/>
              </w:rPr>
            </w:pPr>
            <w:r w:rsidRPr="00461EE2">
              <w:rPr>
                <w:color w:val="000000" w:themeColor="text1"/>
                <w:sz w:val="24"/>
              </w:rPr>
              <w:t>Aktualumas Lietuvai ir jo pagrindimas</w:t>
            </w:r>
          </w:p>
        </w:tc>
        <w:tc>
          <w:tcPr>
            <w:tcW w:w="1560" w:type="dxa"/>
            <w:tcBorders>
              <w:top w:val="single" w:sz="4" w:space="0" w:color="auto"/>
              <w:left w:val="single" w:sz="4" w:space="0" w:color="auto"/>
              <w:bottom w:val="single" w:sz="4" w:space="0" w:color="auto"/>
              <w:right w:val="single" w:sz="4" w:space="0" w:color="auto"/>
            </w:tcBorders>
            <w:hideMark/>
          </w:tcPr>
          <w:p w14:paraId="28A8E17E" w14:textId="77777777" w:rsidR="00AE3C18" w:rsidRPr="00461EE2" w:rsidRDefault="00AE3C18" w:rsidP="00F5258E">
            <w:pPr>
              <w:pStyle w:val="Heading9"/>
              <w:ind w:left="34" w:hanging="34"/>
              <w:jc w:val="left"/>
              <w:rPr>
                <w:color w:val="000000" w:themeColor="text1"/>
                <w:sz w:val="24"/>
              </w:rPr>
            </w:pPr>
            <w:r w:rsidRPr="00461EE2">
              <w:rPr>
                <w:color w:val="000000" w:themeColor="text1"/>
                <w:sz w:val="24"/>
              </w:rPr>
              <w:t>Atsakinga institucija</w:t>
            </w:r>
            <w:r w:rsidRPr="00461EE2">
              <w:rPr>
                <w:rStyle w:val="FootnoteReference"/>
                <w:color w:val="000000" w:themeColor="text1"/>
                <w:sz w:val="24"/>
              </w:rPr>
              <w:footnoteReference w:id="1"/>
            </w:r>
          </w:p>
        </w:tc>
      </w:tr>
      <w:tr w:rsidR="0021564D" w:rsidRPr="00461EE2" w14:paraId="65FF46BD" w14:textId="77777777" w:rsidTr="00461EE2">
        <w:trPr>
          <w:trHeight w:val="282"/>
        </w:trPr>
        <w:tc>
          <w:tcPr>
            <w:tcW w:w="13071" w:type="dxa"/>
            <w:gridSpan w:val="5"/>
            <w:tcBorders>
              <w:top w:val="single" w:sz="4" w:space="0" w:color="auto"/>
              <w:left w:val="single" w:sz="4" w:space="0" w:color="auto"/>
              <w:bottom w:val="single" w:sz="4" w:space="0" w:color="auto"/>
              <w:right w:val="single" w:sz="4" w:space="0" w:color="auto"/>
            </w:tcBorders>
          </w:tcPr>
          <w:p w14:paraId="23CFBFF8" w14:textId="77777777" w:rsidR="00AE3C18" w:rsidRPr="00461EE2" w:rsidRDefault="00657FF6" w:rsidP="00F5258E">
            <w:pPr>
              <w:pStyle w:val="Heading9"/>
              <w:ind w:left="34"/>
              <w:jc w:val="left"/>
              <w:rPr>
                <w:color w:val="000000" w:themeColor="text1"/>
                <w:sz w:val="24"/>
              </w:rPr>
            </w:pPr>
            <w:r w:rsidRPr="00461EE2">
              <w:rPr>
                <w:color w:val="000000" w:themeColor="text1"/>
                <w:sz w:val="24"/>
              </w:rPr>
              <w:t>Europos žaliasis kursas</w:t>
            </w:r>
          </w:p>
        </w:tc>
        <w:tc>
          <w:tcPr>
            <w:tcW w:w="1560" w:type="dxa"/>
            <w:tcBorders>
              <w:top w:val="single" w:sz="4" w:space="0" w:color="auto"/>
              <w:left w:val="single" w:sz="4" w:space="0" w:color="auto"/>
              <w:bottom w:val="single" w:sz="4" w:space="0" w:color="auto"/>
              <w:right w:val="single" w:sz="4" w:space="0" w:color="auto"/>
            </w:tcBorders>
          </w:tcPr>
          <w:p w14:paraId="74045A0B" w14:textId="77777777" w:rsidR="00AE3C18" w:rsidRPr="00461EE2" w:rsidRDefault="00AE3C18" w:rsidP="00F5258E">
            <w:pPr>
              <w:pStyle w:val="Heading9"/>
              <w:jc w:val="left"/>
              <w:rPr>
                <w:color w:val="000000" w:themeColor="text1"/>
                <w:sz w:val="24"/>
              </w:rPr>
            </w:pPr>
          </w:p>
        </w:tc>
      </w:tr>
      <w:tr w:rsidR="00DA38E7" w:rsidRPr="00461EE2" w14:paraId="73BB545F"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0D49AC7C" w14:textId="77777777" w:rsidR="00DA38E7" w:rsidRPr="00461EE2" w:rsidRDefault="00DA38E7" w:rsidP="00DA38E7">
            <w:r w:rsidRPr="00461EE2">
              <w:t>1</w:t>
            </w:r>
          </w:p>
        </w:tc>
        <w:tc>
          <w:tcPr>
            <w:tcW w:w="1950" w:type="dxa"/>
            <w:gridSpan w:val="2"/>
            <w:tcBorders>
              <w:top w:val="single" w:sz="4" w:space="0" w:color="auto"/>
              <w:left w:val="single" w:sz="4" w:space="0" w:color="auto"/>
              <w:bottom w:val="single" w:sz="4" w:space="0" w:color="auto"/>
              <w:right w:val="single" w:sz="4" w:space="0" w:color="auto"/>
            </w:tcBorders>
          </w:tcPr>
          <w:p w14:paraId="5E6AD322" w14:textId="77777777" w:rsidR="00DA38E7" w:rsidRPr="00461EE2" w:rsidRDefault="00DA38E7" w:rsidP="00DA38E7">
            <w:pPr>
              <w:rPr>
                <w:b/>
              </w:rPr>
            </w:pPr>
            <w:r w:rsidRPr="00461EE2">
              <w:rPr>
                <w:b/>
              </w:rPr>
              <w:t>Nulinės taršos paketas</w:t>
            </w:r>
          </w:p>
          <w:p w14:paraId="4332A122" w14:textId="77777777" w:rsidR="00347F89" w:rsidRPr="00461EE2" w:rsidRDefault="00347F89" w:rsidP="00DA38E7">
            <w:pPr>
              <w:rPr>
                <w:b/>
              </w:rPr>
            </w:pPr>
          </w:p>
          <w:p w14:paraId="085C70C5" w14:textId="77777777" w:rsidR="00347F89" w:rsidRPr="00461EE2" w:rsidRDefault="00347F89" w:rsidP="00DA38E7">
            <w:pPr>
              <w:rPr>
                <w:b/>
              </w:rPr>
            </w:pPr>
          </w:p>
        </w:tc>
        <w:tc>
          <w:tcPr>
            <w:tcW w:w="4394" w:type="dxa"/>
            <w:tcBorders>
              <w:top w:val="single" w:sz="4" w:space="0" w:color="auto"/>
              <w:left w:val="single" w:sz="4" w:space="0" w:color="auto"/>
              <w:bottom w:val="single" w:sz="4" w:space="0" w:color="auto"/>
              <w:right w:val="single" w:sz="4" w:space="0" w:color="auto"/>
            </w:tcBorders>
          </w:tcPr>
          <w:p w14:paraId="5D5ED9C1" w14:textId="77777777" w:rsidR="00347F89" w:rsidRPr="00461EE2" w:rsidRDefault="00347F89" w:rsidP="00347F89">
            <w:pPr>
              <w:pStyle w:val="Default"/>
              <w:jc w:val="both"/>
              <w:rPr>
                <w:sz w:val="20"/>
                <w:szCs w:val="20"/>
                <w:lang w:val="lt-LT"/>
              </w:rPr>
            </w:pPr>
            <w:r w:rsidRPr="00461EE2">
              <w:rPr>
                <w:sz w:val="20"/>
                <w:szCs w:val="20"/>
                <w:lang w:val="lt-LT"/>
              </w:rPr>
              <w:t xml:space="preserve">a) </w:t>
            </w:r>
            <w:r w:rsidRPr="00461EE2">
              <w:rPr>
                <w:b/>
                <w:bCs/>
                <w:sz w:val="20"/>
                <w:szCs w:val="20"/>
                <w:lang w:val="lt-LT"/>
              </w:rPr>
              <w:t xml:space="preserve">Reglamento (EB) Nr. 1272/2008 dėl klasifikavimo, ženklinimo ir pakavimo persvarstymas </w:t>
            </w:r>
            <w:r w:rsidRPr="00461EE2">
              <w:rPr>
                <w:sz w:val="20"/>
                <w:szCs w:val="20"/>
                <w:lang w:val="lt-LT"/>
              </w:rPr>
              <w:t xml:space="preserve">(teisėkūros procedūra priimamas aktas, įskaitant poveikio vertinimą, SESV 114 straipsnis, 2022 m. II ketv.) </w:t>
            </w:r>
          </w:p>
          <w:p w14:paraId="1AD4B70E" w14:textId="77777777" w:rsidR="00347F89" w:rsidRPr="00461EE2" w:rsidRDefault="00347F89" w:rsidP="00347F89">
            <w:pPr>
              <w:pStyle w:val="Default"/>
              <w:jc w:val="both"/>
              <w:rPr>
                <w:sz w:val="20"/>
                <w:szCs w:val="20"/>
                <w:lang w:val="lt-LT"/>
              </w:rPr>
            </w:pPr>
            <w:r w:rsidRPr="00461EE2">
              <w:rPr>
                <w:sz w:val="20"/>
                <w:szCs w:val="20"/>
                <w:lang w:val="lt-LT"/>
              </w:rPr>
              <w:t xml:space="preserve">b) </w:t>
            </w:r>
            <w:r w:rsidRPr="00461EE2">
              <w:rPr>
                <w:b/>
                <w:bCs/>
                <w:sz w:val="20"/>
                <w:szCs w:val="20"/>
                <w:lang w:val="lt-LT"/>
              </w:rPr>
              <w:t xml:space="preserve">Integruota vandentvarka – persvarstyti paviršinio ir požeminio vandens teršalų sąrašai </w:t>
            </w:r>
            <w:r w:rsidRPr="00461EE2">
              <w:rPr>
                <w:sz w:val="20"/>
                <w:szCs w:val="20"/>
                <w:lang w:val="lt-LT"/>
              </w:rPr>
              <w:t xml:space="preserve">(teisėkūros procedūra priimamas aktas, įskaitant poveikio vertinimą, SESV 192 straipsnis, 2021 m. III ketvirtis) </w:t>
            </w:r>
          </w:p>
          <w:p w14:paraId="6D7F43D0" w14:textId="77777777" w:rsidR="00347F89" w:rsidRPr="00461EE2" w:rsidRDefault="00347F89" w:rsidP="00347F89">
            <w:pPr>
              <w:pStyle w:val="Default"/>
              <w:jc w:val="both"/>
              <w:rPr>
                <w:sz w:val="20"/>
                <w:szCs w:val="20"/>
                <w:lang w:val="lt-LT"/>
              </w:rPr>
            </w:pPr>
            <w:r w:rsidRPr="00461EE2">
              <w:rPr>
                <w:sz w:val="20"/>
                <w:szCs w:val="20"/>
                <w:lang w:val="lt-LT"/>
              </w:rPr>
              <w:t xml:space="preserve">c) </w:t>
            </w:r>
            <w:r w:rsidRPr="00461EE2">
              <w:rPr>
                <w:b/>
                <w:bCs/>
                <w:sz w:val="20"/>
                <w:szCs w:val="20"/>
                <w:lang w:val="lt-LT"/>
              </w:rPr>
              <w:t xml:space="preserve">ES aplinkos oro kokybės </w:t>
            </w:r>
            <w:r w:rsidR="006A4BEE">
              <w:rPr>
                <w:b/>
                <w:bCs/>
                <w:sz w:val="20"/>
                <w:szCs w:val="20"/>
                <w:lang w:val="lt-LT"/>
              </w:rPr>
              <w:t xml:space="preserve">srities </w:t>
            </w:r>
            <w:r w:rsidRPr="00461EE2">
              <w:rPr>
                <w:b/>
                <w:bCs/>
                <w:sz w:val="20"/>
                <w:szCs w:val="20"/>
                <w:lang w:val="lt-LT"/>
              </w:rPr>
              <w:t>teisės akt</w:t>
            </w:r>
            <w:r w:rsidR="006A4BEE">
              <w:rPr>
                <w:b/>
                <w:bCs/>
                <w:sz w:val="20"/>
                <w:szCs w:val="20"/>
                <w:lang w:val="lt-LT"/>
              </w:rPr>
              <w:t>ų</w:t>
            </w:r>
            <w:r w:rsidRPr="00461EE2">
              <w:rPr>
                <w:b/>
                <w:bCs/>
                <w:sz w:val="20"/>
                <w:szCs w:val="20"/>
                <w:lang w:val="lt-LT"/>
              </w:rPr>
              <w:t xml:space="preserve"> persvarstymas </w:t>
            </w:r>
            <w:r w:rsidRPr="00461EE2">
              <w:rPr>
                <w:sz w:val="20"/>
                <w:szCs w:val="20"/>
                <w:lang w:val="lt-LT"/>
              </w:rPr>
              <w:t xml:space="preserve">(teisėkūros procedūra priimamas aktas, įskaitant poveikio vertinimą, SESV 192 straipsnis, 2022 m. III ketv.) </w:t>
            </w:r>
          </w:p>
          <w:p w14:paraId="46597773" w14:textId="77777777" w:rsidR="00347F89" w:rsidRPr="00461EE2" w:rsidRDefault="00347F89" w:rsidP="00DA38E7">
            <w:pPr>
              <w:jc w:val="both"/>
            </w:pPr>
          </w:p>
          <w:p w14:paraId="71485E67" w14:textId="77777777" w:rsidR="00DA38E7" w:rsidRPr="00461EE2" w:rsidRDefault="00DA38E7" w:rsidP="00DA38E7">
            <w:pPr>
              <w:jc w:val="both"/>
            </w:pPr>
            <w:r w:rsidRPr="00461EE2">
              <w:t>ES nulinės taršos veiksmų planas yra Žaliojo kurso dalis, kuriuo siekiama iki 2050 m. sumažinti oro, vandens ir dirvožemio taršą, kad nebūtų reikšmingo poveikio ekosistemoms ir žmogaus sveikatai – sukurti aplinką be toksinių medžiagų. Veiksmų planas numato šiuos taršos mažinimo iki 2030 m. tikslus:</w:t>
            </w:r>
          </w:p>
          <w:p w14:paraId="005A7747" w14:textId="77777777" w:rsidR="00DA38E7" w:rsidRPr="00461EE2" w:rsidRDefault="00DA38E7" w:rsidP="00DA38E7">
            <w:pPr>
              <w:pStyle w:val="ListParagraph"/>
              <w:numPr>
                <w:ilvl w:val="0"/>
                <w:numId w:val="5"/>
              </w:numPr>
              <w:jc w:val="both"/>
            </w:pPr>
            <w:r w:rsidRPr="00461EE2">
              <w:lastRenderedPageBreak/>
              <w:t>gerinti oro kokybę, siekiant sumažinti oro taršos sukeliamų priešlaikinių mirčių skaičių 55 proc.;</w:t>
            </w:r>
          </w:p>
          <w:p w14:paraId="299E9AF6" w14:textId="77777777" w:rsidR="00DA38E7" w:rsidRPr="00461EE2" w:rsidRDefault="00DA38E7" w:rsidP="00DA38E7">
            <w:pPr>
              <w:pStyle w:val="ListParagraph"/>
              <w:numPr>
                <w:ilvl w:val="0"/>
                <w:numId w:val="5"/>
              </w:numPr>
              <w:jc w:val="both"/>
            </w:pPr>
            <w:r w:rsidRPr="00461EE2">
              <w:t>gerinti vandens kokybę, mažinant atliekų ir plastiko šiukšlių kiekį jūrose (50 proc.) ir mikroplastiko pateikimą į aplinką (30 proc.);</w:t>
            </w:r>
          </w:p>
          <w:p w14:paraId="44ABA3BD" w14:textId="77777777" w:rsidR="00DA38E7" w:rsidRPr="00461EE2" w:rsidRDefault="00DA38E7" w:rsidP="00DA38E7">
            <w:pPr>
              <w:pStyle w:val="ListParagraph"/>
              <w:numPr>
                <w:ilvl w:val="0"/>
                <w:numId w:val="5"/>
              </w:numPr>
              <w:jc w:val="both"/>
            </w:pPr>
            <w:r w:rsidRPr="00461EE2">
              <w:t>gerinti dirvožemio kokybę, mažinant trąšų nuostolius ir cheminių pesticidų naudojimą 50 proc.;</w:t>
            </w:r>
          </w:p>
          <w:p w14:paraId="07B55FC2" w14:textId="77777777" w:rsidR="00DA38E7" w:rsidRPr="00461EE2" w:rsidRDefault="00DA38E7" w:rsidP="00DA38E7">
            <w:pPr>
              <w:pStyle w:val="ListParagraph"/>
              <w:numPr>
                <w:ilvl w:val="0"/>
                <w:numId w:val="5"/>
              </w:numPr>
              <w:jc w:val="both"/>
            </w:pPr>
            <w:r w:rsidRPr="00461EE2">
              <w:t>25 proc. sumažinti ES ekosistemų, kuriose oro tarša kelia grėsmę biologinei įvairovei;</w:t>
            </w:r>
          </w:p>
          <w:p w14:paraId="54273DA3" w14:textId="77777777" w:rsidR="00DA38E7" w:rsidRPr="00461EE2" w:rsidRDefault="00DA38E7" w:rsidP="00DA38E7">
            <w:pPr>
              <w:pStyle w:val="ListParagraph"/>
              <w:numPr>
                <w:ilvl w:val="0"/>
                <w:numId w:val="5"/>
              </w:numPr>
              <w:jc w:val="both"/>
            </w:pPr>
            <w:r w:rsidRPr="00461EE2">
              <w:t>30 proc. sumažinti gyventojų dalį, patiriančių nuolatinį transporto triukšmą;</w:t>
            </w:r>
          </w:p>
          <w:p w14:paraId="00747DD8" w14:textId="77777777" w:rsidR="00DA38E7" w:rsidRPr="00461EE2" w:rsidRDefault="00DA38E7" w:rsidP="00DA38E7">
            <w:pPr>
              <w:pStyle w:val="ListParagraph"/>
              <w:numPr>
                <w:ilvl w:val="0"/>
                <w:numId w:val="5"/>
              </w:numPr>
              <w:jc w:val="both"/>
            </w:pPr>
            <w:r w:rsidRPr="00461EE2">
              <w:t>reikšmingai sumažinti bendrą atliekų susidarymą ir 50 proc. – galutinių komunalinių atliekų kiekį.</w:t>
            </w:r>
          </w:p>
        </w:tc>
        <w:tc>
          <w:tcPr>
            <w:tcW w:w="6096" w:type="dxa"/>
            <w:tcBorders>
              <w:top w:val="single" w:sz="4" w:space="0" w:color="auto"/>
              <w:left w:val="single" w:sz="4" w:space="0" w:color="auto"/>
              <w:bottom w:val="single" w:sz="4" w:space="0" w:color="auto"/>
              <w:right w:val="single" w:sz="4" w:space="0" w:color="auto"/>
            </w:tcBorders>
          </w:tcPr>
          <w:p w14:paraId="100C82F7" w14:textId="77777777" w:rsidR="00DA38E7" w:rsidRPr="00461EE2" w:rsidRDefault="00DA38E7" w:rsidP="00DA38E7">
            <w:pPr>
              <w:jc w:val="both"/>
              <w:rPr>
                <w:b/>
              </w:rPr>
            </w:pPr>
            <w:r w:rsidRPr="00461EE2">
              <w:rPr>
                <w:b/>
              </w:rPr>
              <w:lastRenderedPageBreak/>
              <w:t>Labai aktualu</w:t>
            </w:r>
          </w:p>
          <w:p w14:paraId="4B08F9C0" w14:textId="77777777" w:rsidR="00DA38E7" w:rsidRPr="00461EE2" w:rsidRDefault="00DA38E7" w:rsidP="00DA38E7">
            <w:pPr>
              <w:jc w:val="both"/>
            </w:pPr>
            <w:r w:rsidRPr="00461EE2">
              <w:t>Pritariame ES nulinės taršos veiksmų plane nustatytiems taršos mažinimo tikslams, kuriais siekiama paspartinti Žaliajame kurse numatytą ambiciją – sukurti aplinką be toksinų. Siekiant įgyvendinti pastarąją ambiciją, būtinos papildomos intervencijos taršos stebėsenos, mažinimo ir prevencijos srityse. Tam, kad priemonės būtų priimtos laiku ir tinkamai įgyvendintos, daugiau dėmesio turėtų būti skiriama gyventojų aplinkosauginio sąmoningumo didinimui, visuomenės iniciatyvų skatinimui ir jos įsitraukimui į sprendimų priėmimą.</w:t>
            </w:r>
          </w:p>
          <w:p w14:paraId="32620CAF" w14:textId="77777777" w:rsidR="00DA38E7" w:rsidRPr="00461EE2" w:rsidRDefault="00DA38E7" w:rsidP="00DA38E7">
            <w:pPr>
              <w:jc w:val="both"/>
            </w:pPr>
            <w:r w:rsidRPr="00461EE2">
              <w:t xml:space="preserve">Pritariame aplinkos oro užterštumo normų griežtinimui pagal Pasaulio sveikatos organizacijos rekomendacijas, tačiau atkreipiame dėmesį, kad, norint gerinti oro kokybę, turi būti užtikrinama klimato kaitos ir oro taršos valdymo priemonių taikymo sinergija. </w:t>
            </w:r>
          </w:p>
          <w:p w14:paraId="768D7421" w14:textId="0E7C1914" w:rsidR="00DA38E7" w:rsidRDefault="006C0D6F" w:rsidP="00DA38E7">
            <w:pPr>
              <w:jc w:val="both"/>
            </w:pPr>
            <w:r w:rsidRPr="00300E36">
              <w:t>Remiame</w:t>
            </w:r>
            <w:r>
              <w:t xml:space="preserve"> </w:t>
            </w:r>
            <w:r w:rsidRPr="00A3768C">
              <w:t xml:space="preserve">iniciatyvą mažinti maistinių medžiagų </w:t>
            </w:r>
            <w:r>
              <w:t>išsiplovimus iš dirvožemio</w:t>
            </w:r>
            <w:r w:rsidRPr="00A3768C">
              <w:t xml:space="preserve"> ir siekį sumažinti </w:t>
            </w:r>
            <w:r w:rsidR="00D94839">
              <w:t xml:space="preserve">mineralinių </w:t>
            </w:r>
            <w:r w:rsidRPr="00A3768C">
              <w:t>trąšų ir pesticidų naudojimą.</w:t>
            </w:r>
            <w:r>
              <w:t xml:space="preserve"> Būtinas </w:t>
            </w:r>
            <w:r w:rsidRPr="00024E66">
              <w:t>racionalios</w:t>
            </w:r>
            <w:r>
              <w:t xml:space="preserve"> </w:t>
            </w:r>
            <w:r w:rsidRPr="00FE23FC">
              <w:t>augalų mitybos užtikrinimas</w:t>
            </w:r>
            <w:r>
              <w:t>,</w:t>
            </w:r>
            <w:r w:rsidRPr="00FE23FC">
              <w:t xml:space="preserve"> siekiant konkurencingo derliaus, tausojant</w:t>
            </w:r>
            <w:r>
              <w:t xml:space="preserve"> </w:t>
            </w:r>
            <w:r w:rsidRPr="00FE23FC">
              <w:t>dirvožemio derlingumą, maisto medžiagų išteklius ir aplinką.</w:t>
            </w:r>
            <w:r>
              <w:t xml:space="preserve"> </w:t>
            </w:r>
            <w:r w:rsidRPr="00FE23FC">
              <w:t xml:space="preserve">Svarbu, kad </w:t>
            </w:r>
            <w:r w:rsidRPr="00FE23FC">
              <w:lastRenderedPageBreak/>
              <w:t>augalų maisto medžiagos trąšų pavidalu būtų tinkamai</w:t>
            </w:r>
            <w:r>
              <w:t xml:space="preserve"> </w:t>
            </w:r>
            <w:r w:rsidRPr="00FE23FC">
              <w:t>panaudojamos</w:t>
            </w:r>
            <w:r>
              <w:t>,</w:t>
            </w:r>
            <w:r w:rsidRPr="00FE23FC">
              <w:t xml:space="preserve"> atsižvelgiant į sąlygas, padedančias augalams</w:t>
            </w:r>
            <w:r>
              <w:t xml:space="preserve"> </w:t>
            </w:r>
            <w:r w:rsidRPr="00FE23FC">
              <w:t>jas pasisavinti.</w:t>
            </w:r>
            <w:r>
              <w:t xml:space="preserve"> </w:t>
            </w:r>
            <w:r w:rsidR="00DA38E7" w:rsidRPr="00461EE2">
              <w:t xml:space="preserve">Perteklinių maistinių medžiagų išplovimas į vandens telkinius išlieka labai aktualia problema, kurią būtina spręsti, norint pasiekti gerą vandens telkinių būklę. </w:t>
            </w:r>
          </w:p>
          <w:p w14:paraId="2BAD1F09" w14:textId="77777777" w:rsidR="006A4BEE" w:rsidRPr="00461EE2" w:rsidRDefault="006A4BEE" w:rsidP="00DA38E7">
            <w:pPr>
              <w:jc w:val="both"/>
            </w:pPr>
            <w:r w:rsidRPr="006A4BEE">
              <w:t>Pritariame cheminių medžiagų klasifikavimo reglamentavimo griežtinimui nustatant naujas pavojingumo klases, kurioms būtų priskiriamos endokrininę sistemą ardančios medžiagos, patvarios, bioakumuliacinės ir toksiškos medžiagos, labai patvarios ir didelės bioakumuliacijos medžiagos, patvarios medžiagos ir judrios medžiagos.</w:t>
            </w:r>
          </w:p>
        </w:tc>
        <w:tc>
          <w:tcPr>
            <w:tcW w:w="1560" w:type="dxa"/>
            <w:tcBorders>
              <w:top w:val="single" w:sz="4" w:space="0" w:color="auto"/>
              <w:left w:val="single" w:sz="4" w:space="0" w:color="auto"/>
              <w:bottom w:val="single" w:sz="4" w:space="0" w:color="auto"/>
              <w:right w:val="single" w:sz="4" w:space="0" w:color="auto"/>
            </w:tcBorders>
          </w:tcPr>
          <w:p w14:paraId="2B8C584A" w14:textId="516DC4EE" w:rsidR="00DA38E7" w:rsidRDefault="00DA38E7" w:rsidP="00DA38E7">
            <w:r w:rsidRPr="00461EE2">
              <w:lastRenderedPageBreak/>
              <w:t>Aplinkos ministerija</w:t>
            </w:r>
          </w:p>
          <w:p w14:paraId="4223D551" w14:textId="2AEF7E7F" w:rsidR="006A4BEE" w:rsidRPr="00461EE2" w:rsidRDefault="006A4BEE" w:rsidP="00147930">
            <w:r w:rsidRPr="00147930">
              <w:t>Sveikatos apsaugos ministerija</w:t>
            </w:r>
          </w:p>
        </w:tc>
      </w:tr>
      <w:tr w:rsidR="00DA38E7" w:rsidRPr="00461EE2" w14:paraId="50B1BF76" w14:textId="77777777" w:rsidTr="00461EE2">
        <w:trPr>
          <w:trHeight w:val="629"/>
        </w:trPr>
        <w:tc>
          <w:tcPr>
            <w:tcW w:w="631" w:type="dxa"/>
            <w:tcBorders>
              <w:top w:val="single" w:sz="4" w:space="0" w:color="auto"/>
              <w:left w:val="single" w:sz="4" w:space="0" w:color="auto"/>
              <w:bottom w:val="single" w:sz="4" w:space="0" w:color="auto"/>
              <w:right w:val="single" w:sz="4" w:space="0" w:color="auto"/>
            </w:tcBorders>
          </w:tcPr>
          <w:p w14:paraId="74A0B971" w14:textId="77777777" w:rsidR="00DA38E7" w:rsidRPr="00461EE2" w:rsidRDefault="00DA38E7" w:rsidP="00DA38E7">
            <w:r w:rsidRPr="00461EE2">
              <w:t>2</w:t>
            </w:r>
          </w:p>
        </w:tc>
        <w:tc>
          <w:tcPr>
            <w:tcW w:w="1950" w:type="dxa"/>
            <w:gridSpan w:val="2"/>
            <w:tcBorders>
              <w:top w:val="single" w:sz="4" w:space="0" w:color="auto"/>
              <w:left w:val="single" w:sz="4" w:space="0" w:color="auto"/>
              <w:bottom w:val="single" w:sz="4" w:space="0" w:color="auto"/>
              <w:right w:val="single" w:sz="4" w:space="0" w:color="auto"/>
            </w:tcBorders>
          </w:tcPr>
          <w:p w14:paraId="54F72AD9" w14:textId="77777777" w:rsidR="00DA38E7" w:rsidRPr="00461EE2" w:rsidRDefault="00DA38E7" w:rsidP="00DA38E7">
            <w:pPr>
              <w:rPr>
                <w:b/>
              </w:rPr>
            </w:pPr>
            <w:r w:rsidRPr="00461EE2">
              <w:rPr>
                <w:b/>
              </w:rPr>
              <w:t>Klimato priemonių paketas</w:t>
            </w:r>
          </w:p>
        </w:tc>
        <w:tc>
          <w:tcPr>
            <w:tcW w:w="4394" w:type="dxa"/>
            <w:tcBorders>
              <w:top w:val="single" w:sz="4" w:space="0" w:color="auto"/>
              <w:left w:val="single" w:sz="4" w:space="0" w:color="auto"/>
              <w:bottom w:val="single" w:sz="4" w:space="0" w:color="auto"/>
              <w:right w:val="single" w:sz="4" w:space="0" w:color="auto"/>
            </w:tcBorders>
          </w:tcPr>
          <w:p w14:paraId="293397FB" w14:textId="77777777" w:rsidR="00347F89" w:rsidRPr="00461EE2" w:rsidRDefault="00347F89" w:rsidP="00347F89">
            <w:pPr>
              <w:pStyle w:val="Default"/>
              <w:jc w:val="both"/>
              <w:rPr>
                <w:sz w:val="20"/>
                <w:szCs w:val="20"/>
                <w:lang w:val="lt-LT"/>
              </w:rPr>
            </w:pPr>
            <w:r w:rsidRPr="00461EE2">
              <w:rPr>
                <w:sz w:val="20"/>
                <w:szCs w:val="20"/>
                <w:lang w:val="lt-LT"/>
              </w:rPr>
              <w:t xml:space="preserve">a) </w:t>
            </w:r>
            <w:r w:rsidRPr="00461EE2">
              <w:rPr>
                <w:b/>
                <w:bCs/>
                <w:sz w:val="20"/>
                <w:szCs w:val="20"/>
                <w:lang w:val="lt-LT"/>
              </w:rPr>
              <w:t xml:space="preserve">ES taisyklių dėl fluorintų šiltnamio efektą sukeliančių dujų persvarstymas </w:t>
            </w:r>
            <w:r w:rsidRPr="00461EE2">
              <w:rPr>
                <w:sz w:val="20"/>
                <w:szCs w:val="20"/>
                <w:lang w:val="lt-LT"/>
              </w:rPr>
              <w:t xml:space="preserve">(teisėkūros procedūra priimamas aktas, įskaitant poveikio vertinimą, SESV 192 straipsnio 1 dalis, 2022 m. II ketv.) </w:t>
            </w:r>
          </w:p>
          <w:p w14:paraId="3B5A4729" w14:textId="77777777" w:rsidR="00347F89" w:rsidRPr="00461EE2" w:rsidRDefault="00347F89" w:rsidP="00347F89">
            <w:pPr>
              <w:pStyle w:val="Default"/>
              <w:jc w:val="both"/>
              <w:rPr>
                <w:sz w:val="20"/>
                <w:szCs w:val="20"/>
                <w:lang w:val="lt-LT"/>
              </w:rPr>
            </w:pPr>
            <w:r w:rsidRPr="00461EE2">
              <w:rPr>
                <w:sz w:val="20"/>
                <w:szCs w:val="20"/>
                <w:lang w:val="lt-LT"/>
              </w:rPr>
              <w:t xml:space="preserve">b) </w:t>
            </w:r>
            <w:r w:rsidRPr="00461EE2">
              <w:rPr>
                <w:b/>
                <w:bCs/>
                <w:sz w:val="20"/>
                <w:szCs w:val="20"/>
                <w:lang w:val="lt-LT"/>
              </w:rPr>
              <w:t xml:space="preserve">ES transporto ir logistikos sektoriuose išmetamo teršalų kiekio suderinto matavimo sistema </w:t>
            </w:r>
            <w:r w:rsidRPr="00461EE2">
              <w:rPr>
                <w:sz w:val="20"/>
                <w:szCs w:val="20"/>
                <w:lang w:val="lt-LT"/>
              </w:rPr>
              <w:t xml:space="preserve">(teisėkūros procedūra priimamas aktas, įskaitant poveikio vertinimą, SESV 91 straipsnis ir 100 straipsnio 2 dalis, 2022 m. IV ketv.) </w:t>
            </w:r>
          </w:p>
          <w:p w14:paraId="1168B49B" w14:textId="77777777" w:rsidR="00347F89" w:rsidRPr="00461EE2" w:rsidRDefault="00347F89" w:rsidP="00347F89">
            <w:pPr>
              <w:pStyle w:val="Default"/>
              <w:jc w:val="both"/>
              <w:rPr>
                <w:sz w:val="20"/>
                <w:szCs w:val="20"/>
                <w:lang w:val="lt-LT"/>
              </w:rPr>
            </w:pPr>
            <w:r w:rsidRPr="00461EE2">
              <w:rPr>
                <w:sz w:val="20"/>
                <w:szCs w:val="20"/>
                <w:lang w:val="lt-LT"/>
              </w:rPr>
              <w:t xml:space="preserve">c) </w:t>
            </w:r>
            <w:r w:rsidRPr="00461EE2">
              <w:rPr>
                <w:b/>
                <w:bCs/>
                <w:sz w:val="20"/>
                <w:szCs w:val="20"/>
                <w:lang w:val="lt-LT"/>
              </w:rPr>
              <w:t xml:space="preserve">Sunkiųjų transporto priemonių išmetamo CO2 kiekio standartų persvarstymas </w:t>
            </w:r>
            <w:r w:rsidRPr="00461EE2">
              <w:rPr>
                <w:sz w:val="20"/>
                <w:szCs w:val="20"/>
                <w:lang w:val="lt-LT"/>
              </w:rPr>
              <w:t xml:space="preserve">(teisėkūros procedūra priimamas aktas, įskaitant poveikio </w:t>
            </w:r>
            <w:r w:rsidRPr="00461EE2">
              <w:rPr>
                <w:sz w:val="20"/>
                <w:szCs w:val="20"/>
                <w:lang w:val="lt-LT"/>
              </w:rPr>
              <w:lastRenderedPageBreak/>
              <w:t xml:space="preserve">vertinimą, SESV 192 straipsnio 1 dalis, 2022 m. IV ketv.) </w:t>
            </w:r>
          </w:p>
          <w:p w14:paraId="78E5676F" w14:textId="77777777" w:rsidR="00347F89" w:rsidRPr="00461EE2" w:rsidRDefault="00347F89" w:rsidP="00347F89">
            <w:pPr>
              <w:pStyle w:val="Default"/>
              <w:jc w:val="both"/>
              <w:rPr>
                <w:sz w:val="20"/>
                <w:szCs w:val="20"/>
                <w:lang w:val="lt-LT"/>
              </w:rPr>
            </w:pPr>
            <w:r w:rsidRPr="00461EE2">
              <w:rPr>
                <w:sz w:val="20"/>
                <w:szCs w:val="20"/>
                <w:lang w:val="lt-LT"/>
              </w:rPr>
              <w:t xml:space="preserve">d) </w:t>
            </w:r>
            <w:r w:rsidRPr="00461EE2">
              <w:rPr>
                <w:b/>
                <w:bCs/>
                <w:sz w:val="20"/>
                <w:szCs w:val="20"/>
                <w:lang w:val="lt-LT"/>
              </w:rPr>
              <w:t xml:space="preserve">Anglies dioksido absorbavimo sertifikatas </w:t>
            </w:r>
            <w:r w:rsidRPr="00461EE2">
              <w:rPr>
                <w:sz w:val="20"/>
                <w:szCs w:val="20"/>
                <w:lang w:val="lt-LT"/>
              </w:rPr>
              <w:t xml:space="preserve">(teisėkūros procedūra priimamas aktas, įskaitant poveikio vertinimą, SESV 192 straipsnio 1 dalis, 2022 m. IV ketv.) </w:t>
            </w:r>
          </w:p>
          <w:p w14:paraId="13BE1852" w14:textId="77777777" w:rsidR="00347F89" w:rsidRPr="00461EE2" w:rsidRDefault="00347F89" w:rsidP="00DA38E7">
            <w:pPr>
              <w:jc w:val="both"/>
            </w:pPr>
          </w:p>
          <w:p w14:paraId="7EB7B32A" w14:textId="77777777" w:rsidR="00DA38E7" w:rsidRPr="00461EE2" w:rsidRDefault="00DA38E7" w:rsidP="00461EE2">
            <w:pPr>
              <w:jc w:val="both"/>
            </w:pPr>
            <w:r w:rsidRPr="00461EE2">
              <w:t>2021 m. liepos 14 d. Europos Komisija (EK) pateikė „Fit for 55“ paketo teisinį pasiūlymą, kuriuo siekiama patikslinti ES klimato ir energetikos teisės aktų paketą pagal padidintus užmojus iki 2030 m. sumažinti ES išmetamą ŠESD kiekį mažiausiai 55 proc., palyginti su 1990 m. Paketą sudaro keletas glaudžiai susijusių pasiūlymų, koreguojančių esamą sistemą su kuriamais naujais elementais.</w:t>
            </w:r>
          </w:p>
        </w:tc>
        <w:tc>
          <w:tcPr>
            <w:tcW w:w="6096" w:type="dxa"/>
            <w:tcBorders>
              <w:top w:val="single" w:sz="4" w:space="0" w:color="auto"/>
              <w:left w:val="single" w:sz="4" w:space="0" w:color="auto"/>
              <w:bottom w:val="single" w:sz="4" w:space="0" w:color="auto"/>
              <w:right w:val="single" w:sz="4" w:space="0" w:color="auto"/>
            </w:tcBorders>
          </w:tcPr>
          <w:p w14:paraId="686146FE" w14:textId="77777777" w:rsidR="00DA38E7" w:rsidRPr="00461EE2" w:rsidRDefault="00DA38E7" w:rsidP="00DA38E7">
            <w:pPr>
              <w:jc w:val="both"/>
              <w:rPr>
                <w:b/>
              </w:rPr>
            </w:pPr>
            <w:r w:rsidRPr="00461EE2">
              <w:rPr>
                <w:b/>
              </w:rPr>
              <w:lastRenderedPageBreak/>
              <w:t>Labai aktualu</w:t>
            </w:r>
          </w:p>
          <w:p w14:paraId="76ED7E79" w14:textId="7D5C608F" w:rsidR="008B51DB" w:rsidRDefault="008B51DB" w:rsidP="008B51DB">
            <w:pPr>
              <w:jc w:val="both"/>
            </w:pPr>
            <w:r w:rsidRPr="42FD3FF5">
              <w:t>Numatoma parengti Fluorintų šiltnamio efektą sukeliančių dujų  reglamento</w:t>
            </w:r>
            <w:r w:rsidR="00A92D6D">
              <w:t xml:space="preserve"> (ES)517/2014 pak</w:t>
            </w:r>
            <w:r w:rsidRPr="00A92D6D">
              <w:t>eitimą</w:t>
            </w:r>
            <w:r w:rsidRPr="42FD3FF5">
              <w:t xml:space="preserve">, siekiant nustatyti griežtesnius F-dujų naudojimo ir importo reikalavimus  ir geriau suderinti nuostatas su Monrealio protokolo Kigalio pakeitimu dėl F-dujų. Lietuva pritaria F-dujų reglamento peržiūrai F-dujų naudojimo griežtinimui, skatinant pakaitalų naudojimą ir importo kontrolės griežtinimui ES lygiu. </w:t>
            </w:r>
          </w:p>
          <w:p w14:paraId="1019DFFF" w14:textId="77777777" w:rsidR="008B51DB" w:rsidRDefault="008B51DB" w:rsidP="008B51DB">
            <w:pPr>
              <w:jc w:val="both"/>
            </w:pPr>
            <w:r w:rsidRPr="42FD3FF5">
              <w:t>Numatoma reglamentuoti  ES transporto ir logistikos sektoriuose išmetamo teršalų kiekio suderinto matavimo sistemą, kuri prisidės prie visų transporto rūšių taršos mažinimo.</w:t>
            </w:r>
          </w:p>
          <w:p w14:paraId="4BB2ECD0" w14:textId="49DEBA7F" w:rsidR="00DA38E7" w:rsidRPr="00461EE2" w:rsidRDefault="008B51DB" w:rsidP="008B51DB">
            <w:pPr>
              <w:jc w:val="both"/>
            </w:pPr>
            <w:r w:rsidRPr="42FD3FF5">
              <w:lastRenderedPageBreak/>
              <w:t xml:space="preserve">Sunkiųjų transporto priemonių išmetamo </w:t>
            </w:r>
            <w:r w:rsidRPr="0015331F">
              <w:t>CO</w:t>
            </w:r>
            <w:r w:rsidR="00C3067A" w:rsidRPr="00C3067A">
              <w:rPr>
                <w:vertAlign w:val="subscript"/>
              </w:rPr>
              <w:t>2</w:t>
            </w:r>
            <w:r w:rsidRPr="0015331F">
              <w:t xml:space="preserve"> kiekio standartų pakeitimas, siekiant peržiūrėti naujai gaminamų sunkiasvorių transporto priemonių CO</w:t>
            </w:r>
            <w:r w:rsidR="00C3067A" w:rsidRPr="00C3067A">
              <w:rPr>
                <w:vertAlign w:val="subscript"/>
              </w:rPr>
              <w:t>2</w:t>
            </w:r>
            <w:r w:rsidRPr="0015331F">
              <w:t xml:space="preserve"> </w:t>
            </w:r>
            <w:r w:rsidRPr="42FD3FF5">
              <w:t>mažinimo tikslus iki 2030 m. ir vėliau.</w:t>
            </w:r>
          </w:p>
          <w:p w14:paraId="2A33C3BA" w14:textId="0FC91AA7" w:rsidR="00DA38E7" w:rsidRDefault="00DA38E7" w:rsidP="00A65494">
            <w:pPr>
              <w:jc w:val="both"/>
            </w:pPr>
            <w:r w:rsidRPr="00461EE2">
              <w:t xml:space="preserve">Palankiai vertiname </w:t>
            </w:r>
            <w:r w:rsidR="008B51DB">
              <w:t>sunkiasvorių</w:t>
            </w:r>
            <w:r w:rsidRPr="00461EE2">
              <w:t xml:space="preserve"> transporto priemonių </w:t>
            </w:r>
            <w:r w:rsidR="00C3067A" w:rsidRPr="0015331F">
              <w:t>CO</w:t>
            </w:r>
            <w:r w:rsidR="00C3067A" w:rsidRPr="00C3067A">
              <w:rPr>
                <w:vertAlign w:val="subscript"/>
              </w:rPr>
              <w:t>2</w:t>
            </w:r>
            <w:r w:rsidR="00C3067A">
              <w:rPr>
                <w:vertAlign w:val="subscript"/>
              </w:rPr>
              <w:t xml:space="preserve"> </w:t>
            </w:r>
            <w:r w:rsidRPr="00461EE2">
              <w:t>mažinimo standart</w:t>
            </w:r>
            <w:r w:rsidR="008B51DB">
              <w:t>ų griežtinimą</w:t>
            </w:r>
            <w:r w:rsidRPr="00461EE2">
              <w:t xml:space="preserve">. Manome, kad įgyvendinus transporto priemonių </w:t>
            </w:r>
            <w:r w:rsidR="00C3067A" w:rsidRPr="0015331F">
              <w:t>CO</w:t>
            </w:r>
            <w:r w:rsidR="00C3067A" w:rsidRPr="00C3067A">
              <w:rPr>
                <w:vertAlign w:val="subscript"/>
              </w:rPr>
              <w:t>2</w:t>
            </w:r>
            <w:r w:rsidR="00C3067A">
              <w:rPr>
                <w:vertAlign w:val="subscript"/>
              </w:rPr>
              <w:t xml:space="preserve"> </w:t>
            </w:r>
            <w:r w:rsidRPr="00461EE2">
              <w:t xml:space="preserve">mažinimo nuostatas, </w:t>
            </w:r>
            <w:r w:rsidR="008B51DB">
              <w:t>žymiai</w:t>
            </w:r>
            <w:r w:rsidRPr="00461EE2">
              <w:t xml:space="preserve"> sumažėtų transporto priemonių ŠESD išmetimai bei sumažėtų priklausomybė nuo iškastinio kuro</w:t>
            </w:r>
            <w:r w:rsidR="00A65494">
              <w:t xml:space="preserve">, </w:t>
            </w:r>
            <w:r w:rsidR="00A65494" w:rsidRPr="00A65494">
              <w:t>papildomai sumažėtų oro teršalų išmetimai</w:t>
            </w:r>
            <w:r w:rsidRPr="00461EE2">
              <w:t xml:space="preserve">. Taip pat griežtesni standartai paskatintų spartesnį inovacijų diegimą transporto gamybos sektoriuje, ypač gaminant efektyvesnes </w:t>
            </w:r>
            <w:r w:rsidR="00A65494">
              <w:t>ir netaršias transporto priemones. Tačiau pažymime sinergiją su ES alternatyvių degalų infrastruktūros ir degalų plėtros teisės aktais bei paskatas infrastruktūros diegimui ES VN.</w:t>
            </w:r>
          </w:p>
          <w:p w14:paraId="1EE87A15" w14:textId="740673E7" w:rsidR="00A65494" w:rsidRPr="00461EE2" w:rsidRDefault="00A65494" w:rsidP="00A269C2">
            <w:pPr>
              <w:jc w:val="both"/>
            </w:pPr>
            <w:r w:rsidRPr="00A65494">
              <w:t xml:space="preserve">Iš esmės palankiai vertiname siūlomą LULUCF reglamentavimo griežtinimą, siekiant padidinti </w:t>
            </w:r>
            <w:r w:rsidR="00C3067A" w:rsidRPr="0015331F">
              <w:t>CO</w:t>
            </w:r>
            <w:r w:rsidR="00C3067A" w:rsidRPr="00C3067A">
              <w:rPr>
                <w:vertAlign w:val="subscript"/>
              </w:rPr>
              <w:t>2</w:t>
            </w:r>
            <w:r w:rsidR="00C3067A">
              <w:rPr>
                <w:vertAlign w:val="subscript"/>
              </w:rPr>
              <w:t xml:space="preserve"> </w:t>
            </w:r>
            <w:r w:rsidRPr="00A65494">
              <w:t xml:space="preserve">absorbavimą. Įgyvendinant LULUCF reglamento (ES) 2018/841  pakeitimo pasiūlymo nuostatas EK pateiks pasiūlymus </w:t>
            </w:r>
            <w:r w:rsidR="00D838F5" w:rsidRPr="0015331F">
              <w:t>CO</w:t>
            </w:r>
            <w:r w:rsidR="00D838F5" w:rsidRPr="00C3067A">
              <w:rPr>
                <w:vertAlign w:val="subscript"/>
              </w:rPr>
              <w:t>2</w:t>
            </w:r>
            <w:r w:rsidR="00D838F5">
              <w:rPr>
                <w:vertAlign w:val="subscript"/>
              </w:rPr>
              <w:t xml:space="preserve"> </w:t>
            </w:r>
            <w:r w:rsidRPr="00A65494">
              <w:t>absorbavimo s</w:t>
            </w:r>
            <w:r w:rsidR="00A269C2">
              <w:t>ertifikavimo sistemos nustatym</w:t>
            </w:r>
            <w:r w:rsidRPr="00A65494">
              <w:t xml:space="preserve">ui, siekiant paskatinti anglies kaupimo iniciatyvas, </w:t>
            </w:r>
            <w:r w:rsidR="00753556">
              <w:t xml:space="preserve">tokias </w:t>
            </w:r>
            <w:r w:rsidRPr="00A65494">
              <w:t>kaip „carbon farming“ miškininkystės ir žemės ūkio sektoriuose</w:t>
            </w:r>
            <w:r w:rsidR="00F42526">
              <w:t>,</w:t>
            </w:r>
            <w:r w:rsidRPr="00A65494">
              <w:t xml:space="preserve"> ir kurios prisidės  prie klimato neutralumo tikslo iki 2050 m. pasiekimo.</w:t>
            </w:r>
          </w:p>
        </w:tc>
        <w:tc>
          <w:tcPr>
            <w:tcW w:w="1560" w:type="dxa"/>
            <w:tcBorders>
              <w:top w:val="single" w:sz="4" w:space="0" w:color="auto"/>
              <w:left w:val="single" w:sz="4" w:space="0" w:color="auto"/>
              <w:bottom w:val="single" w:sz="4" w:space="0" w:color="auto"/>
              <w:right w:val="single" w:sz="4" w:space="0" w:color="auto"/>
            </w:tcBorders>
          </w:tcPr>
          <w:p w14:paraId="57A0445B" w14:textId="33848808" w:rsidR="00DA38E7" w:rsidRPr="00461EE2" w:rsidRDefault="00DA38E7" w:rsidP="00DA38E7">
            <w:r w:rsidRPr="00461EE2">
              <w:lastRenderedPageBreak/>
              <w:t>Aplinkos ministerija</w:t>
            </w:r>
          </w:p>
          <w:p w14:paraId="3A6B30E6" w14:textId="027C9E73" w:rsidR="00DA38E7" w:rsidRPr="00461EE2" w:rsidRDefault="00DA38E7" w:rsidP="00DA38E7">
            <w:r w:rsidRPr="00461EE2">
              <w:t>Energetikos ministerija</w:t>
            </w:r>
          </w:p>
          <w:p w14:paraId="3D3FB93A" w14:textId="77777777" w:rsidR="00DA38E7" w:rsidRPr="00461EE2" w:rsidRDefault="00DA38E7" w:rsidP="00DA38E7">
            <w:r w:rsidRPr="00461EE2">
              <w:t>Susisiekimo ministerija</w:t>
            </w:r>
          </w:p>
        </w:tc>
      </w:tr>
      <w:tr w:rsidR="00DA38E7" w:rsidRPr="00461EE2" w14:paraId="29082523"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4E0AE017" w14:textId="77777777" w:rsidR="00DA38E7" w:rsidRPr="00461EE2" w:rsidRDefault="00DA38E7" w:rsidP="00DA38E7">
            <w:r w:rsidRPr="00461EE2">
              <w:t>3</w:t>
            </w:r>
          </w:p>
        </w:tc>
        <w:tc>
          <w:tcPr>
            <w:tcW w:w="1950" w:type="dxa"/>
            <w:gridSpan w:val="2"/>
            <w:tcBorders>
              <w:top w:val="single" w:sz="4" w:space="0" w:color="auto"/>
              <w:left w:val="single" w:sz="4" w:space="0" w:color="auto"/>
              <w:bottom w:val="single" w:sz="4" w:space="0" w:color="auto"/>
              <w:right w:val="single" w:sz="4" w:space="0" w:color="auto"/>
            </w:tcBorders>
          </w:tcPr>
          <w:p w14:paraId="1243C479" w14:textId="77777777" w:rsidR="00DA38E7" w:rsidRPr="00461EE2" w:rsidRDefault="00DA38E7" w:rsidP="00DA38E7">
            <w:pPr>
              <w:rPr>
                <w:b/>
              </w:rPr>
            </w:pPr>
            <w:r w:rsidRPr="00461EE2">
              <w:rPr>
                <w:b/>
              </w:rPr>
              <w:t>Žiedinė ekonomika</w:t>
            </w:r>
          </w:p>
        </w:tc>
        <w:tc>
          <w:tcPr>
            <w:tcW w:w="4394" w:type="dxa"/>
            <w:tcBorders>
              <w:top w:val="single" w:sz="4" w:space="0" w:color="auto"/>
              <w:left w:val="single" w:sz="4" w:space="0" w:color="auto"/>
              <w:bottom w:val="single" w:sz="4" w:space="0" w:color="auto"/>
              <w:right w:val="single" w:sz="4" w:space="0" w:color="auto"/>
            </w:tcBorders>
          </w:tcPr>
          <w:p w14:paraId="4CD521EF" w14:textId="77777777" w:rsidR="00347F89" w:rsidRPr="00461EE2" w:rsidRDefault="00347F89" w:rsidP="00347F89">
            <w:pPr>
              <w:pStyle w:val="Default"/>
              <w:jc w:val="both"/>
              <w:rPr>
                <w:sz w:val="20"/>
                <w:szCs w:val="20"/>
                <w:lang w:val="lt-LT"/>
              </w:rPr>
            </w:pPr>
            <w:r w:rsidRPr="00461EE2">
              <w:rPr>
                <w:b/>
                <w:bCs/>
                <w:sz w:val="20"/>
                <w:szCs w:val="20"/>
                <w:lang w:val="lt-LT"/>
              </w:rPr>
              <w:t xml:space="preserve">Iniciatyva dėl teisės į remontą </w:t>
            </w:r>
            <w:r w:rsidRPr="00461EE2">
              <w:rPr>
                <w:sz w:val="20"/>
                <w:szCs w:val="20"/>
                <w:lang w:val="lt-LT"/>
              </w:rPr>
              <w:t xml:space="preserve">(teisėkūros procedūra priimamas aktas, įskaitant poveikio vertinimą, 2022 m. III ketv.) </w:t>
            </w:r>
          </w:p>
          <w:p w14:paraId="2783AEB5" w14:textId="77777777" w:rsidR="00347F89" w:rsidRPr="00461EE2" w:rsidRDefault="00347F89" w:rsidP="00DA38E7">
            <w:pPr>
              <w:jc w:val="both"/>
            </w:pPr>
          </w:p>
          <w:p w14:paraId="01D22A47" w14:textId="77777777" w:rsidR="00DA38E7" w:rsidRPr="00461EE2" w:rsidRDefault="00DA38E7" w:rsidP="00DA38E7">
            <w:pPr>
              <w:jc w:val="both"/>
            </w:pPr>
            <w:r w:rsidRPr="00461EE2">
              <w:t xml:space="preserve">Perėjimas prie klimatui neutralios ekonomikos reikalauja naujo požiūrio į gaminio ir žaliavų naudojimą, kadangi gaminių projektavimo metu nulemiamas gaminio poveikis aplinkai. Sektoriams, </w:t>
            </w:r>
            <w:r w:rsidRPr="00461EE2">
              <w:lastRenderedPageBreak/>
              <w:t xml:space="preserve">tokiems kaip plastikas, tekstilė, elektronika ir kt., reikia skubių ir koordinuotų veiksmų ES lygiu, siekiant teisės aktais įtvirtinti tvarumo principus ir priemones, kuriomis siekiama padidinti perdirbtų – antrinių žaliavų naudojimą, mažinti pavojingų cheminių medžiagų kiekį, riboti vienkartinių gaminių naudojimą ir pan. </w:t>
            </w:r>
          </w:p>
        </w:tc>
        <w:tc>
          <w:tcPr>
            <w:tcW w:w="6096" w:type="dxa"/>
            <w:tcBorders>
              <w:top w:val="single" w:sz="4" w:space="0" w:color="auto"/>
              <w:left w:val="single" w:sz="4" w:space="0" w:color="auto"/>
              <w:bottom w:val="single" w:sz="4" w:space="0" w:color="auto"/>
              <w:right w:val="single" w:sz="4" w:space="0" w:color="auto"/>
            </w:tcBorders>
          </w:tcPr>
          <w:p w14:paraId="76AC9512" w14:textId="77777777" w:rsidR="00DA38E7" w:rsidRPr="00461EE2" w:rsidRDefault="00DA38E7" w:rsidP="00DA38E7">
            <w:pPr>
              <w:jc w:val="both"/>
              <w:rPr>
                <w:b/>
              </w:rPr>
            </w:pPr>
            <w:r w:rsidRPr="00461EE2">
              <w:rPr>
                <w:b/>
              </w:rPr>
              <w:lastRenderedPageBreak/>
              <w:t>Labai aktualu</w:t>
            </w:r>
          </w:p>
          <w:p w14:paraId="55DFC4FB" w14:textId="77777777" w:rsidR="002E6004" w:rsidRPr="00461EE2" w:rsidRDefault="002E6004" w:rsidP="002E6004">
            <w:pPr>
              <w:jc w:val="both"/>
            </w:pPr>
            <w:r>
              <w:t>Aktualu, kad visi Komisijos veiksmai būtų suderinti ir pateikti tinkamu laiku, siekiant užtikrinti skirtingų strategijų ir teisės aktų darną.  Ypač svarbu, kad, nustatant naujus reikalavimus, būtų atliktas išsamus poveikio vertinimas ES ir valstybių narių lygmeniu.</w:t>
            </w:r>
          </w:p>
          <w:p w14:paraId="0494C241" w14:textId="1295E5CF" w:rsidR="002E6004" w:rsidRPr="00461EE2" w:rsidRDefault="002E6004" w:rsidP="002E6004">
            <w:pPr>
              <w:jc w:val="both"/>
            </w:pPr>
            <w:r>
              <w:t xml:space="preserve">Pritariame, kad daug išteklių reikalaujančiuose sektoriuose, tokiuose kaip plastikas, tekstilė, elektronikos ir kituose, reikia imtis skubių ir koordinuotų veiksmų ES lygiu. Būtina stiprinti </w:t>
            </w:r>
            <w:r>
              <w:lastRenderedPageBreak/>
              <w:t xml:space="preserve">antrinių žaliavų rinką ir užtikrinti jos veikimą. Palankiai vertiname „teisės į </w:t>
            </w:r>
            <w:r w:rsidR="001B1760">
              <w:t>remontą</w:t>
            </w:r>
            <w:r>
              <w:t xml:space="preserve">“ pasiūlymą, kuris suteiktų vartotojui galimybę pataisyti daiktus už prieinamą kainą.  </w:t>
            </w:r>
          </w:p>
          <w:p w14:paraId="59ECEEC2" w14:textId="77777777" w:rsidR="00DA38E7" w:rsidRPr="00461EE2" w:rsidRDefault="002E6004" w:rsidP="002E6004">
            <w:pPr>
              <w:jc w:val="both"/>
            </w:pPr>
            <w:r w:rsidRPr="00461EE2">
              <w:t>Skatinant inovatyvius sprendimus gaminių projektavime ir perdirbime, būtinas mokslo, verslo ir atsakingų institucijų bendradarbiavimas.</w:t>
            </w:r>
          </w:p>
        </w:tc>
        <w:tc>
          <w:tcPr>
            <w:tcW w:w="1560" w:type="dxa"/>
            <w:tcBorders>
              <w:top w:val="single" w:sz="4" w:space="0" w:color="auto"/>
              <w:left w:val="single" w:sz="4" w:space="0" w:color="auto"/>
              <w:bottom w:val="single" w:sz="4" w:space="0" w:color="auto"/>
              <w:right w:val="single" w:sz="4" w:space="0" w:color="auto"/>
            </w:tcBorders>
          </w:tcPr>
          <w:p w14:paraId="6E0E4391" w14:textId="083B5375" w:rsidR="0003004B" w:rsidRDefault="0003004B" w:rsidP="00DA38E7">
            <w:r w:rsidRPr="00177844">
              <w:lastRenderedPageBreak/>
              <w:t>Aplinkos ministerija</w:t>
            </w:r>
          </w:p>
          <w:p w14:paraId="71907CB0" w14:textId="4AB071E5" w:rsidR="00DA38E7" w:rsidRDefault="00DA38E7" w:rsidP="00DA38E7">
            <w:r w:rsidRPr="00461EE2">
              <w:t>Ekon</w:t>
            </w:r>
            <w:r w:rsidR="00094FF0">
              <w:t>omikos ir inovacijų ministerija</w:t>
            </w:r>
          </w:p>
          <w:p w14:paraId="4F0C6193" w14:textId="768A738D" w:rsidR="00923D3E" w:rsidRPr="00461EE2" w:rsidRDefault="00923D3E" w:rsidP="00DA38E7"/>
        </w:tc>
      </w:tr>
      <w:tr w:rsidR="00DA38E7" w:rsidRPr="00461EE2" w14:paraId="5AE44B15"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3885764C" w14:textId="77777777" w:rsidR="00DA38E7" w:rsidRPr="00461EE2" w:rsidRDefault="00DA38E7" w:rsidP="00DA38E7">
            <w:r w:rsidRPr="00461EE2">
              <w:t>4</w:t>
            </w:r>
          </w:p>
        </w:tc>
        <w:tc>
          <w:tcPr>
            <w:tcW w:w="1950" w:type="dxa"/>
            <w:gridSpan w:val="2"/>
            <w:tcBorders>
              <w:top w:val="single" w:sz="4" w:space="0" w:color="auto"/>
              <w:left w:val="single" w:sz="4" w:space="0" w:color="auto"/>
              <w:bottom w:val="single" w:sz="4" w:space="0" w:color="auto"/>
              <w:right w:val="single" w:sz="4" w:space="0" w:color="auto"/>
            </w:tcBorders>
          </w:tcPr>
          <w:p w14:paraId="73181F7E" w14:textId="77777777" w:rsidR="00DA38E7" w:rsidRPr="00461EE2" w:rsidRDefault="00DA38E7" w:rsidP="00DA38E7">
            <w:pPr>
              <w:rPr>
                <w:b/>
              </w:rPr>
            </w:pPr>
            <w:r w:rsidRPr="00461EE2">
              <w:rPr>
                <w:b/>
              </w:rPr>
              <w:t>Plastiko paketas</w:t>
            </w:r>
          </w:p>
        </w:tc>
        <w:tc>
          <w:tcPr>
            <w:tcW w:w="4394" w:type="dxa"/>
            <w:tcBorders>
              <w:top w:val="single" w:sz="4" w:space="0" w:color="auto"/>
              <w:left w:val="single" w:sz="4" w:space="0" w:color="auto"/>
              <w:bottom w:val="single" w:sz="4" w:space="0" w:color="auto"/>
              <w:right w:val="single" w:sz="4" w:space="0" w:color="auto"/>
            </w:tcBorders>
          </w:tcPr>
          <w:p w14:paraId="7F7D1576" w14:textId="77777777" w:rsidR="00347F89" w:rsidRPr="00461EE2" w:rsidRDefault="00347F89" w:rsidP="00347F89">
            <w:pPr>
              <w:pStyle w:val="Default"/>
              <w:jc w:val="both"/>
              <w:rPr>
                <w:sz w:val="20"/>
                <w:szCs w:val="20"/>
                <w:lang w:val="lt-LT"/>
              </w:rPr>
            </w:pPr>
            <w:r w:rsidRPr="00461EE2">
              <w:rPr>
                <w:sz w:val="20"/>
                <w:szCs w:val="20"/>
                <w:lang w:val="lt-LT"/>
              </w:rPr>
              <w:t xml:space="preserve">a) </w:t>
            </w:r>
            <w:r w:rsidRPr="00461EE2">
              <w:rPr>
                <w:b/>
                <w:bCs/>
                <w:sz w:val="20"/>
                <w:szCs w:val="20"/>
                <w:lang w:val="lt-LT"/>
              </w:rPr>
              <w:t xml:space="preserve">Biologinių, biologiškai skaidžių ir kompostuojamų plastikų politikos sistema </w:t>
            </w:r>
            <w:r w:rsidRPr="00461EE2">
              <w:rPr>
                <w:sz w:val="20"/>
                <w:szCs w:val="20"/>
                <w:lang w:val="lt-LT"/>
              </w:rPr>
              <w:t xml:space="preserve">(ne teisėkūros procedūra priimamas aktas, 2022 m. II ketv.) </w:t>
            </w:r>
          </w:p>
          <w:p w14:paraId="7CAD5742" w14:textId="77777777" w:rsidR="00347F89" w:rsidRPr="00461EE2" w:rsidRDefault="00347F89" w:rsidP="00347F89">
            <w:pPr>
              <w:pStyle w:val="Default"/>
              <w:jc w:val="both"/>
              <w:rPr>
                <w:sz w:val="20"/>
                <w:szCs w:val="20"/>
                <w:lang w:val="lt-LT"/>
              </w:rPr>
            </w:pPr>
            <w:r w:rsidRPr="00461EE2">
              <w:rPr>
                <w:sz w:val="20"/>
                <w:szCs w:val="20"/>
                <w:lang w:val="lt-LT"/>
              </w:rPr>
              <w:t xml:space="preserve">b) </w:t>
            </w:r>
            <w:r w:rsidRPr="00461EE2">
              <w:rPr>
                <w:b/>
                <w:bCs/>
                <w:sz w:val="20"/>
                <w:szCs w:val="20"/>
                <w:lang w:val="lt-LT"/>
              </w:rPr>
              <w:t xml:space="preserve">Mikroplastikams taikomas ribojimas </w:t>
            </w:r>
            <w:r w:rsidRPr="00461EE2">
              <w:rPr>
                <w:sz w:val="20"/>
                <w:szCs w:val="20"/>
                <w:lang w:val="lt-LT"/>
              </w:rPr>
              <w:t xml:space="preserve">(ne teisėkūros procedūra priimamas aktas, 2022 m. IV ketv.) </w:t>
            </w:r>
          </w:p>
          <w:p w14:paraId="20F987DF" w14:textId="77777777" w:rsidR="00347F89" w:rsidRPr="00461EE2" w:rsidRDefault="00347F89" w:rsidP="00347F89">
            <w:pPr>
              <w:pStyle w:val="Default"/>
              <w:jc w:val="both"/>
              <w:rPr>
                <w:sz w:val="20"/>
                <w:szCs w:val="20"/>
                <w:lang w:val="lt-LT"/>
              </w:rPr>
            </w:pPr>
            <w:r w:rsidRPr="00461EE2">
              <w:rPr>
                <w:sz w:val="20"/>
                <w:szCs w:val="20"/>
                <w:lang w:val="lt-LT"/>
              </w:rPr>
              <w:t xml:space="preserve">c) </w:t>
            </w:r>
            <w:r w:rsidRPr="00461EE2">
              <w:rPr>
                <w:b/>
                <w:bCs/>
                <w:sz w:val="20"/>
                <w:szCs w:val="20"/>
                <w:lang w:val="lt-LT"/>
              </w:rPr>
              <w:t xml:space="preserve">Mikroplastikų išleidimo į aplinką mažinimo priemonės </w:t>
            </w:r>
            <w:r w:rsidRPr="00461EE2">
              <w:rPr>
                <w:sz w:val="20"/>
                <w:szCs w:val="20"/>
                <w:lang w:val="lt-LT"/>
              </w:rPr>
              <w:t xml:space="preserve">(teisėkūros procedūra priimamas aktas, įskaitant poveikio vertinimą, SESV 114 straipsnis, 2022 m. IV ketv.) </w:t>
            </w:r>
          </w:p>
          <w:p w14:paraId="1FDE4A75" w14:textId="77777777" w:rsidR="00347F89" w:rsidRPr="00461EE2" w:rsidRDefault="00347F89" w:rsidP="00DA38E7">
            <w:pPr>
              <w:jc w:val="both"/>
            </w:pPr>
          </w:p>
          <w:p w14:paraId="2DDB392E" w14:textId="77777777" w:rsidR="00DA38E7" w:rsidRPr="00461EE2" w:rsidRDefault="00DA38E7" w:rsidP="00461EE2">
            <w:pPr>
              <w:jc w:val="both"/>
            </w:pPr>
            <w:r w:rsidRPr="00461EE2">
              <w:t>Plastikas sudaro 80–85 proc. visų paplūdimiuose randamų į jūrą patenkančių šiukšlių. Pereinant prie žiedinės ekonomikos bei atsižvelgiant į Plastikų strategijos tikslus, siekiant kontroliuoti didėjantį plastiko ir vienkartinio plastiko susidarymą, siekiama daugiau kaip pusė Europoje susidarančių plastiko atliekų perdirbti, o vienkartinių plastikinių gaminių suvartojimą sumažinti mažiausiai 50 proc.</w:t>
            </w:r>
          </w:p>
        </w:tc>
        <w:tc>
          <w:tcPr>
            <w:tcW w:w="6096" w:type="dxa"/>
            <w:tcBorders>
              <w:top w:val="single" w:sz="4" w:space="0" w:color="auto"/>
              <w:left w:val="single" w:sz="4" w:space="0" w:color="auto"/>
              <w:bottom w:val="single" w:sz="4" w:space="0" w:color="auto"/>
              <w:right w:val="single" w:sz="4" w:space="0" w:color="auto"/>
            </w:tcBorders>
          </w:tcPr>
          <w:p w14:paraId="4E2D68E9" w14:textId="77777777" w:rsidR="00DA38E7" w:rsidRPr="00461EE2" w:rsidRDefault="00DA38E7" w:rsidP="00DA38E7">
            <w:pPr>
              <w:tabs>
                <w:tab w:val="left" w:pos="1755"/>
              </w:tabs>
              <w:jc w:val="both"/>
              <w:rPr>
                <w:b/>
              </w:rPr>
            </w:pPr>
            <w:r w:rsidRPr="00461EE2">
              <w:rPr>
                <w:b/>
              </w:rPr>
              <w:t>Labai aktualu</w:t>
            </w:r>
          </w:p>
          <w:p w14:paraId="3F1E8C42" w14:textId="77777777" w:rsidR="00026538" w:rsidRPr="0003004B" w:rsidRDefault="00026538" w:rsidP="00026538">
            <w:pPr>
              <w:tabs>
                <w:tab w:val="left" w:pos="1755"/>
              </w:tabs>
              <w:jc w:val="both"/>
              <w:rPr>
                <w:highlight w:val="yellow"/>
                <w:lang w:val="en-US"/>
              </w:rPr>
            </w:pPr>
            <w:r>
              <w:t xml:space="preserve">Palaikome mažesnio vienkartinio plastiko gaminių vartojimo ir tiekimo rinkai strategiją bei palankiai vertiname visuomenės informavimo galimybę apie neigiamą šių gaminių poveikį aplinkai ir tinkamą jų tvarkymą ir rūšiavimą. Teigiamai vertiname numatytas priemones kovai su jūros tarša siekiant mažinti į jūrą išmestų šiukšlių kiekį, taršos mikroplastikais mažinimo veiksmus, investicijų skatinimą ir bendradarbiavimą pasauliniu mastu. </w:t>
            </w:r>
          </w:p>
          <w:p w14:paraId="11F7A31C" w14:textId="77777777" w:rsidR="00026538" w:rsidRPr="00461EE2" w:rsidRDefault="00026538" w:rsidP="00026538">
            <w:pPr>
              <w:tabs>
                <w:tab w:val="left" w:pos="1755"/>
              </w:tabs>
              <w:jc w:val="both"/>
              <w:rPr>
                <w:lang w:val="lt"/>
              </w:rPr>
            </w:pPr>
            <w:r w:rsidRPr="00C50A5D">
              <w:rPr>
                <w:lang w:val="lt"/>
              </w:rPr>
              <w:t xml:space="preserve">Palaikome mikroplastiko </w:t>
            </w:r>
            <w:r w:rsidRPr="00C50A5D">
              <w:rPr>
                <w:rFonts w:eastAsia="Verdana"/>
                <w:lang w:val="lt"/>
              </w:rPr>
              <w:t xml:space="preserve">naudojimo rinkai pateikiamuose gaminiuose ribojimo iniciatyvą, tačiau, tai yra </w:t>
            </w:r>
            <w:r w:rsidRPr="00C50A5D">
              <w:rPr>
                <w:lang w:val="lt"/>
              </w:rPr>
              <w:t xml:space="preserve">labai jautrus klausimas paliesiantis daug ekonominių sektorių (kosmetikos </w:t>
            </w:r>
            <w:r w:rsidRPr="42FD3FF5">
              <w:rPr>
                <w:lang w:val="lt"/>
              </w:rPr>
              <w:t xml:space="preserve">ir žemės ūkio produktų, ploviklių, valiklių, sintetinių sporto dangų ir kt.). </w:t>
            </w:r>
          </w:p>
          <w:p w14:paraId="6439288F" w14:textId="77777777" w:rsidR="00DA38E7" w:rsidRPr="00461EE2" w:rsidRDefault="00026538" w:rsidP="00026538">
            <w:pPr>
              <w:tabs>
                <w:tab w:val="left" w:pos="1755"/>
              </w:tabs>
              <w:jc w:val="both"/>
              <w:rPr>
                <w:highlight w:val="yellow"/>
              </w:rPr>
            </w:pPr>
            <w:r w:rsidRPr="42FD3FF5">
              <w:rPr>
                <w:lang w:val="lt"/>
              </w:rPr>
              <w:t>Būtina išlaikyti ekonominės, aplinkosauginės ir socialinės naudos balansą, įvertinant iššūkius su kuriais susidurs pramonės sektoriai, siekiant įgyvendinti Plastiko strategijoje užsibrėžtus tikslus.</w:t>
            </w:r>
          </w:p>
        </w:tc>
        <w:tc>
          <w:tcPr>
            <w:tcW w:w="1560" w:type="dxa"/>
            <w:tcBorders>
              <w:top w:val="single" w:sz="4" w:space="0" w:color="auto"/>
              <w:left w:val="single" w:sz="4" w:space="0" w:color="auto"/>
              <w:bottom w:val="single" w:sz="4" w:space="0" w:color="auto"/>
              <w:right w:val="single" w:sz="4" w:space="0" w:color="auto"/>
            </w:tcBorders>
          </w:tcPr>
          <w:p w14:paraId="7FD5E969" w14:textId="0C6FA388" w:rsidR="00DA38E7" w:rsidRPr="00461EE2" w:rsidRDefault="00DA38E7" w:rsidP="00DA38E7">
            <w:r w:rsidRPr="00461EE2">
              <w:t>Aplinkos ministerija</w:t>
            </w:r>
          </w:p>
          <w:p w14:paraId="4C685DD3" w14:textId="77777777" w:rsidR="00DA38E7" w:rsidRPr="00461EE2" w:rsidRDefault="00DA38E7" w:rsidP="00DA38E7">
            <w:r w:rsidRPr="00461EE2">
              <w:t>Ekonomikos ir inovacijų ministerija</w:t>
            </w:r>
          </w:p>
        </w:tc>
      </w:tr>
      <w:tr w:rsidR="00DA38E7" w:rsidRPr="00461EE2" w14:paraId="61294711"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03213FE5" w14:textId="77777777" w:rsidR="00DA38E7" w:rsidRPr="00461EE2" w:rsidRDefault="00DA38E7" w:rsidP="00DA38E7">
            <w:r w:rsidRPr="00461EE2">
              <w:lastRenderedPageBreak/>
              <w:t>5</w:t>
            </w:r>
          </w:p>
        </w:tc>
        <w:tc>
          <w:tcPr>
            <w:tcW w:w="1950" w:type="dxa"/>
            <w:gridSpan w:val="2"/>
            <w:tcBorders>
              <w:top w:val="single" w:sz="4" w:space="0" w:color="auto"/>
              <w:left w:val="single" w:sz="4" w:space="0" w:color="auto"/>
              <w:bottom w:val="single" w:sz="4" w:space="0" w:color="auto"/>
              <w:right w:val="single" w:sz="4" w:space="0" w:color="auto"/>
            </w:tcBorders>
          </w:tcPr>
          <w:p w14:paraId="2D9CF0CF" w14:textId="77777777" w:rsidR="00DA38E7" w:rsidRPr="00461EE2" w:rsidRDefault="00DA38E7" w:rsidP="00DA38E7">
            <w:pPr>
              <w:rPr>
                <w:b/>
              </w:rPr>
            </w:pPr>
            <w:r w:rsidRPr="00461EE2">
              <w:rPr>
                <w:b/>
              </w:rPr>
              <w:t>Bioįvairovė bei „nuo ūkio iki stalo“</w:t>
            </w:r>
          </w:p>
        </w:tc>
        <w:tc>
          <w:tcPr>
            <w:tcW w:w="4394" w:type="dxa"/>
            <w:tcBorders>
              <w:top w:val="single" w:sz="4" w:space="0" w:color="auto"/>
              <w:left w:val="single" w:sz="4" w:space="0" w:color="auto"/>
              <w:bottom w:val="single" w:sz="4" w:space="0" w:color="auto"/>
              <w:right w:val="single" w:sz="4" w:space="0" w:color="auto"/>
            </w:tcBorders>
          </w:tcPr>
          <w:p w14:paraId="78CF0D04" w14:textId="77777777" w:rsidR="00347F89" w:rsidRPr="00461EE2" w:rsidRDefault="00347F89" w:rsidP="00347F89">
            <w:pPr>
              <w:pStyle w:val="Default"/>
              <w:jc w:val="both"/>
              <w:rPr>
                <w:sz w:val="20"/>
                <w:szCs w:val="20"/>
                <w:lang w:val="lt-LT"/>
              </w:rPr>
            </w:pPr>
            <w:r w:rsidRPr="00461EE2">
              <w:rPr>
                <w:b/>
                <w:bCs/>
                <w:sz w:val="20"/>
                <w:szCs w:val="20"/>
                <w:lang w:val="lt-LT"/>
              </w:rPr>
              <w:t xml:space="preserve">Taususis pesticidų naudojimas. ES taisyklių persvarstymas </w:t>
            </w:r>
            <w:r w:rsidRPr="00461EE2">
              <w:rPr>
                <w:sz w:val="20"/>
                <w:szCs w:val="20"/>
                <w:lang w:val="lt-LT"/>
              </w:rPr>
              <w:t xml:space="preserve">(teisėkūros procedūra priimamas aktas, įskaitant poveikio vertinimą, SESV 192 straipsnio 1 dalis, 2022 m. I ketv.) </w:t>
            </w:r>
          </w:p>
          <w:p w14:paraId="3A333ECD" w14:textId="77777777" w:rsidR="00347F89" w:rsidRPr="00461EE2" w:rsidRDefault="00347F89" w:rsidP="00DA38E7">
            <w:pPr>
              <w:jc w:val="both"/>
            </w:pPr>
          </w:p>
          <w:p w14:paraId="5AFD0B1F" w14:textId="77777777" w:rsidR="00DA38E7" w:rsidRPr="00461EE2" w:rsidRDefault="00DA38E7" w:rsidP="00DA38E7">
            <w:pPr>
              <w:jc w:val="both"/>
            </w:pPr>
            <w:r w:rsidRPr="00461EE2">
              <w:t>Bioįvairovės ir „Nuo ūkio iki stalo“ strategijomis EK siekia skatinti ekologinę gamybą, atkurti nualintas ekosistemas, apsaugoti vandenynus ir pakrančių regionus. Taip pat siekiama pertvarkyti maisto sistemas taip, kad jos būtų tvaresnės, ypač atkreipiant dėmesį į pirminius maisto grandinių gamintojus  bei naujas technologijas ir mokslinius atradimus.</w:t>
            </w:r>
          </w:p>
        </w:tc>
        <w:tc>
          <w:tcPr>
            <w:tcW w:w="6096" w:type="dxa"/>
            <w:tcBorders>
              <w:top w:val="single" w:sz="4" w:space="0" w:color="auto"/>
              <w:left w:val="single" w:sz="4" w:space="0" w:color="auto"/>
              <w:bottom w:val="single" w:sz="4" w:space="0" w:color="auto"/>
              <w:right w:val="single" w:sz="4" w:space="0" w:color="auto"/>
            </w:tcBorders>
          </w:tcPr>
          <w:p w14:paraId="38A09D7F" w14:textId="77777777" w:rsidR="00DA38E7" w:rsidRPr="00461EE2" w:rsidRDefault="00DA38E7" w:rsidP="00DA38E7">
            <w:pPr>
              <w:jc w:val="both"/>
              <w:rPr>
                <w:b/>
              </w:rPr>
            </w:pPr>
            <w:r w:rsidRPr="00461EE2">
              <w:rPr>
                <w:b/>
              </w:rPr>
              <w:t>Labai aktualu</w:t>
            </w:r>
          </w:p>
          <w:p w14:paraId="04C6E6EF" w14:textId="77777777" w:rsidR="00DA38E7" w:rsidRPr="00461EE2" w:rsidRDefault="007702CF" w:rsidP="00DA38E7">
            <w:pPr>
              <w:jc w:val="both"/>
              <w:rPr>
                <w:highlight w:val="yellow"/>
              </w:rPr>
            </w:pPr>
            <w:r w:rsidRPr="00132B35">
              <w:t xml:space="preserve">Pritariame, kad aukštesnių </w:t>
            </w:r>
            <w:r>
              <w:t>b</w:t>
            </w:r>
            <w:r w:rsidRPr="00132B35">
              <w:t>iologinės įvairovės ir „Nuo ūkio iki stalo“ strategijų  aplinkosaugos standartų taikymo svarba auga ir siekiant ilgalaikių tvarumo tikslų yra būtina kompleksiškai pertvarkyti ūkinę veiklą</w:t>
            </w:r>
            <w:r>
              <w:t>.</w:t>
            </w:r>
            <w:r w:rsidRPr="00132B35">
              <w:t xml:space="preserve"> </w:t>
            </w:r>
            <w:r>
              <w:t>Tačiau</w:t>
            </w:r>
            <w:r w:rsidRPr="00132B35">
              <w:t xml:space="preserve"> yra būtina objektyviai įvertinti minimose strategijose numatytų tikslų įgyvendinimo galimybes ir trikdžius</w:t>
            </w:r>
            <w:r>
              <w:t>,</w:t>
            </w:r>
            <w:r w:rsidRPr="00132B35">
              <w:t xml:space="preserve"> siekiant geriausios ekonominės ir socialinės naudos </w:t>
            </w:r>
            <w:r>
              <w:t>tiek</w:t>
            </w:r>
            <w:r w:rsidRPr="00132B35">
              <w:t xml:space="preserve"> visuomenei, </w:t>
            </w:r>
            <w:r>
              <w:t>tiek</w:t>
            </w:r>
            <w:r w:rsidRPr="00132B35">
              <w:t xml:space="preserve"> žemės ūkio sektoriui, kurios dalimi jis yra. Nekelia abejonių užduotis deramai pasiruošti ūkinės veiklos virsmui į gamybinę veiklą, kuri geba atkurti ir palaikyti gamtinius</w:t>
            </w:r>
            <w:r>
              <w:t xml:space="preserve"> </w:t>
            </w:r>
            <w:r w:rsidRPr="00132B35">
              <w:t xml:space="preserve">išteklius, </w:t>
            </w:r>
            <w:r>
              <w:t>taip pat</w:t>
            </w:r>
            <w:r w:rsidRPr="00132B35">
              <w:t xml:space="preserve"> pagamina ir </w:t>
            </w:r>
            <w:r>
              <w:t>vis</w:t>
            </w:r>
            <w:r w:rsidRPr="00132B35">
              <w:t>avertę produkciją. Siekis sumaž</w:t>
            </w:r>
            <w:r>
              <w:t>in</w:t>
            </w:r>
            <w:r w:rsidRPr="00132B35">
              <w:t>ti kenksmingiausių cheminių pesticidų naudojimą, taikyti gamybos metodus, kurie per pus</w:t>
            </w:r>
            <w:r>
              <w:t>ę</w:t>
            </w:r>
            <w:r w:rsidRPr="00132B35">
              <w:t xml:space="preserve"> leistų sumažinti maistinių medžiagų išsiplovimą ar skatinti plėtoti ekologinius ūkininkavimo būdus, padiktuoja būtinybę atlikti išsamų poveikio ir pasirinkčių, vedančių į keliamą tikslą, vertinimą, kuris sudarytų galimybes užtikrinti tinkamiausių politikos priemonių taikymo duodamą didžiausią teigiamą ilgalaikį efektą</w:t>
            </w:r>
            <w:r>
              <w:t>,</w:t>
            </w:r>
            <w:r w:rsidRPr="00132B35">
              <w:t xml:space="preserve"> išsaugant žemės ūkio gyvybingumą. Manome, kad toks išsamus poveikio vertinimo (ekonominio, socialinio-aplinkosauginio, pasekmių ir technologinio diegimo galimybių ir pan.) turėtų būti atliktas</w:t>
            </w:r>
            <w:r>
              <w:t xml:space="preserve"> </w:t>
            </w:r>
            <w:r w:rsidRPr="00132B35">
              <w:t>ES ir valstybių narių lygiu</w:t>
            </w:r>
            <w:r>
              <w:t>.</w:t>
            </w:r>
          </w:p>
        </w:tc>
        <w:tc>
          <w:tcPr>
            <w:tcW w:w="1560" w:type="dxa"/>
            <w:tcBorders>
              <w:top w:val="single" w:sz="4" w:space="0" w:color="auto"/>
              <w:left w:val="single" w:sz="4" w:space="0" w:color="auto"/>
              <w:bottom w:val="single" w:sz="4" w:space="0" w:color="auto"/>
              <w:right w:val="single" w:sz="4" w:space="0" w:color="auto"/>
            </w:tcBorders>
          </w:tcPr>
          <w:p w14:paraId="1CF2ECAE" w14:textId="401A266A" w:rsidR="00A73A58" w:rsidRDefault="009137A1" w:rsidP="00A73A58">
            <w:r w:rsidRPr="00A73A58">
              <w:t>Aplinkos ministerija</w:t>
            </w:r>
          </w:p>
          <w:p w14:paraId="5D961179" w14:textId="6A8F77C7" w:rsidR="00DA38E7" w:rsidRPr="00461EE2" w:rsidRDefault="00DA38E7" w:rsidP="00A73A58">
            <w:r w:rsidRPr="00461EE2">
              <w:t>Žemės ūkio ministerija</w:t>
            </w:r>
          </w:p>
        </w:tc>
      </w:tr>
      <w:tr w:rsidR="00C2220F" w:rsidRPr="00461EE2" w14:paraId="75974CDF" w14:textId="77777777" w:rsidTr="00672F19">
        <w:trPr>
          <w:trHeight w:val="416"/>
        </w:trPr>
        <w:tc>
          <w:tcPr>
            <w:tcW w:w="14631" w:type="dxa"/>
            <w:gridSpan w:val="6"/>
            <w:tcBorders>
              <w:top w:val="single" w:sz="4" w:space="0" w:color="auto"/>
              <w:left w:val="single" w:sz="4" w:space="0" w:color="auto"/>
              <w:bottom w:val="single" w:sz="4" w:space="0" w:color="auto"/>
              <w:right w:val="single" w:sz="4" w:space="0" w:color="auto"/>
            </w:tcBorders>
          </w:tcPr>
          <w:p w14:paraId="0798378A" w14:textId="77777777" w:rsidR="00C2220F" w:rsidRPr="00461EE2" w:rsidRDefault="00C2220F" w:rsidP="00F5258E">
            <w:r w:rsidRPr="00461EE2">
              <w:rPr>
                <w:b/>
              </w:rPr>
              <w:t>Prie skaitmeninio amžiaus prisitaikiusi Europa</w:t>
            </w:r>
          </w:p>
        </w:tc>
      </w:tr>
      <w:tr w:rsidR="00EB668E" w:rsidRPr="00461EE2" w14:paraId="39697116"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486CF981" w14:textId="77777777" w:rsidR="00EB668E" w:rsidRPr="00461EE2" w:rsidRDefault="00EE258E" w:rsidP="00F5258E">
            <w:r w:rsidRPr="00461EE2">
              <w:t>6</w:t>
            </w:r>
          </w:p>
        </w:tc>
        <w:tc>
          <w:tcPr>
            <w:tcW w:w="1950" w:type="dxa"/>
            <w:gridSpan w:val="2"/>
            <w:tcBorders>
              <w:top w:val="single" w:sz="4" w:space="0" w:color="auto"/>
              <w:left w:val="single" w:sz="4" w:space="0" w:color="auto"/>
              <w:bottom w:val="single" w:sz="4" w:space="0" w:color="auto"/>
              <w:right w:val="single" w:sz="4" w:space="0" w:color="auto"/>
            </w:tcBorders>
          </w:tcPr>
          <w:p w14:paraId="17AC9252" w14:textId="77777777" w:rsidR="00EB668E" w:rsidRPr="00461EE2" w:rsidRDefault="00EE258E" w:rsidP="00A05BF9">
            <w:pPr>
              <w:rPr>
                <w:b/>
              </w:rPr>
            </w:pPr>
            <w:r w:rsidRPr="00461EE2">
              <w:rPr>
                <w:b/>
              </w:rPr>
              <w:t>Kibernetinis atsparumas</w:t>
            </w:r>
          </w:p>
        </w:tc>
        <w:tc>
          <w:tcPr>
            <w:tcW w:w="4394" w:type="dxa"/>
            <w:tcBorders>
              <w:top w:val="single" w:sz="4" w:space="0" w:color="auto"/>
              <w:left w:val="single" w:sz="4" w:space="0" w:color="auto"/>
              <w:bottom w:val="single" w:sz="4" w:space="0" w:color="auto"/>
              <w:right w:val="single" w:sz="4" w:space="0" w:color="auto"/>
            </w:tcBorders>
          </w:tcPr>
          <w:p w14:paraId="52762011" w14:textId="77777777" w:rsidR="00347F89" w:rsidRPr="00461EE2" w:rsidRDefault="00347F89" w:rsidP="00347F89">
            <w:pPr>
              <w:pStyle w:val="Default"/>
              <w:jc w:val="both"/>
              <w:rPr>
                <w:sz w:val="20"/>
                <w:szCs w:val="20"/>
                <w:lang w:val="lt-LT"/>
              </w:rPr>
            </w:pPr>
            <w:r w:rsidRPr="00461EE2">
              <w:rPr>
                <w:b/>
                <w:bCs/>
                <w:sz w:val="20"/>
                <w:szCs w:val="20"/>
                <w:lang w:val="lt-LT"/>
              </w:rPr>
              <w:t xml:space="preserve">Europos kibernetinio atsparumo aktas </w:t>
            </w:r>
            <w:r w:rsidRPr="00461EE2">
              <w:rPr>
                <w:sz w:val="20"/>
                <w:szCs w:val="20"/>
                <w:lang w:val="lt-LT"/>
              </w:rPr>
              <w:t xml:space="preserve">(teisėkūros procedūra priimamas aktas, įskaitant poveikio vertinimą, 2022 m. III ketv.) </w:t>
            </w:r>
          </w:p>
          <w:p w14:paraId="18B90292" w14:textId="77777777" w:rsidR="00461EE2" w:rsidRDefault="00461EE2" w:rsidP="00F5258E">
            <w:pPr>
              <w:pStyle w:val="Default"/>
              <w:jc w:val="both"/>
              <w:rPr>
                <w:color w:val="auto"/>
                <w:lang w:val="lt-LT"/>
              </w:rPr>
            </w:pPr>
          </w:p>
          <w:p w14:paraId="0CA45F14" w14:textId="77777777" w:rsidR="00EB668E" w:rsidRPr="00461EE2" w:rsidRDefault="00260D7E" w:rsidP="00F5258E">
            <w:pPr>
              <w:pStyle w:val="Default"/>
              <w:jc w:val="both"/>
              <w:rPr>
                <w:color w:val="auto"/>
                <w:lang w:val="lt-LT"/>
              </w:rPr>
            </w:pPr>
            <w:r w:rsidRPr="00461EE2">
              <w:rPr>
                <w:color w:val="auto"/>
                <w:lang w:val="lt-LT"/>
              </w:rPr>
              <w:t xml:space="preserve">Siekiant saugumo skaitmeninėje srityje, Komisija pateiks pasiūlymą dėl Europos kibernetinio atsparumo – bendrų </w:t>
            </w:r>
            <w:r w:rsidRPr="00461EE2">
              <w:rPr>
                <w:color w:val="auto"/>
                <w:lang w:val="lt-LT"/>
              </w:rPr>
              <w:lastRenderedPageBreak/>
              <w:t>kibernetinio saugumo standartų produktams sukūrimo.</w:t>
            </w:r>
          </w:p>
        </w:tc>
        <w:tc>
          <w:tcPr>
            <w:tcW w:w="6096" w:type="dxa"/>
            <w:tcBorders>
              <w:top w:val="single" w:sz="4" w:space="0" w:color="auto"/>
              <w:left w:val="single" w:sz="4" w:space="0" w:color="auto"/>
              <w:bottom w:val="single" w:sz="4" w:space="0" w:color="auto"/>
              <w:right w:val="single" w:sz="4" w:space="0" w:color="auto"/>
            </w:tcBorders>
          </w:tcPr>
          <w:p w14:paraId="18E0330C" w14:textId="77777777" w:rsidR="002639AE" w:rsidRPr="00461EE2" w:rsidRDefault="002639AE" w:rsidP="002639AE">
            <w:pPr>
              <w:pStyle w:val="Default"/>
              <w:jc w:val="both"/>
              <w:rPr>
                <w:b/>
                <w:lang w:val="lt-LT"/>
              </w:rPr>
            </w:pPr>
            <w:r w:rsidRPr="00461EE2">
              <w:rPr>
                <w:b/>
                <w:lang w:val="lt-LT"/>
              </w:rPr>
              <w:lastRenderedPageBreak/>
              <w:t>Labai aktualu</w:t>
            </w:r>
          </w:p>
          <w:p w14:paraId="6C131059" w14:textId="77777777" w:rsidR="006E68AD" w:rsidRPr="00461EE2" w:rsidRDefault="006E68AD" w:rsidP="00917368">
            <w:pPr>
              <w:shd w:val="clear" w:color="auto" w:fill="FFFFFF"/>
              <w:jc w:val="both"/>
              <w:rPr>
                <w:rFonts w:eastAsiaTheme="minorHAnsi"/>
              </w:rPr>
            </w:pPr>
            <w:r w:rsidRPr="00461EE2">
              <w:rPr>
                <w:rFonts w:eastAsiaTheme="minorHAnsi"/>
              </w:rPr>
              <w:t xml:space="preserve">Teigiamai vertiname siekį stiprinti kibernetinį saugumą. Ypatingas dėmesys turėtų būti skiriamas tam, kad būtų užkirstas kelias sisteminio poveikio kibernetiniams išpuoliams, kurie gali padaryti neigiamą poveikį tiekimo grandinėms, ypatingos svarbos infrastruktūrai ir </w:t>
            </w:r>
            <w:r w:rsidRPr="00461EE2">
              <w:rPr>
                <w:rFonts w:eastAsiaTheme="minorHAnsi"/>
              </w:rPr>
              <w:lastRenderedPageBreak/>
              <w:t>pagrindinėms paslaugoms, demokratinėms institucijoms ir procesams.</w:t>
            </w:r>
          </w:p>
        </w:tc>
        <w:tc>
          <w:tcPr>
            <w:tcW w:w="1560" w:type="dxa"/>
            <w:tcBorders>
              <w:top w:val="single" w:sz="4" w:space="0" w:color="auto"/>
              <w:left w:val="single" w:sz="4" w:space="0" w:color="auto"/>
              <w:bottom w:val="single" w:sz="4" w:space="0" w:color="auto"/>
              <w:right w:val="single" w:sz="4" w:space="0" w:color="auto"/>
            </w:tcBorders>
          </w:tcPr>
          <w:p w14:paraId="326720FE" w14:textId="77777777" w:rsidR="00EB668E" w:rsidRPr="00461EE2" w:rsidRDefault="005F27DC" w:rsidP="00F5258E">
            <w:r w:rsidRPr="00461EE2">
              <w:lastRenderedPageBreak/>
              <w:t>Krašto apsaugos ministerija</w:t>
            </w:r>
          </w:p>
        </w:tc>
      </w:tr>
      <w:tr w:rsidR="00B15B81" w:rsidRPr="00461EE2" w14:paraId="11E2360D"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1D243767" w14:textId="77777777" w:rsidR="00B15B81" w:rsidRPr="00461EE2" w:rsidRDefault="00B15B81" w:rsidP="00B15B81">
            <w:r w:rsidRPr="00461EE2">
              <w:t>7</w:t>
            </w:r>
          </w:p>
        </w:tc>
        <w:tc>
          <w:tcPr>
            <w:tcW w:w="1950" w:type="dxa"/>
            <w:gridSpan w:val="2"/>
            <w:tcBorders>
              <w:top w:val="single" w:sz="4" w:space="0" w:color="auto"/>
              <w:left w:val="single" w:sz="4" w:space="0" w:color="auto"/>
              <w:bottom w:val="single" w:sz="4" w:space="0" w:color="auto"/>
              <w:right w:val="single" w:sz="4" w:space="0" w:color="auto"/>
            </w:tcBorders>
          </w:tcPr>
          <w:p w14:paraId="116E3F2A" w14:textId="77777777" w:rsidR="00B15B81" w:rsidRPr="00461EE2" w:rsidRDefault="00B15B81" w:rsidP="000C06EE">
            <w:pPr>
              <w:jc w:val="both"/>
            </w:pPr>
            <w:r w:rsidRPr="00461EE2">
              <w:rPr>
                <w:b/>
              </w:rPr>
              <w:t>Puslaidininkiai</w:t>
            </w:r>
            <w:r w:rsidRPr="00461EE2">
              <w:t xml:space="preserve"> </w:t>
            </w:r>
          </w:p>
        </w:tc>
        <w:tc>
          <w:tcPr>
            <w:tcW w:w="4394" w:type="dxa"/>
            <w:tcBorders>
              <w:top w:val="single" w:sz="4" w:space="0" w:color="auto"/>
              <w:left w:val="single" w:sz="4" w:space="0" w:color="auto"/>
              <w:bottom w:val="single" w:sz="4" w:space="0" w:color="auto"/>
              <w:right w:val="single" w:sz="4" w:space="0" w:color="auto"/>
            </w:tcBorders>
          </w:tcPr>
          <w:p w14:paraId="4D79F271" w14:textId="77777777" w:rsidR="00347F89" w:rsidRPr="00461EE2" w:rsidRDefault="00347F89" w:rsidP="00347F89">
            <w:pPr>
              <w:pStyle w:val="Default"/>
              <w:jc w:val="both"/>
              <w:rPr>
                <w:sz w:val="20"/>
                <w:szCs w:val="20"/>
                <w:lang w:val="lt-LT"/>
              </w:rPr>
            </w:pPr>
            <w:r w:rsidRPr="00461EE2">
              <w:rPr>
                <w:b/>
                <w:bCs/>
                <w:sz w:val="20"/>
                <w:szCs w:val="20"/>
                <w:lang w:val="lt-LT"/>
              </w:rPr>
              <w:t xml:space="preserve">Europos lustų aktas </w:t>
            </w:r>
            <w:r w:rsidRPr="00461EE2">
              <w:rPr>
                <w:sz w:val="20"/>
                <w:szCs w:val="20"/>
                <w:lang w:val="lt-LT"/>
              </w:rPr>
              <w:t xml:space="preserve">(teisėkūros arba ne teisėkūros procedūra priimamas aktas, 2022 m. II ketv.) </w:t>
            </w:r>
          </w:p>
          <w:p w14:paraId="5A56BE21" w14:textId="77777777" w:rsidR="00347F89" w:rsidRPr="00461EE2" w:rsidRDefault="00347F89" w:rsidP="00B15B81">
            <w:pPr>
              <w:jc w:val="both"/>
            </w:pPr>
          </w:p>
          <w:p w14:paraId="4CC8D31A" w14:textId="77777777" w:rsidR="00B15B81" w:rsidRPr="00461EE2" w:rsidRDefault="00B15B81" w:rsidP="00B15B81">
            <w:pPr>
              <w:jc w:val="both"/>
            </w:pPr>
            <w:r w:rsidRPr="00461EE2">
              <w:t xml:space="preserve">COVID-19 pandemija išryškino puslaidininkių tiekimo priklausomybę nuo keleto trečiųjų šalių. Todėl itin svarbus numatomas </w:t>
            </w:r>
            <w:r w:rsidRPr="00461EE2">
              <w:rPr>
                <w:bCs/>
              </w:rPr>
              <w:t>ES lustų aktas</w:t>
            </w:r>
            <w:r w:rsidRPr="00461EE2">
              <w:rPr>
                <w:b/>
                <w:bCs/>
              </w:rPr>
              <w:t xml:space="preserve"> </w:t>
            </w:r>
            <w:r w:rsidRPr="00461EE2">
              <w:t>(European Chips Act), kuriuo bus skatinama pažangiausia Europos lustų ekosistema, siekiant sustiprinti ES inovacijų politiką, tiekimo saugumą ir kurti naujas novatoriškų Europos technologijų rinkas. Kol kas nėra žinoma, ar tai bus teisėkūrinis pasiūlymas.</w:t>
            </w:r>
          </w:p>
        </w:tc>
        <w:tc>
          <w:tcPr>
            <w:tcW w:w="6096" w:type="dxa"/>
            <w:tcBorders>
              <w:top w:val="single" w:sz="4" w:space="0" w:color="auto"/>
              <w:left w:val="single" w:sz="4" w:space="0" w:color="auto"/>
              <w:bottom w:val="single" w:sz="4" w:space="0" w:color="auto"/>
              <w:right w:val="single" w:sz="4" w:space="0" w:color="auto"/>
            </w:tcBorders>
          </w:tcPr>
          <w:p w14:paraId="4F57617D" w14:textId="77777777" w:rsidR="00B15B81" w:rsidRPr="00461EE2" w:rsidRDefault="00B15B81" w:rsidP="00B15B81">
            <w:pPr>
              <w:pStyle w:val="Default"/>
              <w:jc w:val="both"/>
              <w:rPr>
                <w:b/>
                <w:lang w:val="lt-LT"/>
              </w:rPr>
            </w:pPr>
            <w:r w:rsidRPr="00461EE2">
              <w:rPr>
                <w:b/>
                <w:lang w:val="lt-LT"/>
              </w:rPr>
              <w:t>Labai aktualu</w:t>
            </w:r>
          </w:p>
          <w:p w14:paraId="6643D877" w14:textId="77777777" w:rsidR="00B15B81" w:rsidRPr="00461EE2" w:rsidRDefault="00B15B81" w:rsidP="00B15B81">
            <w:pPr>
              <w:pStyle w:val="Default"/>
              <w:jc w:val="both"/>
              <w:rPr>
                <w:lang w:val="lt-LT"/>
              </w:rPr>
            </w:pPr>
            <w:r w:rsidRPr="00461EE2">
              <w:rPr>
                <w:lang w:val="lt-LT"/>
              </w:rPr>
              <w:t>Pritariame, kad sėkmingai skaitmeninei transformacijai įgyvendinti svarbu stiprinti technologinius pajėgumus, užsitikrinant tokių kritiškai svarbių medžiagų kaip puslaidininkiai gamybą. Sieksime kuo labiau įsitraukti į procesą, siūlant savo pajėgumus.</w:t>
            </w:r>
          </w:p>
        </w:tc>
        <w:tc>
          <w:tcPr>
            <w:tcW w:w="1560" w:type="dxa"/>
            <w:tcBorders>
              <w:top w:val="single" w:sz="4" w:space="0" w:color="auto"/>
              <w:left w:val="single" w:sz="4" w:space="0" w:color="auto"/>
              <w:bottom w:val="single" w:sz="4" w:space="0" w:color="auto"/>
              <w:right w:val="single" w:sz="4" w:space="0" w:color="auto"/>
            </w:tcBorders>
          </w:tcPr>
          <w:p w14:paraId="53D44830" w14:textId="77777777" w:rsidR="00B15B81" w:rsidRPr="00461EE2" w:rsidRDefault="00B15B81" w:rsidP="00B15B81">
            <w:pPr>
              <w:jc w:val="both"/>
            </w:pPr>
            <w:r w:rsidRPr="00461EE2">
              <w:t>Ekonomikos ir inovacijų ministerija</w:t>
            </w:r>
          </w:p>
        </w:tc>
      </w:tr>
      <w:tr w:rsidR="004802F5" w:rsidRPr="00461EE2" w14:paraId="2E1C2E5C"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2E4057AE" w14:textId="77777777" w:rsidR="004802F5" w:rsidRPr="00461EE2" w:rsidRDefault="004802F5" w:rsidP="00F5258E">
            <w:r w:rsidRPr="00461EE2">
              <w:t>8</w:t>
            </w:r>
          </w:p>
        </w:tc>
        <w:tc>
          <w:tcPr>
            <w:tcW w:w="1950" w:type="dxa"/>
            <w:gridSpan w:val="2"/>
            <w:tcBorders>
              <w:top w:val="single" w:sz="4" w:space="0" w:color="auto"/>
              <w:left w:val="single" w:sz="4" w:space="0" w:color="auto"/>
              <w:bottom w:val="single" w:sz="4" w:space="0" w:color="auto"/>
              <w:right w:val="single" w:sz="4" w:space="0" w:color="auto"/>
            </w:tcBorders>
          </w:tcPr>
          <w:p w14:paraId="75708892" w14:textId="77777777" w:rsidR="004802F5" w:rsidRPr="00461EE2" w:rsidRDefault="00EE258E" w:rsidP="00A96510">
            <w:pPr>
              <w:autoSpaceDE w:val="0"/>
              <w:autoSpaceDN w:val="0"/>
              <w:adjustRightInd w:val="0"/>
            </w:pPr>
            <w:r w:rsidRPr="00461EE2">
              <w:rPr>
                <w:b/>
              </w:rPr>
              <w:t>Saugumas ir gynyba</w:t>
            </w:r>
            <w:r w:rsidRPr="00461EE2">
              <w:t xml:space="preserve"> (saugumo ir gynybos technologijų kelio gairės)</w:t>
            </w:r>
          </w:p>
        </w:tc>
        <w:tc>
          <w:tcPr>
            <w:tcW w:w="4394" w:type="dxa"/>
            <w:tcBorders>
              <w:top w:val="single" w:sz="4" w:space="0" w:color="auto"/>
              <w:left w:val="single" w:sz="4" w:space="0" w:color="auto"/>
              <w:bottom w:val="single" w:sz="4" w:space="0" w:color="auto"/>
              <w:right w:val="single" w:sz="4" w:space="0" w:color="auto"/>
            </w:tcBorders>
          </w:tcPr>
          <w:p w14:paraId="79344B7C" w14:textId="77777777" w:rsidR="00347F89" w:rsidRPr="00461EE2" w:rsidRDefault="00347F89" w:rsidP="00347F89">
            <w:pPr>
              <w:pStyle w:val="Default"/>
              <w:jc w:val="both"/>
              <w:rPr>
                <w:sz w:val="20"/>
                <w:szCs w:val="20"/>
                <w:lang w:val="lt-LT"/>
              </w:rPr>
            </w:pPr>
            <w:r w:rsidRPr="00461EE2">
              <w:rPr>
                <w:b/>
                <w:bCs/>
                <w:sz w:val="20"/>
                <w:szCs w:val="20"/>
                <w:lang w:val="lt-LT"/>
              </w:rPr>
              <w:t xml:space="preserve">Saugumo ir gynybos technologijų veiksmų gairės </w:t>
            </w:r>
            <w:r w:rsidRPr="00461EE2">
              <w:rPr>
                <w:sz w:val="20"/>
                <w:szCs w:val="20"/>
                <w:lang w:val="lt-LT"/>
              </w:rPr>
              <w:t xml:space="preserve">(ne teisėkūros procedūra priimamas aktas, 2022 m. I ketv.) </w:t>
            </w:r>
          </w:p>
          <w:p w14:paraId="6640DD63" w14:textId="77777777" w:rsidR="00461EE2" w:rsidRDefault="00461EE2" w:rsidP="007C180D">
            <w:pPr>
              <w:jc w:val="both"/>
            </w:pPr>
          </w:p>
          <w:p w14:paraId="617A1D38" w14:textId="77777777" w:rsidR="004802F5" w:rsidRPr="00461EE2" w:rsidRDefault="006E68AD" w:rsidP="007C180D">
            <w:pPr>
              <w:jc w:val="both"/>
            </w:pPr>
            <w:r w:rsidRPr="00461EE2">
              <w:t>Komisija parengs gynybos paketą, kuris apims gaires dėl saugumo ir gynybos technologijų, siekiant skatinti tyrimus, technologijų vystymą, inovacijas, mažinti ES priklausomybę kritiškai svarbių technologijų srityje.</w:t>
            </w:r>
          </w:p>
        </w:tc>
        <w:tc>
          <w:tcPr>
            <w:tcW w:w="6096" w:type="dxa"/>
            <w:tcBorders>
              <w:top w:val="single" w:sz="4" w:space="0" w:color="auto"/>
              <w:left w:val="single" w:sz="4" w:space="0" w:color="auto"/>
              <w:bottom w:val="single" w:sz="4" w:space="0" w:color="auto"/>
              <w:right w:val="single" w:sz="4" w:space="0" w:color="auto"/>
            </w:tcBorders>
          </w:tcPr>
          <w:p w14:paraId="24BFC9A8" w14:textId="77777777" w:rsidR="004802F5" w:rsidRPr="00461EE2" w:rsidRDefault="001C39CE" w:rsidP="00F5258E">
            <w:pPr>
              <w:jc w:val="both"/>
              <w:rPr>
                <w:b/>
              </w:rPr>
            </w:pPr>
            <w:r w:rsidRPr="00461EE2">
              <w:rPr>
                <w:b/>
              </w:rPr>
              <w:t>Aktualu</w:t>
            </w:r>
          </w:p>
          <w:p w14:paraId="6CA8037A" w14:textId="77777777" w:rsidR="001C39CE" w:rsidRPr="00461EE2" w:rsidRDefault="000A0EB0" w:rsidP="000A0EB0">
            <w:pPr>
              <w:jc w:val="both"/>
            </w:pPr>
            <w:r w:rsidRPr="00461EE2">
              <w:t xml:space="preserve">Lietuva nuosekliai ragina sutelkti dėmesį į </w:t>
            </w:r>
            <w:r w:rsidR="00917368" w:rsidRPr="00461EE2">
              <w:t xml:space="preserve">konkrečius </w:t>
            </w:r>
            <w:r w:rsidRPr="00461EE2">
              <w:t xml:space="preserve">ES gynybos pajėgumų stiprinimo darbus. </w:t>
            </w:r>
            <w:r w:rsidR="001C39CE" w:rsidRPr="00461EE2">
              <w:t xml:space="preserve">Lietuvai </w:t>
            </w:r>
            <w:r w:rsidRPr="00461EE2">
              <w:t xml:space="preserve">aktualus </w:t>
            </w:r>
            <w:r w:rsidR="001C39CE" w:rsidRPr="00461EE2">
              <w:t>tolesn</w:t>
            </w:r>
            <w:r w:rsidRPr="00461EE2">
              <w:t>is</w:t>
            </w:r>
            <w:r w:rsidR="001C39CE" w:rsidRPr="00461EE2">
              <w:t xml:space="preserve"> dalyvavim</w:t>
            </w:r>
            <w:r w:rsidRPr="00461EE2">
              <w:t>as</w:t>
            </w:r>
            <w:r w:rsidR="001C39CE" w:rsidRPr="00461EE2">
              <w:t xml:space="preserve"> Europos gynybos fondo projektuose, siek</w:t>
            </w:r>
            <w:r w:rsidRPr="00461EE2">
              <w:t>iame</w:t>
            </w:r>
            <w:r w:rsidR="001C39CE" w:rsidRPr="00461EE2">
              <w:t>, kad mažos ir vidutinės įmonės būtų skatinamos dalyvauti ir būtų tinkamai integruojamos į tarptautines gamybos ir tiekimo grandines</w:t>
            </w:r>
          </w:p>
        </w:tc>
        <w:tc>
          <w:tcPr>
            <w:tcW w:w="1560" w:type="dxa"/>
            <w:tcBorders>
              <w:top w:val="single" w:sz="4" w:space="0" w:color="auto"/>
              <w:left w:val="single" w:sz="4" w:space="0" w:color="auto"/>
              <w:bottom w:val="single" w:sz="4" w:space="0" w:color="auto"/>
              <w:right w:val="single" w:sz="4" w:space="0" w:color="auto"/>
            </w:tcBorders>
          </w:tcPr>
          <w:p w14:paraId="049A4A2C" w14:textId="77777777" w:rsidR="005F02C5" w:rsidRPr="00461EE2" w:rsidRDefault="00940E53" w:rsidP="00A05BF9">
            <w:r w:rsidRPr="00461EE2">
              <w:t>Krašto apsaugos ministerija</w:t>
            </w:r>
          </w:p>
        </w:tc>
      </w:tr>
      <w:tr w:rsidR="004802F5" w:rsidRPr="00461EE2" w14:paraId="5243B102" w14:textId="77777777" w:rsidTr="00461EE2">
        <w:trPr>
          <w:trHeight w:val="699"/>
        </w:trPr>
        <w:tc>
          <w:tcPr>
            <w:tcW w:w="631" w:type="dxa"/>
            <w:tcBorders>
              <w:top w:val="single" w:sz="4" w:space="0" w:color="auto"/>
              <w:left w:val="single" w:sz="4" w:space="0" w:color="auto"/>
              <w:bottom w:val="single" w:sz="4" w:space="0" w:color="auto"/>
              <w:right w:val="single" w:sz="4" w:space="0" w:color="auto"/>
            </w:tcBorders>
          </w:tcPr>
          <w:p w14:paraId="0A2B57FE" w14:textId="77777777" w:rsidR="004802F5" w:rsidRPr="00461EE2" w:rsidRDefault="004802F5" w:rsidP="00F5258E">
            <w:r w:rsidRPr="00461EE2">
              <w:t>9</w:t>
            </w:r>
          </w:p>
        </w:tc>
        <w:tc>
          <w:tcPr>
            <w:tcW w:w="1950" w:type="dxa"/>
            <w:gridSpan w:val="2"/>
            <w:tcBorders>
              <w:top w:val="single" w:sz="4" w:space="0" w:color="auto"/>
              <w:left w:val="single" w:sz="4" w:space="0" w:color="auto"/>
              <w:bottom w:val="single" w:sz="4" w:space="0" w:color="auto"/>
              <w:right w:val="single" w:sz="4" w:space="0" w:color="auto"/>
            </w:tcBorders>
          </w:tcPr>
          <w:p w14:paraId="3BDB5336" w14:textId="77777777" w:rsidR="004802F5" w:rsidRPr="00461EE2" w:rsidRDefault="00347F89" w:rsidP="00F5258E">
            <w:pPr>
              <w:autoSpaceDE w:val="0"/>
              <w:autoSpaceDN w:val="0"/>
              <w:adjustRightInd w:val="0"/>
              <w:rPr>
                <w:b/>
              </w:rPr>
            </w:pPr>
            <w:r w:rsidRPr="00461EE2">
              <w:rPr>
                <w:b/>
              </w:rPr>
              <w:t>Novatoriškas</w:t>
            </w:r>
            <w:r w:rsidR="00EE258E" w:rsidRPr="00461EE2">
              <w:rPr>
                <w:b/>
              </w:rPr>
              <w:t xml:space="preserve"> ir tvarus kosmosas</w:t>
            </w:r>
          </w:p>
        </w:tc>
        <w:tc>
          <w:tcPr>
            <w:tcW w:w="4394" w:type="dxa"/>
            <w:tcBorders>
              <w:top w:val="single" w:sz="4" w:space="0" w:color="auto"/>
              <w:left w:val="single" w:sz="4" w:space="0" w:color="auto"/>
              <w:bottom w:val="single" w:sz="4" w:space="0" w:color="auto"/>
              <w:right w:val="single" w:sz="4" w:space="0" w:color="auto"/>
            </w:tcBorders>
          </w:tcPr>
          <w:p w14:paraId="68141156" w14:textId="77777777" w:rsidR="00347F89" w:rsidRPr="00461EE2" w:rsidRDefault="00347F89" w:rsidP="00347F89">
            <w:pPr>
              <w:pStyle w:val="Default"/>
              <w:jc w:val="both"/>
              <w:rPr>
                <w:sz w:val="20"/>
                <w:szCs w:val="20"/>
                <w:lang w:val="lt-LT"/>
              </w:rPr>
            </w:pPr>
            <w:r w:rsidRPr="00461EE2">
              <w:rPr>
                <w:sz w:val="20"/>
                <w:szCs w:val="20"/>
                <w:lang w:val="lt-LT"/>
              </w:rPr>
              <w:t xml:space="preserve">a) </w:t>
            </w:r>
            <w:r w:rsidRPr="00461EE2">
              <w:rPr>
                <w:b/>
                <w:bCs/>
                <w:sz w:val="20"/>
                <w:szCs w:val="20"/>
                <w:lang w:val="lt-LT"/>
              </w:rPr>
              <w:t xml:space="preserve">ES kosminės pasaulinės saugios komunikacijos sistemos sukūrimas </w:t>
            </w:r>
            <w:r w:rsidRPr="00461EE2">
              <w:rPr>
                <w:sz w:val="20"/>
                <w:szCs w:val="20"/>
                <w:lang w:val="lt-LT"/>
              </w:rPr>
              <w:t xml:space="preserve">(teisėkūros procedūra priimamas aktas, įskaitant poveikio vertinimą, SESV 189 straipsnis, 2022 m. II ketv.) </w:t>
            </w:r>
          </w:p>
          <w:p w14:paraId="64E9FE76" w14:textId="77777777" w:rsidR="00347F89" w:rsidRPr="00461EE2" w:rsidRDefault="00347F89" w:rsidP="00347F89">
            <w:pPr>
              <w:pStyle w:val="Default"/>
              <w:jc w:val="both"/>
              <w:rPr>
                <w:sz w:val="20"/>
                <w:szCs w:val="20"/>
                <w:lang w:val="lt-LT"/>
              </w:rPr>
            </w:pPr>
            <w:r w:rsidRPr="00461EE2">
              <w:rPr>
                <w:sz w:val="20"/>
                <w:szCs w:val="20"/>
                <w:lang w:val="lt-LT"/>
              </w:rPr>
              <w:lastRenderedPageBreak/>
              <w:t xml:space="preserve">b) </w:t>
            </w:r>
            <w:r w:rsidRPr="00461EE2">
              <w:rPr>
                <w:b/>
                <w:bCs/>
                <w:sz w:val="20"/>
                <w:szCs w:val="20"/>
                <w:lang w:val="lt-LT"/>
              </w:rPr>
              <w:t xml:space="preserve">ES kosmoso eismo valdymo strategija </w:t>
            </w:r>
            <w:r w:rsidRPr="00461EE2">
              <w:rPr>
                <w:sz w:val="20"/>
                <w:szCs w:val="20"/>
                <w:lang w:val="lt-LT"/>
              </w:rPr>
              <w:t xml:space="preserve">(ne teisėkūros procedūra priimamas aktas, 2022 m. II ketv.) </w:t>
            </w:r>
          </w:p>
          <w:p w14:paraId="7FD3D61F" w14:textId="77777777" w:rsidR="00461EE2" w:rsidRDefault="00461EE2">
            <w:pPr>
              <w:jc w:val="both"/>
            </w:pPr>
          </w:p>
          <w:p w14:paraId="7CCA5A9E" w14:textId="77777777" w:rsidR="004802F5" w:rsidRPr="00461EE2" w:rsidRDefault="00625168" w:rsidP="00461EE2">
            <w:pPr>
              <w:jc w:val="both"/>
            </w:pPr>
            <w:r w:rsidRPr="00461EE2">
              <w:t>Naujasis kosmosas keičia pramonės verslo modelius kosmoso ekosistemoje ir daro poveikį Europos pramonės konkurencingumui</w:t>
            </w:r>
            <w:r w:rsidR="00461EE2">
              <w:t>, t</w:t>
            </w:r>
            <w:r w:rsidRPr="00461EE2">
              <w:t xml:space="preserve">ačiau Europos kosmoso sektoriaus pramonės pajėgumai yra nevienodai paskirstyti. </w:t>
            </w:r>
            <w:r w:rsidR="00461EE2">
              <w:t>Š</w:t>
            </w:r>
            <w:r w:rsidRPr="00461EE2">
              <w:t xml:space="preserve">alyse, kuriose yra didelė kosminės pramonės bazė, MVĮ skaičius auga sparčiau nei šalyse, kuriose kosmoso pramonės bazė yra ribota arba visai </w:t>
            </w:r>
            <w:r w:rsidR="00461EE2">
              <w:t xml:space="preserve">jos </w:t>
            </w:r>
            <w:r w:rsidRPr="00461EE2">
              <w:t>nėra. Siekiant geriau reaguoti į globalius kosmoso sektoriaus iššūkius, būtina skatinti MVĮ įtraukimą į Europos kosmoso ekosistemą, įskaitant pasienio bendradarbiavimą.</w:t>
            </w:r>
          </w:p>
        </w:tc>
        <w:tc>
          <w:tcPr>
            <w:tcW w:w="6096" w:type="dxa"/>
            <w:tcBorders>
              <w:top w:val="single" w:sz="4" w:space="0" w:color="auto"/>
              <w:left w:val="single" w:sz="4" w:space="0" w:color="auto"/>
              <w:bottom w:val="single" w:sz="4" w:space="0" w:color="auto"/>
              <w:right w:val="single" w:sz="4" w:space="0" w:color="auto"/>
            </w:tcBorders>
          </w:tcPr>
          <w:p w14:paraId="7A036D3C" w14:textId="77777777" w:rsidR="00625168" w:rsidRPr="00461EE2" w:rsidRDefault="00625168" w:rsidP="00625168">
            <w:pPr>
              <w:jc w:val="both"/>
              <w:rPr>
                <w:b/>
                <w:bCs/>
              </w:rPr>
            </w:pPr>
            <w:r w:rsidRPr="00461EE2">
              <w:rPr>
                <w:b/>
                <w:bCs/>
              </w:rPr>
              <w:lastRenderedPageBreak/>
              <w:t>Aktualu</w:t>
            </w:r>
          </w:p>
          <w:p w14:paraId="70829127" w14:textId="77777777" w:rsidR="00625168" w:rsidRPr="00461EE2" w:rsidRDefault="00625168" w:rsidP="00625168">
            <w:pPr>
              <w:jc w:val="both"/>
              <w:rPr>
                <w:bCs/>
              </w:rPr>
            </w:pPr>
            <w:r w:rsidRPr="00461EE2">
              <w:rPr>
                <w:bCs/>
              </w:rPr>
              <w:t>Pritariame siekiui stiprinti Europos kosmoso sektoriuje vykdomas programas didinant Europos rolę tarptautiniame kontekste.</w:t>
            </w:r>
          </w:p>
          <w:p w14:paraId="5C0776D5" w14:textId="77777777" w:rsidR="00461EE2" w:rsidRDefault="00461EE2" w:rsidP="00625168">
            <w:pPr>
              <w:jc w:val="both"/>
              <w:rPr>
                <w:bCs/>
              </w:rPr>
            </w:pPr>
          </w:p>
          <w:p w14:paraId="2566B85A" w14:textId="77777777" w:rsidR="004802F5" w:rsidRPr="00461EE2" w:rsidRDefault="00625168" w:rsidP="00461EE2">
            <w:pPr>
              <w:jc w:val="both"/>
              <w:rPr>
                <w:bCs/>
              </w:rPr>
            </w:pPr>
            <w:r w:rsidRPr="00461EE2">
              <w:rPr>
                <w:bCs/>
              </w:rPr>
              <w:t>Ypa</w:t>
            </w:r>
            <w:r w:rsidR="00461EE2">
              <w:rPr>
                <w:bCs/>
              </w:rPr>
              <w:t>č</w:t>
            </w:r>
            <w:r w:rsidRPr="00461EE2">
              <w:rPr>
                <w:bCs/>
              </w:rPr>
              <w:t xml:space="preserve"> svarbu sudaryti geresnes galimybes gauti finansavimą, visų pirma - pradedančioms įmonėms, steigiamoms įmonėms ir MVĮ, kad būtų išnaudotas visas jų inovacijų potencialas, dalyvaujant su kosmosu susijusiose veiklose, tuo pačiu prisidedant ir prie Europos pozicijų stiprinimo kosmoso srityje pasauliniame kontekste. Taip pat svarbu užtikrinti kosmoso ekosistemos konkurencingumą bei skatinti Sąjungos naujai įsteigtų įmonių, MVĮ, taip pat mokslinių tyrimų organizacijų dalyvavimą kuriant naujas veiklas.</w:t>
            </w:r>
          </w:p>
        </w:tc>
        <w:tc>
          <w:tcPr>
            <w:tcW w:w="1560" w:type="dxa"/>
            <w:tcBorders>
              <w:top w:val="single" w:sz="4" w:space="0" w:color="auto"/>
              <w:left w:val="single" w:sz="4" w:space="0" w:color="auto"/>
              <w:bottom w:val="single" w:sz="4" w:space="0" w:color="auto"/>
              <w:right w:val="single" w:sz="4" w:space="0" w:color="auto"/>
            </w:tcBorders>
          </w:tcPr>
          <w:p w14:paraId="70BB088B" w14:textId="77777777" w:rsidR="00224E6A" w:rsidRPr="00461EE2" w:rsidRDefault="00D36F36" w:rsidP="00940E53">
            <w:r w:rsidRPr="00461EE2">
              <w:lastRenderedPageBreak/>
              <w:t>E</w:t>
            </w:r>
            <w:r w:rsidR="00940E53" w:rsidRPr="00461EE2">
              <w:t>konomikos ir inovacijų ministerija</w:t>
            </w:r>
          </w:p>
        </w:tc>
      </w:tr>
      <w:tr w:rsidR="00625168" w:rsidRPr="00461EE2" w14:paraId="7DB8A66F" w14:textId="77777777" w:rsidTr="00461EE2">
        <w:trPr>
          <w:trHeight w:val="699"/>
        </w:trPr>
        <w:tc>
          <w:tcPr>
            <w:tcW w:w="631" w:type="dxa"/>
            <w:tcBorders>
              <w:top w:val="single" w:sz="4" w:space="0" w:color="auto"/>
              <w:left w:val="single" w:sz="4" w:space="0" w:color="auto"/>
              <w:bottom w:val="single" w:sz="4" w:space="0" w:color="auto"/>
              <w:right w:val="single" w:sz="4" w:space="0" w:color="auto"/>
            </w:tcBorders>
          </w:tcPr>
          <w:p w14:paraId="09EA84F4" w14:textId="77777777" w:rsidR="00625168" w:rsidRPr="00461EE2" w:rsidRDefault="00625168" w:rsidP="00625168">
            <w:r w:rsidRPr="00461EE2">
              <w:t>10</w:t>
            </w:r>
          </w:p>
        </w:tc>
        <w:tc>
          <w:tcPr>
            <w:tcW w:w="1950" w:type="dxa"/>
            <w:gridSpan w:val="2"/>
            <w:tcBorders>
              <w:top w:val="single" w:sz="4" w:space="0" w:color="auto"/>
              <w:left w:val="single" w:sz="4" w:space="0" w:color="auto"/>
              <w:bottom w:val="single" w:sz="4" w:space="0" w:color="auto"/>
              <w:right w:val="single" w:sz="4" w:space="0" w:color="auto"/>
            </w:tcBorders>
          </w:tcPr>
          <w:p w14:paraId="04FB3559" w14:textId="77777777" w:rsidR="00625168" w:rsidRPr="00461EE2" w:rsidRDefault="00625168" w:rsidP="00625168">
            <w:pPr>
              <w:autoSpaceDE w:val="0"/>
              <w:autoSpaceDN w:val="0"/>
              <w:adjustRightInd w:val="0"/>
              <w:rPr>
                <w:b/>
              </w:rPr>
            </w:pPr>
            <w:r w:rsidRPr="00462670">
              <w:rPr>
                <w:b/>
                <w:bCs/>
                <w:color w:val="000000" w:themeColor="text1"/>
              </w:rPr>
              <w:t>Švietimo ir įgūdžių skaitmeninės technologijos</w:t>
            </w:r>
          </w:p>
        </w:tc>
        <w:tc>
          <w:tcPr>
            <w:tcW w:w="4394" w:type="dxa"/>
            <w:tcBorders>
              <w:top w:val="single" w:sz="4" w:space="0" w:color="auto"/>
              <w:left w:val="single" w:sz="4" w:space="0" w:color="auto"/>
              <w:bottom w:val="single" w:sz="4" w:space="0" w:color="auto"/>
              <w:right w:val="single" w:sz="4" w:space="0" w:color="auto"/>
            </w:tcBorders>
          </w:tcPr>
          <w:p w14:paraId="343A4D5B" w14:textId="77777777" w:rsidR="00625168" w:rsidRPr="00461EE2" w:rsidRDefault="00625168" w:rsidP="00625168">
            <w:pPr>
              <w:pStyle w:val="Default"/>
              <w:rPr>
                <w:sz w:val="20"/>
                <w:szCs w:val="20"/>
                <w:lang w:val="lt-LT"/>
              </w:rPr>
            </w:pPr>
            <w:r w:rsidRPr="00461EE2">
              <w:rPr>
                <w:sz w:val="20"/>
                <w:szCs w:val="20"/>
                <w:lang w:val="lt-LT"/>
              </w:rPr>
              <w:t xml:space="preserve">a) </w:t>
            </w:r>
            <w:r w:rsidRPr="00461EE2">
              <w:rPr>
                <w:b/>
                <w:bCs/>
                <w:sz w:val="20"/>
                <w:szCs w:val="20"/>
                <w:lang w:val="lt-LT"/>
              </w:rPr>
              <w:t xml:space="preserve">Rekomendacija dėl skaitmeninių įgūdžių ugdymo švietimo ir mokymo srityje gerinimo </w:t>
            </w:r>
            <w:r w:rsidRPr="00461EE2">
              <w:rPr>
                <w:sz w:val="20"/>
                <w:szCs w:val="20"/>
                <w:lang w:val="lt-LT"/>
              </w:rPr>
              <w:t>(ne teisėkūros procedūra priimamas aktas, 2022 m. III ketv.)</w:t>
            </w:r>
          </w:p>
          <w:p w14:paraId="3BB67479" w14:textId="77777777" w:rsidR="007C2AFD" w:rsidRDefault="00625168" w:rsidP="00625168">
            <w:pPr>
              <w:pStyle w:val="Default"/>
              <w:jc w:val="both"/>
              <w:rPr>
                <w:color w:val="auto"/>
                <w:lang w:val="lt-LT"/>
              </w:rPr>
            </w:pPr>
            <w:r w:rsidRPr="00461EE2">
              <w:rPr>
                <w:sz w:val="20"/>
                <w:szCs w:val="20"/>
                <w:lang w:val="lt-LT"/>
              </w:rPr>
              <w:t xml:space="preserve">b) </w:t>
            </w:r>
            <w:r w:rsidRPr="00461EE2">
              <w:rPr>
                <w:b/>
                <w:bCs/>
                <w:sz w:val="20"/>
                <w:szCs w:val="20"/>
                <w:lang w:val="lt-LT"/>
              </w:rPr>
              <w:t xml:space="preserve">Rekomendacija dėl skaitmeninio švietimo skatinimo veiksnių </w:t>
            </w:r>
            <w:r w:rsidRPr="00461EE2">
              <w:rPr>
                <w:sz w:val="20"/>
                <w:szCs w:val="20"/>
                <w:lang w:val="lt-LT"/>
              </w:rPr>
              <w:t>(ne teisėkūros procedūra priimamas aktas, 2022 m. III ketv.)</w:t>
            </w:r>
          </w:p>
          <w:p w14:paraId="619F2CAF" w14:textId="77777777" w:rsidR="007C2AFD" w:rsidRDefault="007C2AFD" w:rsidP="007C2AFD"/>
          <w:p w14:paraId="3282108A" w14:textId="77777777" w:rsidR="00625168" w:rsidRPr="007C2AFD" w:rsidRDefault="007C2AFD" w:rsidP="007C2AFD">
            <w:r>
              <w:t>Komisija planuoja y</w:t>
            </w:r>
            <w:r w:rsidRPr="007C2AFD">
              <w:t>pating</w:t>
            </w:r>
            <w:r>
              <w:t>ą</w:t>
            </w:r>
            <w:r w:rsidRPr="007C2AFD">
              <w:t xml:space="preserve"> dėmes</w:t>
            </w:r>
            <w:r>
              <w:t>į</w:t>
            </w:r>
            <w:r w:rsidRPr="007C2AFD">
              <w:t xml:space="preserve"> skir</w:t>
            </w:r>
            <w:r>
              <w:t>ti</w:t>
            </w:r>
            <w:r w:rsidRPr="007C2AFD">
              <w:t xml:space="preserve"> piliečių skaitmeniniams įgūdžiams ir švietimui. Komisija pateiks dvi rekomendacijas, susijusias su skaitmeninių įgūdžių švietimo ir mokymų srityje gerinimu bei skaitmeninį švietimą skatinančiais veiksniais</w:t>
            </w:r>
          </w:p>
        </w:tc>
        <w:tc>
          <w:tcPr>
            <w:tcW w:w="6096" w:type="dxa"/>
            <w:tcBorders>
              <w:top w:val="single" w:sz="4" w:space="0" w:color="auto"/>
              <w:left w:val="single" w:sz="4" w:space="0" w:color="auto"/>
              <w:bottom w:val="single" w:sz="4" w:space="0" w:color="auto"/>
              <w:right w:val="single" w:sz="4" w:space="0" w:color="auto"/>
            </w:tcBorders>
            <w:vAlign w:val="center"/>
          </w:tcPr>
          <w:p w14:paraId="42C1453D" w14:textId="77777777" w:rsidR="00625168" w:rsidRPr="00461EE2" w:rsidRDefault="00625168" w:rsidP="00625168">
            <w:pPr>
              <w:keepNext/>
              <w:outlineLvl w:val="8"/>
              <w:rPr>
                <w:b/>
                <w:bCs/>
                <w:color w:val="000000" w:themeColor="text1"/>
              </w:rPr>
            </w:pPr>
            <w:r w:rsidRPr="00461EE2">
              <w:rPr>
                <w:b/>
                <w:bCs/>
                <w:color w:val="000000" w:themeColor="text1"/>
              </w:rPr>
              <w:t>Aktualu</w:t>
            </w:r>
          </w:p>
          <w:p w14:paraId="0B8A1D77" w14:textId="77777777" w:rsidR="00625168" w:rsidRPr="00461EE2" w:rsidRDefault="00625168" w:rsidP="00625168">
            <w:pPr>
              <w:keepNext/>
              <w:jc w:val="both"/>
              <w:outlineLvl w:val="8"/>
              <w:rPr>
                <w:bCs/>
                <w:color w:val="000000" w:themeColor="text1"/>
              </w:rPr>
            </w:pPr>
            <w:r w:rsidRPr="00461EE2">
              <w:rPr>
                <w:bCs/>
                <w:color w:val="000000" w:themeColor="text1"/>
              </w:rPr>
              <w:t xml:space="preserve">Lietuvai pandemijos metu kokybiško nuotolinio mokymo proceso užtikrinimo klausimai aktualizavosi įvairiais pjūviais, tačiau su didele iššūkių dalimi pavyko sėkmingai susidoroti. Svarbu užtikrinti, kad  skaitmeninių įgūdžių ugdymas per švietimo sistemą ir kitas platformas apimtų visas amžiaus grupes. Pagal galimybes sieksime gerinti mokytojų parengimą, skatinsime jų tobulėjimą skaitmeninio raštingumo srityje.  </w:t>
            </w:r>
          </w:p>
          <w:p w14:paraId="4C990BB6" w14:textId="77777777" w:rsidR="00461EE2" w:rsidRDefault="00461EE2" w:rsidP="00625168">
            <w:pPr>
              <w:keepNext/>
              <w:jc w:val="both"/>
              <w:outlineLvl w:val="8"/>
              <w:rPr>
                <w:bCs/>
                <w:color w:val="000000" w:themeColor="text1"/>
              </w:rPr>
            </w:pPr>
          </w:p>
          <w:p w14:paraId="266328C6" w14:textId="77777777" w:rsidR="00625168" w:rsidRPr="00461EE2" w:rsidRDefault="00461EE2" w:rsidP="00625168">
            <w:pPr>
              <w:keepNext/>
              <w:jc w:val="both"/>
              <w:outlineLvl w:val="8"/>
              <w:rPr>
                <w:bCs/>
                <w:color w:val="000000" w:themeColor="text1"/>
              </w:rPr>
            </w:pPr>
            <w:r>
              <w:rPr>
                <w:bCs/>
                <w:color w:val="000000" w:themeColor="text1"/>
              </w:rPr>
              <w:t xml:space="preserve">Ir toliau bus </w:t>
            </w:r>
            <w:r w:rsidR="00625168" w:rsidRPr="00461EE2">
              <w:rPr>
                <w:bCs/>
                <w:color w:val="000000" w:themeColor="text1"/>
              </w:rPr>
              <w:t xml:space="preserve">svarbu užtikrinti reikiamą materialinę bazę tam, kad švietimo procesas būtų vienodai prieinamas ir mažiausių pajamų šeimoms, auginančioms mokyklinio amžiaus vaikus, taip pat daugiavaikėms šeimoms. Taip pat svarbus nuotolinio </w:t>
            </w:r>
            <w:r w:rsidR="00625168" w:rsidRPr="00461EE2">
              <w:rPr>
                <w:bCs/>
                <w:color w:val="000000" w:themeColor="text1"/>
              </w:rPr>
              <w:lastRenderedPageBreak/>
              <w:t xml:space="preserve">mokymo plano bei materialinės bazės suderinamumo su sveikatos reikalavimais klausimas. </w:t>
            </w:r>
          </w:p>
          <w:p w14:paraId="451FFDBC" w14:textId="77777777" w:rsidR="00625168" w:rsidRPr="00461EE2" w:rsidRDefault="00625168" w:rsidP="00625168">
            <w:pPr>
              <w:keepNext/>
              <w:jc w:val="both"/>
              <w:outlineLvl w:val="8"/>
              <w:rPr>
                <w:bCs/>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7755EBE9" w14:textId="77777777" w:rsidR="00625168" w:rsidRPr="00461EE2" w:rsidRDefault="00625168" w:rsidP="00625168">
            <w:pPr>
              <w:keepNext/>
              <w:ind w:left="34" w:hanging="34"/>
              <w:outlineLvl w:val="8"/>
              <w:rPr>
                <w:bCs/>
                <w:color w:val="000000" w:themeColor="text1"/>
              </w:rPr>
            </w:pPr>
            <w:r w:rsidRPr="00461EE2">
              <w:rPr>
                <w:bCs/>
                <w:color w:val="000000" w:themeColor="text1"/>
              </w:rPr>
              <w:lastRenderedPageBreak/>
              <w:t>Švietimo ir mokslo ministerija</w:t>
            </w:r>
          </w:p>
          <w:p w14:paraId="364848F3" w14:textId="77777777" w:rsidR="00625168" w:rsidRPr="00461EE2" w:rsidRDefault="00625168" w:rsidP="00625168">
            <w:pPr>
              <w:keepNext/>
              <w:ind w:left="34" w:hanging="34"/>
              <w:outlineLvl w:val="8"/>
              <w:rPr>
                <w:bCs/>
                <w:color w:val="000000" w:themeColor="text1"/>
              </w:rPr>
            </w:pPr>
          </w:p>
          <w:p w14:paraId="0E235D22" w14:textId="77777777" w:rsidR="00625168" w:rsidRPr="00461EE2" w:rsidRDefault="00625168" w:rsidP="00625168">
            <w:pPr>
              <w:keepNext/>
              <w:ind w:left="34" w:hanging="34"/>
              <w:outlineLvl w:val="8"/>
              <w:rPr>
                <w:b/>
                <w:bCs/>
                <w:color w:val="000000" w:themeColor="text1"/>
              </w:rPr>
            </w:pPr>
          </w:p>
        </w:tc>
      </w:tr>
      <w:tr w:rsidR="00F44B06" w:rsidRPr="00461EE2" w14:paraId="1E25E13E"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2FD5DC4C" w14:textId="77777777" w:rsidR="00F44B06" w:rsidRPr="00461EE2" w:rsidRDefault="00F44B06" w:rsidP="00F44B06">
            <w:r w:rsidRPr="00461EE2">
              <w:t>11</w:t>
            </w:r>
          </w:p>
        </w:tc>
        <w:tc>
          <w:tcPr>
            <w:tcW w:w="1950" w:type="dxa"/>
            <w:gridSpan w:val="2"/>
            <w:tcBorders>
              <w:top w:val="single" w:sz="4" w:space="0" w:color="auto"/>
              <w:left w:val="single" w:sz="4" w:space="0" w:color="auto"/>
              <w:bottom w:val="single" w:sz="4" w:space="0" w:color="auto"/>
              <w:right w:val="single" w:sz="4" w:space="0" w:color="auto"/>
            </w:tcBorders>
          </w:tcPr>
          <w:p w14:paraId="3A711FB5" w14:textId="77777777" w:rsidR="00F44B06" w:rsidRPr="00461EE2" w:rsidRDefault="00F44B06" w:rsidP="00F44B06">
            <w:pPr>
              <w:jc w:val="both"/>
              <w:rPr>
                <w:b/>
              </w:rPr>
            </w:pPr>
            <w:r w:rsidRPr="00461EE2">
              <w:rPr>
                <w:b/>
              </w:rPr>
              <w:t>Vidaus rinka</w:t>
            </w:r>
          </w:p>
        </w:tc>
        <w:tc>
          <w:tcPr>
            <w:tcW w:w="4394" w:type="dxa"/>
            <w:tcBorders>
              <w:top w:val="single" w:sz="4" w:space="0" w:color="auto"/>
              <w:left w:val="single" w:sz="4" w:space="0" w:color="auto"/>
              <w:bottom w:val="single" w:sz="4" w:space="0" w:color="auto"/>
              <w:right w:val="single" w:sz="4" w:space="0" w:color="auto"/>
            </w:tcBorders>
          </w:tcPr>
          <w:p w14:paraId="20DA4344" w14:textId="77777777" w:rsidR="00F44B06" w:rsidRPr="00461EE2" w:rsidRDefault="00F44B06" w:rsidP="00F44B06">
            <w:pPr>
              <w:pStyle w:val="Default"/>
              <w:jc w:val="both"/>
              <w:rPr>
                <w:sz w:val="20"/>
                <w:szCs w:val="20"/>
                <w:lang w:val="lt-LT"/>
              </w:rPr>
            </w:pPr>
            <w:r w:rsidRPr="00461EE2">
              <w:rPr>
                <w:b/>
                <w:bCs/>
                <w:sz w:val="20"/>
                <w:szCs w:val="20"/>
                <w:lang w:val="lt-LT"/>
              </w:rPr>
              <w:t xml:space="preserve">Bendrosios rinkos veikimo užtikrinimo ekstremaliose situacijose priemonė </w:t>
            </w:r>
            <w:r w:rsidRPr="00461EE2">
              <w:rPr>
                <w:sz w:val="20"/>
                <w:szCs w:val="20"/>
                <w:lang w:val="lt-LT"/>
              </w:rPr>
              <w:t xml:space="preserve">(teisėkūros procedūra priimamas aktas, įskaitant poveikio vertinimą, 2022 m. I ketv.) </w:t>
            </w:r>
          </w:p>
          <w:p w14:paraId="70533961" w14:textId="77777777" w:rsidR="00F44B06" w:rsidRPr="00461EE2" w:rsidRDefault="00F44B06" w:rsidP="00F44B06">
            <w:pPr>
              <w:autoSpaceDE w:val="0"/>
              <w:autoSpaceDN w:val="0"/>
              <w:adjustRightInd w:val="0"/>
              <w:jc w:val="both"/>
              <w:rPr>
                <w:color w:val="000000"/>
              </w:rPr>
            </w:pPr>
          </w:p>
          <w:p w14:paraId="43CD287D" w14:textId="77777777" w:rsidR="00F44B06" w:rsidRPr="00461EE2" w:rsidRDefault="00F44B06" w:rsidP="00F44B06">
            <w:pPr>
              <w:autoSpaceDE w:val="0"/>
              <w:autoSpaceDN w:val="0"/>
              <w:adjustRightInd w:val="0"/>
              <w:jc w:val="both"/>
              <w:rPr>
                <w:color w:val="000000"/>
              </w:rPr>
            </w:pPr>
            <w:r w:rsidRPr="00461EE2">
              <w:rPr>
                <w:color w:val="000000"/>
              </w:rPr>
              <w:t>Komisija planuoja pasiūlyti bendrosios rinkos veikimo užtikrinimo ekstremaliomis sąlygomis priemonę, kuri būtų struktūrinis sprendimas siekiant užtikrinti asmenų, prekių ir paslaugų prieinamumą ir laisvą judėjimą galimų būsimų krizių atveju bei turėtų padėti užtikrinti aktyvesnį dalijimąsi informacija, koordinavimą ir solidarumą valstybėms narėms priimant su krize susijusias priemones</w:t>
            </w:r>
          </w:p>
        </w:tc>
        <w:tc>
          <w:tcPr>
            <w:tcW w:w="6096" w:type="dxa"/>
            <w:tcBorders>
              <w:top w:val="single" w:sz="4" w:space="0" w:color="auto"/>
              <w:left w:val="single" w:sz="4" w:space="0" w:color="auto"/>
              <w:bottom w:val="single" w:sz="4" w:space="0" w:color="auto"/>
              <w:right w:val="single" w:sz="4" w:space="0" w:color="auto"/>
            </w:tcBorders>
          </w:tcPr>
          <w:p w14:paraId="30970CC4" w14:textId="77777777" w:rsidR="00F44B06" w:rsidRPr="00461EE2" w:rsidRDefault="00923D3E" w:rsidP="00F44B06">
            <w:pPr>
              <w:jc w:val="both"/>
              <w:rPr>
                <w:rFonts w:eastAsia="Calibri"/>
                <w:b/>
              </w:rPr>
            </w:pPr>
            <w:r>
              <w:rPr>
                <w:rFonts w:eastAsia="Calibri"/>
                <w:b/>
              </w:rPr>
              <w:t>Labai a</w:t>
            </w:r>
            <w:r w:rsidR="00F44B06" w:rsidRPr="002639AE">
              <w:rPr>
                <w:rFonts w:eastAsia="Calibri"/>
                <w:b/>
              </w:rPr>
              <w:t>ktualu</w:t>
            </w:r>
          </w:p>
          <w:p w14:paraId="2DD18E60" w14:textId="77777777" w:rsidR="00F44B06" w:rsidRPr="00461EE2" w:rsidRDefault="00EF4ED1" w:rsidP="00F44B06">
            <w:pPr>
              <w:jc w:val="both"/>
              <w:rPr>
                <w:rFonts w:eastAsia="Calibri"/>
              </w:rPr>
            </w:pPr>
            <w:r>
              <w:t xml:space="preserve">Bendrosios rinkos veikimo užtikrinimo ekstremaliose situacijose priemone bus siekiama užtikrinti pasiruošimą būsimoms krizėms ir sukurti efektyvų koordinavimo mechanizmą. Per COVID-19 pandemiją buvo sutrikdytas vidaus rinkos funkcionavimas, todėl siūloma nauja priemonė galėtų reikšmingai padėti būsimų krizių valdyme, paskatinti proporcingų priemonių ir gerųjų praktikų taikymą, kad būtų išvengta tiekimo grandinių sutrikimų ir perteklinių judėjimo ribojimų. </w:t>
            </w:r>
            <w:r w:rsidR="00F44B06" w:rsidRPr="00461EE2">
              <w:rPr>
                <w:rFonts w:eastAsia="Calibri"/>
              </w:rPr>
              <w:t xml:space="preserve">Palaikome bendrosios rinkos veikimo užtikrinimo ekstremaliomis sąlygomis priemonę. Manome, kad ši priemonė padės užtikrinti galimų būsimų krizių valdymą siekiant palaikyti asmenų, prekių ir paslaugų prieinamumą ir laisvą judėjimą. </w:t>
            </w:r>
          </w:p>
        </w:tc>
        <w:tc>
          <w:tcPr>
            <w:tcW w:w="1560" w:type="dxa"/>
            <w:tcBorders>
              <w:top w:val="single" w:sz="4" w:space="0" w:color="auto"/>
              <w:left w:val="single" w:sz="4" w:space="0" w:color="auto"/>
              <w:bottom w:val="single" w:sz="4" w:space="0" w:color="auto"/>
              <w:right w:val="single" w:sz="4" w:space="0" w:color="auto"/>
            </w:tcBorders>
          </w:tcPr>
          <w:p w14:paraId="5B4FC42D" w14:textId="77777777" w:rsidR="00F44B06" w:rsidRPr="00461EE2" w:rsidRDefault="00F44B06" w:rsidP="00F44B06">
            <w:pPr>
              <w:jc w:val="both"/>
            </w:pPr>
            <w:r w:rsidRPr="00461EE2">
              <w:t>Ekonomikos ir inovacijų ministerija</w:t>
            </w:r>
          </w:p>
        </w:tc>
      </w:tr>
      <w:tr w:rsidR="00060CF5" w:rsidRPr="00461EE2" w14:paraId="622C172D"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2E3EDAC5" w14:textId="77777777" w:rsidR="00060CF5" w:rsidRPr="00461EE2" w:rsidRDefault="00060CF5" w:rsidP="00060CF5">
            <w:r w:rsidRPr="00461EE2">
              <w:t>12</w:t>
            </w:r>
          </w:p>
        </w:tc>
        <w:tc>
          <w:tcPr>
            <w:tcW w:w="1950" w:type="dxa"/>
            <w:gridSpan w:val="2"/>
            <w:tcBorders>
              <w:top w:val="single" w:sz="4" w:space="0" w:color="auto"/>
              <w:left w:val="single" w:sz="4" w:space="0" w:color="auto"/>
              <w:bottom w:val="single" w:sz="4" w:space="0" w:color="auto"/>
              <w:right w:val="single" w:sz="4" w:space="0" w:color="auto"/>
            </w:tcBorders>
          </w:tcPr>
          <w:p w14:paraId="3C5B89D7" w14:textId="77777777" w:rsidR="00060CF5" w:rsidRPr="00461EE2" w:rsidRDefault="00060CF5" w:rsidP="00060CF5">
            <w:pPr>
              <w:jc w:val="both"/>
              <w:rPr>
                <w:b/>
              </w:rPr>
            </w:pPr>
            <w:r w:rsidRPr="00461EE2">
              <w:rPr>
                <w:b/>
              </w:rPr>
              <w:t>Daugiarūšis skaitmeninis judrumas</w:t>
            </w:r>
          </w:p>
        </w:tc>
        <w:tc>
          <w:tcPr>
            <w:tcW w:w="4394" w:type="dxa"/>
            <w:tcBorders>
              <w:top w:val="single" w:sz="4" w:space="0" w:color="auto"/>
              <w:left w:val="single" w:sz="4" w:space="0" w:color="auto"/>
              <w:bottom w:val="single" w:sz="4" w:space="0" w:color="auto"/>
              <w:right w:val="single" w:sz="4" w:space="0" w:color="auto"/>
            </w:tcBorders>
          </w:tcPr>
          <w:p w14:paraId="1EC3C184" w14:textId="77777777" w:rsidR="009F71DB" w:rsidRPr="00461EE2" w:rsidRDefault="009F71DB" w:rsidP="009F71DB">
            <w:pPr>
              <w:pStyle w:val="Default"/>
              <w:jc w:val="both"/>
              <w:rPr>
                <w:sz w:val="20"/>
                <w:szCs w:val="20"/>
                <w:lang w:val="lt-LT"/>
              </w:rPr>
            </w:pPr>
            <w:r w:rsidRPr="00461EE2">
              <w:rPr>
                <w:b/>
                <w:bCs/>
                <w:sz w:val="20"/>
                <w:szCs w:val="20"/>
                <w:lang w:val="lt-LT"/>
              </w:rPr>
              <w:t xml:space="preserve">Skaitmeninio daugiarūšio judumo paslaugos </w:t>
            </w:r>
            <w:r w:rsidRPr="00461EE2">
              <w:rPr>
                <w:sz w:val="20"/>
                <w:szCs w:val="20"/>
                <w:lang w:val="lt-LT"/>
              </w:rPr>
              <w:t xml:space="preserve">(teisėkūros procedūra priimamas aktas, įskaitant poveikio vertinimą, SESV 91 straipsnis, 2022 m. IV ketv.) </w:t>
            </w:r>
          </w:p>
          <w:p w14:paraId="56E3B892" w14:textId="77777777" w:rsidR="009F71DB" w:rsidRPr="00461EE2" w:rsidRDefault="009F71DB" w:rsidP="00060CF5">
            <w:pPr>
              <w:autoSpaceDE w:val="0"/>
              <w:autoSpaceDN w:val="0"/>
              <w:adjustRightInd w:val="0"/>
              <w:jc w:val="both"/>
              <w:rPr>
                <w:color w:val="000000"/>
              </w:rPr>
            </w:pPr>
          </w:p>
          <w:p w14:paraId="792CAE26" w14:textId="77777777" w:rsidR="00060CF5" w:rsidRPr="00461EE2" w:rsidRDefault="00060CF5" w:rsidP="00060CF5">
            <w:pPr>
              <w:autoSpaceDE w:val="0"/>
              <w:autoSpaceDN w:val="0"/>
              <w:adjustRightInd w:val="0"/>
              <w:jc w:val="both"/>
              <w:rPr>
                <w:color w:val="000000"/>
              </w:rPr>
            </w:pPr>
            <w:r w:rsidRPr="00461EE2">
              <w:rPr>
                <w:color w:val="000000"/>
              </w:rPr>
              <w:t>EK pateiks teisėkūr</w:t>
            </w:r>
            <w:r w:rsidR="0065337A" w:rsidRPr="00461EE2">
              <w:rPr>
                <w:color w:val="000000"/>
              </w:rPr>
              <w:t>os</w:t>
            </w:r>
            <w:r w:rsidRPr="00461EE2">
              <w:rPr>
                <w:color w:val="000000"/>
              </w:rPr>
              <w:t xml:space="preserve"> pasiūlymą dėl daugiarūšio skaitmeninio judumo paslaugų. </w:t>
            </w:r>
          </w:p>
          <w:p w14:paraId="4221E456" w14:textId="77777777" w:rsidR="00060CF5" w:rsidRPr="00461EE2" w:rsidRDefault="00060CF5" w:rsidP="00060CF5">
            <w:pPr>
              <w:autoSpaceDE w:val="0"/>
              <w:autoSpaceDN w:val="0"/>
              <w:adjustRightInd w:val="0"/>
              <w:jc w:val="both"/>
              <w:rPr>
                <w:color w:val="000000"/>
              </w:rPr>
            </w:pPr>
          </w:p>
        </w:tc>
        <w:tc>
          <w:tcPr>
            <w:tcW w:w="6096" w:type="dxa"/>
            <w:tcBorders>
              <w:top w:val="single" w:sz="4" w:space="0" w:color="auto"/>
              <w:left w:val="single" w:sz="4" w:space="0" w:color="auto"/>
              <w:bottom w:val="single" w:sz="4" w:space="0" w:color="auto"/>
              <w:right w:val="single" w:sz="4" w:space="0" w:color="auto"/>
            </w:tcBorders>
          </w:tcPr>
          <w:p w14:paraId="29418CE3" w14:textId="77777777" w:rsidR="00060CF5" w:rsidRPr="00461EE2" w:rsidRDefault="00060CF5" w:rsidP="00060CF5">
            <w:pPr>
              <w:jc w:val="both"/>
              <w:rPr>
                <w:b/>
              </w:rPr>
            </w:pPr>
            <w:r w:rsidRPr="00461EE2">
              <w:rPr>
                <w:b/>
              </w:rPr>
              <w:t>Aktualu</w:t>
            </w:r>
          </w:p>
          <w:p w14:paraId="52C6AB8B" w14:textId="77777777" w:rsidR="00060CF5" w:rsidRPr="00461EE2" w:rsidRDefault="00060CF5" w:rsidP="00060CF5">
            <w:pPr>
              <w:jc w:val="both"/>
              <w:rPr>
                <w:rFonts w:eastAsia="Calibri"/>
              </w:rPr>
            </w:pPr>
            <w:r w:rsidRPr="00461EE2">
              <w:rPr>
                <w:rFonts w:eastAsia="Calibri"/>
              </w:rPr>
              <w:t xml:space="preserve">Pritariame, kad skaitmenizacija itin svarbi judumo srityje, be kita ko, siekiant supaprastinti daugiarūšio judumo paslaugas, pritaikant skaitmeninius sprendimus. </w:t>
            </w:r>
          </w:p>
          <w:p w14:paraId="2AAFCD7D" w14:textId="77777777" w:rsidR="00060CF5" w:rsidRPr="00461EE2" w:rsidRDefault="00060CF5" w:rsidP="00060CF5">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356AEDA8" w14:textId="77777777" w:rsidR="00060CF5" w:rsidRPr="00461EE2" w:rsidRDefault="00060CF5" w:rsidP="00060CF5">
            <w:pPr>
              <w:jc w:val="both"/>
            </w:pPr>
            <w:r w:rsidRPr="00461EE2">
              <w:t>Susisiekimo ministerija</w:t>
            </w:r>
          </w:p>
        </w:tc>
      </w:tr>
      <w:tr w:rsidR="00CD785B" w:rsidRPr="00461EE2" w14:paraId="287A3AA6" w14:textId="77777777" w:rsidTr="00CD785B">
        <w:trPr>
          <w:trHeight w:val="367"/>
        </w:trPr>
        <w:tc>
          <w:tcPr>
            <w:tcW w:w="14631" w:type="dxa"/>
            <w:gridSpan w:val="6"/>
            <w:tcBorders>
              <w:top w:val="single" w:sz="4" w:space="0" w:color="auto"/>
              <w:left w:val="single" w:sz="4" w:space="0" w:color="auto"/>
              <w:bottom w:val="single" w:sz="4" w:space="0" w:color="auto"/>
              <w:right w:val="single" w:sz="4" w:space="0" w:color="auto"/>
            </w:tcBorders>
          </w:tcPr>
          <w:p w14:paraId="50820EAF" w14:textId="77777777" w:rsidR="00CD785B" w:rsidRPr="00461EE2" w:rsidRDefault="00EE258E" w:rsidP="00F5258E">
            <w:pPr>
              <w:rPr>
                <w:b/>
              </w:rPr>
            </w:pPr>
            <w:r w:rsidRPr="00461EE2">
              <w:rPr>
                <w:b/>
              </w:rPr>
              <w:t>Ekonomika, tarnaujanti žmonėms</w:t>
            </w:r>
          </w:p>
        </w:tc>
      </w:tr>
      <w:tr w:rsidR="00060CF5" w:rsidRPr="00461EE2" w14:paraId="5A0CD2A4"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7428BB6F" w14:textId="77777777" w:rsidR="00060CF5" w:rsidRPr="00461EE2" w:rsidRDefault="00060CF5" w:rsidP="00060CF5">
            <w:r w:rsidRPr="00461EE2">
              <w:t>13</w:t>
            </w:r>
          </w:p>
        </w:tc>
        <w:tc>
          <w:tcPr>
            <w:tcW w:w="1950" w:type="dxa"/>
            <w:gridSpan w:val="2"/>
            <w:tcBorders>
              <w:top w:val="single" w:sz="4" w:space="0" w:color="auto"/>
              <w:left w:val="single" w:sz="4" w:space="0" w:color="auto"/>
              <w:bottom w:val="single" w:sz="4" w:space="0" w:color="auto"/>
              <w:right w:val="single" w:sz="4" w:space="0" w:color="auto"/>
            </w:tcBorders>
          </w:tcPr>
          <w:p w14:paraId="59AB75F4" w14:textId="77777777" w:rsidR="00060CF5" w:rsidRPr="00461EE2" w:rsidRDefault="00060CF5" w:rsidP="00060CF5">
            <w:pPr>
              <w:jc w:val="both"/>
              <w:rPr>
                <w:b/>
              </w:rPr>
            </w:pPr>
            <w:r w:rsidRPr="00461EE2">
              <w:rPr>
                <w:b/>
              </w:rPr>
              <w:t>Darbuotojų apsauga</w:t>
            </w:r>
          </w:p>
        </w:tc>
        <w:tc>
          <w:tcPr>
            <w:tcW w:w="4394" w:type="dxa"/>
            <w:tcBorders>
              <w:top w:val="single" w:sz="4" w:space="0" w:color="auto"/>
              <w:left w:val="single" w:sz="4" w:space="0" w:color="auto"/>
              <w:bottom w:val="single" w:sz="4" w:space="0" w:color="auto"/>
              <w:right w:val="single" w:sz="4" w:space="0" w:color="auto"/>
            </w:tcBorders>
          </w:tcPr>
          <w:p w14:paraId="21D8E962" w14:textId="77777777" w:rsidR="00FC76A8" w:rsidRPr="00461EE2" w:rsidRDefault="00FC76A8" w:rsidP="00FC76A8">
            <w:pPr>
              <w:pStyle w:val="Default"/>
              <w:jc w:val="both"/>
              <w:rPr>
                <w:sz w:val="20"/>
                <w:szCs w:val="20"/>
                <w:lang w:val="lt-LT"/>
              </w:rPr>
            </w:pPr>
            <w:r w:rsidRPr="00461EE2">
              <w:rPr>
                <w:b/>
                <w:bCs/>
                <w:sz w:val="20"/>
                <w:szCs w:val="20"/>
                <w:lang w:val="lt-LT"/>
              </w:rPr>
              <w:t xml:space="preserve">Darbuotojų apsauga nuo rizikos, susijusios su asbesto poveikiu darbe </w:t>
            </w:r>
            <w:r w:rsidRPr="00461EE2">
              <w:rPr>
                <w:sz w:val="20"/>
                <w:szCs w:val="20"/>
                <w:lang w:val="lt-LT"/>
              </w:rPr>
              <w:t xml:space="preserve">(teisėkūros procedūra priimamas aktas, įskaitant poveikio vertinimą, SESV 153 straipsnio 2 dalis, 2022 m. III ketv.) </w:t>
            </w:r>
          </w:p>
          <w:p w14:paraId="197E22FB" w14:textId="77777777" w:rsidR="00FC76A8" w:rsidRPr="00461EE2" w:rsidRDefault="00FC76A8" w:rsidP="00060CF5">
            <w:pPr>
              <w:jc w:val="both"/>
            </w:pPr>
          </w:p>
          <w:p w14:paraId="1710AA83" w14:textId="77777777" w:rsidR="00060CF5" w:rsidRPr="00461EE2" w:rsidRDefault="00060CF5" w:rsidP="0065337A">
            <w:pPr>
              <w:jc w:val="both"/>
              <w:rPr>
                <w:lang w:eastAsia="lt-LT"/>
              </w:rPr>
            </w:pPr>
            <w:r w:rsidRPr="00461EE2">
              <w:t>EK pateiks teisėkūr</w:t>
            </w:r>
            <w:r w:rsidR="0065337A" w:rsidRPr="00461EE2">
              <w:t>os</w:t>
            </w:r>
            <w:r w:rsidRPr="00461EE2">
              <w:t xml:space="preserve"> pasiūlymą dėl darbuotojų apsaugos nuo rizikos</w:t>
            </w:r>
            <w:r w:rsidRPr="00461EE2">
              <w:rPr>
                <w:bCs/>
              </w:rPr>
              <w:t>,</w:t>
            </w:r>
            <w:r w:rsidRPr="00461EE2">
              <w:t xml:space="preserve"> susijusios su </w:t>
            </w:r>
            <w:r w:rsidRPr="00461EE2">
              <w:rPr>
                <w:bCs/>
              </w:rPr>
              <w:t>asbesto poveikiu darbe.</w:t>
            </w:r>
          </w:p>
        </w:tc>
        <w:tc>
          <w:tcPr>
            <w:tcW w:w="6096" w:type="dxa"/>
            <w:tcBorders>
              <w:top w:val="single" w:sz="4" w:space="0" w:color="auto"/>
              <w:left w:val="single" w:sz="4" w:space="0" w:color="auto"/>
              <w:bottom w:val="single" w:sz="4" w:space="0" w:color="auto"/>
              <w:right w:val="single" w:sz="4" w:space="0" w:color="auto"/>
            </w:tcBorders>
          </w:tcPr>
          <w:p w14:paraId="756A2752" w14:textId="77777777" w:rsidR="00060CF5" w:rsidRPr="00461EE2" w:rsidRDefault="00060CF5" w:rsidP="00060CF5">
            <w:pPr>
              <w:jc w:val="both"/>
              <w:rPr>
                <w:b/>
              </w:rPr>
            </w:pPr>
            <w:r w:rsidRPr="00461EE2">
              <w:rPr>
                <w:b/>
              </w:rPr>
              <w:t>Aktualu</w:t>
            </w:r>
          </w:p>
          <w:p w14:paraId="04737CCA" w14:textId="77777777" w:rsidR="00195808" w:rsidRDefault="00195808" w:rsidP="00195808">
            <w:pPr>
              <w:jc w:val="both"/>
            </w:pPr>
            <w:r>
              <w:t>Pritariame, kad svarbu gerinti darbuotojų apsaugą nuo rizikos,</w:t>
            </w:r>
          </w:p>
          <w:p w14:paraId="5D86F892" w14:textId="77777777" w:rsidR="00195808" w:rsidRDefault="00195808" w:rsidP="00195808">
            <w:pPr>
              <w:jc w:val="both"/>
            </w:pPr>
            <w:r>
              <w:t xml:space="preserve"> susijusios su asbesto poveikiu darbe.</w:t>
            </w:r>
          </w:p>
          <w:p w14:paraId="1DFAD2CE" w14:textId="77777777" w:rsidR="00060CF5" w:rsidRPr="00461EE2" w:rsidRDefault="00060CF5" w:rsidP="00060CF5">
            <w:pPr>
              <w:jc w:val="both"/>
            </w:pPr>
          </w:p>
        </w:tc>
        <w:tc>
          <w:tcPr>
            <w:tcW w:w="1560" w:type="dxa"/>
            <w:tcBorders>
              <w:top w:val="single" w:sz="4" w:space="0" w:color="auto"/>
              <w:left w:val="single" w:sz="4" w:space="0" w:color="auto"/>
              <w:bottom w:val="single" w:sz="4" w:space="0" w:color="auto"/>
              <w:right w:val="single" w:sz="4" w:space="0" w:color="auto"/>
            </w:tcBorders>
          </w:tcPr>
          <w:p w14:paraId="3A75F38A" w14:textId="77777777" w:rsidR="00060CF5" w:rsidRPr="00461EE2" w:rsidRDefault="00060CF5" w:rsidP="00060CF5">
            <w:pPr>
              <w:jc w:val="both"/>
            </w:pPr>
            <w:r w:rsidRPr="00461EE2">
              <w:t>Socialinės apsaugos ir darbo ministerija</w:t>
            </w:r>
          </w:p>
        </w:tc>
      </w:tr>
      <w:tr w:rsidR="00C628A8" w:rsidRPr="00461EE2" w14:paraId="2EC85F8E"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38F9D1CB" w14:textId="77777777" w:rsidR="00C628A8" w:rsidRPr="00461EE2" w:rsidRDefault="00C628A8" w:rsidP="00C628A8">
            <w:r w:rsidRPr="00461EE2">
              <w:lastRenderedPageBreak/>
              <w:t>14</w:t>
            </w:r>
          </w:p>
        </w:tc>
        <w:tc>
          <w:tcPr>
            <w:tcW w:w="1950" w:type="dxa"/>
            <w:gridSpan w:val="2"/>
            <w:tcBorders>
              <w:top w:val="single" w:sz="4" w:space="0" w:color="auto"/>
              <w:left w:val="single" w:sz="4" w:space="0" w:color="auto"/>
              <w:bottom w:val="single" w:sz="4" w:space="0" w:color="auto"/>
              <w:right w:val="single" w:sz="4" w:space="0" w:color="auto"/>
            </w:tcBorders>
          </w:tcPr>
          <w:p w14:paraId="62F22805" w14:textId="77777777" w:rsidR="00C628A8" w:rsidRPr="00461EE2" w:rsidRDefault="0050139A" w:rsidP="00C628A8">
            <w:pPr>
              <w:rPr>
                <w:b/>
              </w:rPr>
            </w:pPr>
            <w:r>
              <w:rPr>
                <w:b/>
              </w:rPr>
              <w:t>Mažosios</w:t>
            </w:r>
            <w:r w:rsidR="00C628A8" w:rsidRPr="00461EE2">
              <w:rPr>
                <w:b/>
              </w:rPr>
              <w:t xml:space="preserve"> ir vidutinės įmonės</w:t>
            </w:r>
          </w:p>
        </w:tc>
        <w:tc>
          <w:tcPr>
            <w:tcW w:w="4394" w:type="dxa"/>
            <w:tcBorders>
              <w:top w:val="single" w:sz="4" w:space="0" w:color="auto"/>
              <w:left w:val="single" w:sz="4" w:space="0" w:color="auto"/>
              <w:bottom w:val="single" w:sz="4" w:space="0" w:color="auto"/>
              <w:right w:val="single" w:sz="4" w:space="0" w:color="auto"/>
            </w:tcBorders>
          </w:tcPr>
          <w:p w14:paraId="7EF62865" w14:textId="77777777" w:rsidR="00C628A8" w:rsidRPr="00461EE2" w:rsidRDefault="00C628A8" w:rsidP="00C628A8">
            <w:pPr>
              <w:pStyle w:val="Default"/>
              <w:rPr>
                <w:sz w:val="20"/>
                <w:szCs w:val="20"/>
                <w:lang w:val="lt-LT"/>
              </w:rPr>
            </w:pPr>
            <w:r w:rsidRPr="00461EE2">
              <w:rPr>
                <w:b/>
                <w:bCs/>
                <w:sz w:val="20"/>
                <w:szCs w:val="20"/>
                <w:lang w:val="lt-LT"/>
              </w:rPr>
              <w:t xml:space="preserve">Palankesnių sąlygų gauti kapitalo sudarymas mažosioms ir vidutinėms įmonėms </w:t>
            </w:r>
            <w:r w:rsidRPr="00461EE2">
              <w:rPr>
                <w:sz w:val="20"/>
                <w:szCs w:val="20"/>
                <w:lang w:val="lt-LT"/>
              </w:rPr>
              <w:t xml:space="preserve">(teisėkūros procedūra priimamas aktas, įskaitant poveikio vertinimą, SESV 114 straipsnis, 2022 m. III ketv.) </w:t>
            </w:r>
          </w:p>
          <w:p w14:paraId="4478B010" w14:textId="77777777" w:rsidR="00DA5C0A" w:rsidRDefault="00DA5C0A" w:rsidP="00C628A8">
            <w:pPr>
              <w:pStyle w:val="NormalWeb"/>
              <w:spacing w:before="0" w:beforeAutospacing="0" w:after="0" w:afterAutospacing="0"/>
            </w:pPr>
          </w:p>
          <w:p w14:paraId="65073BF0" w14:textId="77777777" w:rsidR="00C628A8" w:rsidRPr="00461EE2" w:rsidRDefault="00C628A8" w:rsidP="00C628A8">
            <w:pPr>
              <w:pStyle w:val="NormalWeb"/>
              <w:spacing w:before="0" w:beforeAutospacing="0" w:after="0" w:afterAutospacing="0"/>
            </w:pPr>
            <w:r w:rsidRPr="00461EE2">
              <w:t>Komisija imsis veiksmų dėl nemokumo bylų: siekiant padidinti veiksmingumą, sudaryti geresnes sąlygas tarpvalstybinėms investicijoms ir sumažinti naštą, bus didinama konvergencija ir šalinami neatitikimai. Bus supaprastinti įtraukimo į biržos sąrašus reikalavimai, kad viešosios kapitalo rinkos taptų patrauklesnės ES bendrovėms, o mažosioms ir vidutinėms įmonėms būtų lengviau gauti kapitalo.</w:t>
            </w:r>
          </w:p>
        </w:tc>
        <w:tc>
          <w:tcPr>
            <w:tcW w:w="6096" w:type="dxa"/>
            <w:tcBorders>
              <w:top w:val="single" w:sz="4" w:space="0" w:color="auto"/>
              <w:left w:val="single" w:sz="4" w:space="0" w:color="auto"/>
              <w:bottom w:val="single" w:sz="4" w:space="0" w:color="auto"/>
              <w:right w:val="single" w:sz="4" w:space="0" w:color="auto"/>
            </w:tcBorders>
          </w:tcPr>
          <w:p w14:paraId="61935621" w14:textId="77777777" w:rsidR="00C628A8" w:rsidRPr="00461EE2" w:rsidRDefault="00C628A8" w:rsidP="00C628A8">
            <w:pPr>
              <w:jc w:val="both"/>
              <w:rPr>
                <w:b/>
              </w:rPr>
            </w:pPr>
            <w:r w:rsidRPr="00461EE2">
              <w:rPr>
                <w:b/>
              </w:rPr>
              <w:t>Aktualu</w:t>
            </w:r>
          </w:p>
          <w:p w14:paraId="6C5C1810" w14:textId="77777777" w:rsidR="00C628A8" w:rsidRPr="00461EE2" w:rsidRDefault="00C628A8" w:rsidP="00C628A8">
            <w:pPr>
              <w:jc w:val="both"/>
            </w:pPr>
            <w:r w:rsidRPr="00461EE2">
              <w:t xml:space="preserve">Europos mažosios ir vidutinės įmonės (MVĮ) yra ES ekonomikos pagrindas (jose įdarbinama apie 100 mln. žmonių, MVĮ sukuria daugiau nei pusę Europos BVP) ir atlieka  svarbų vaidmenį Europos pramonės struktūroje. MVĮ konkurencingumas ir augimas – vienas iš pagrindinių ES ekonomikos varomųjų variklių, todėl palankiai vertiname būsimus teisinius pasiūlymus dėl palankesnių sąlygų gauti kapitalo sudarymo mažosioms ir vidutinėms įmonėms. </w:t>
            </w:r>
          </w:p>
        </w:tc>
        <w:tc>
          <w:tcPr>
            <w:tcW w:w="1560" w:type="dxa"/>
            <w:tcBorders>
              <w:top w:val="single" w:sz="4" w:space="0" w:color="auto"/>
              <w:left w:val="single" w:sz="4" w:space="0" w:color="auto"/>
              <w:bottom w:val="single" w:sz="4" w:space="0" w:color="auto"/>
              <w:right w:val="single" w:sz="4" w:space="0" w:color="auto"/>
            </w:tcBorders>
          </w:tcPr>
          <w:p w14:paraId="2414031E" w14:textId="77777777" w:rsidR="00C628A8" w:rsidRPr="00461EE2" w:rsidRDefault="00C628A8" w:rsidP="00C628A8">
            <w:pPr>
              <w:jc w:val="both"/>
            </w:pPr>
            <w:r w:rsidRPr="00461EE2">
              <w:t>Ekonomikos ir inovacijų ministerija</w:t>
            </w:r>
          </w:p>
        </w:tc>
      </w:tr>
      <w:tr w:rsidR="001A4301" w:rsidRPr="00461EE2" w14:paraId="50E3D4D0"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58069344" w14:textId="77777777" w:rsidR="001A4301" w:rsidRPr="00461EE2" w:rsidRDefault="001A4301" w:rsidP="001A4301">
            <w:r w:rsidRPr="00461EE2">
              <w:t>15</w:t>
            </w:r>
          </w:p>
        </w:tc>
        <w:tc>
          <w:tcPr>
            <w:tcW w:w="1950" w:type="dxa"/>
            <w:gridSpan w:val="2"/>
            <w:tcBorders>
              <w:top w:val="single" w:sz="4" w:space="0" w:color="auto"/>
              <w:left w:val="single" w:sz="4" w:space="0" w:color="auto"/>
              <w:bottom w:val="single" w:sz="4" w:space="0" w:color="auto"/>
              <w:right w:val="single" w:sz="4" w:space="0" w:color="auto"/>
            </w:tcBorders>
          </w:tcPr>
          <w:p w14:paraId="0F4C78E3" w14:textId="77777777" w:rsidR="001A4301" w:rsidRPr="00461EE2" w:rsidRDefault="001A4301" w:rsidP="001A4301">
            <w:pPr>
              <w:rPr>
                <w:b/>
              </w:rPr>
            </w:pPr>
            <w:r w:rsidRPr="00461EE2">
              <w:rPr>
                <w:b/>
              </w:rPr>
              <w:t>Momentiniai mokėjimai</w:t>
            </w:r>
          </w:p>
        </w:tc>
        <w:tc>
          <w:tcPr>
            <w:tcW w:w="4394" w:type="dxa"/>
            <w:tcBorders>
              <w:top w:val="single" w:sz="4" w:space="0" w:color="auto"/>
              <w:left w:val="single" w:sz="4" w:space="0" w:color="auto"/>
              <w:bottom w:val="single" w:sz="4" w:space="0" w:color="auto"/>
              <w:right w:val="single" w:sz="4" w:space="0" w:color="auto"/>
            </w:tcBorders>
          </w:tcPr>
          <w:p w14:paraId="03C6667F" w14:textId="77777777" w:rsidR="00FC76A8" w:rsidRPr="00461EE2" w:rsidRDefault="00FC76A8" w:rsidP="00FC76A8">
            <w:pPr>
              <w:pStyle w:val="Default"/>
              <w:jc w:val="both"/>
              <w:rPr>
                <w:sz w:val="20"/>
                <w:szCs w:val="20"/>
                <w:lang w:val="lt-LT"/>
              </w:rPr>
            </w:pPr>
            <w:r w:rsidRPr="00461EE2">
              <w:rPr>
                <w:b/>
                <w:bCs/>
                <w:sz w:val="20"/>
                <w:szCs w:val="20"/>
                <w:lang w:val="lt-LT"/>
              </w:rPr>
              <w:t xml:space="preserve">Iniciatyva dėl momentinių mokėjimų ES </w:t>
            </w:r>
            <w:r w:rsidRPr="00461EE2">
              <w:rPr>
                <w:sz w:val="20"/>
                <w:szCs w:val="20"/>
                <w:lang w:val="lt-LT"/>
              </w:rPr>
              <w:t xml:space="preserve">(teisėkūros procedūra priimamas aktas arba ne teisėkūros procedūra priimamas aktas, 2022 m. II ketv.) </w:t>
            </w:r>
          </w:p>
          <w:p w14:paraId="6D56DB4B" w14:textId="77777777" w:rsidR="00FC76A8" w:rsidRPr="00461EE2" w:rsidRDefault="00FC76A8" w:rsidP="001A4301">
            <w:pPr>
              <w:autoSpaceDE w:val="0"/>
              <w:autoSpaceDN w:val="0"/>
              <w:adjustRightInd w:val="0"/>
              <w:jc w:val="both"/>
            </w:pPr>
          </w:p>
          <w:p w14:paraId="3827BF30" w14:textId="77777777" w:rsidR="001A4301" w:rsidRPr="00461EE2" w:rsidRDefault="001A4301" w:rsidP="001A4301">
            <w:pPr>
              <w:autoSpaceDE w:val="0"/>
              <w:autoSpaceDN w:val="0"/>
              <w:adjustRightInd w:val="0"/>
              <w:jc w:val="both"/>
            </w:pPr>
            <w:r w:rsidRPr="00461EE2">
              <w:t xml:space="preserve">Finansinis sektorius vaidina labai svarbų vaidmenį ekonomikos atsigavimo procese. Pandemijos laikotarpiu skaitmeninių pervedimų skaičius išaugo, todėl EK pateiks iniciatyvą dėl momentinių mokėjimų, siekdama paskatinti tokius mokėjimus ES. </w:t>
            </w:r>
          </w:p>
          <w:p w14:paraId="67DE607D" w14:textId="77777777" w:rsidR="001A4301" w:rsidRPr="00461EE2" w:rsidRDefault="001A4301" w:rsidP="001A4301">
            <w:pPr>
              <w:autoSpaceDE w:val="0"/>
              <w:autoSpaceDN w:val="0"/>
              <w:adjustRightInd w:val="0"/>
              <w:jc w:val="both"/>
              <w:rPr>
                <w:i/>
              </w:rPr>
            </w:pPr>
          </w:p>
        </w:tc>
        <w:tc>
          <w:tcPr>
            <w:tcW w:w="6096" w:type="dxa"/>
            <w:tcBorders>
              <w:top w:val="single" w:sz="4" w:space="0" w:color="auto"/>
              <w:left w:val="single" w:sz="4" w:space="0" w:color="auto"/>
              <w:bottom w:val="single" w:sz="4" w:space="0" w:color="auto"/>
              <w:right w:val="single" w:sz="4" w:space="0" w:color="auto"/>
            </w:tcBorders>
          </w:tcPr>
          <w:p w14:paraId="59288342" w14:textId="77777777" w:rsidR="00711095" w:rsidRPr="00461EE2" w:rsidRDefault="00711095" w:rsidP="00711095">
            <w:pPr>
              <w:jc w:val="both"/>
              <w:rPr>
                <w:rFonts w:eastAsia="Calibri"/>
                <w:b/>
                <w:color w:val="000000"/>
              </w:rPr>
            </w:pPr>
            <w:r w:rsidRPr="00461EE2">
              <w:rPr>
                <w:rFonts w:eastAsia="Calibri"/>
                <w:b/>
                <w:color w:val="000000"/>
              </w:rPr>
              <w:t>Aktualu</w:t>
            </w:r>
          </w:p>
          <w:p w14:paraId="024071BE" w14:textId="77777777" w:rsidR="00711095" w:rsidRPr="00461EE2" w:rsidRDefault="00711095" w:rsidP="00711095">
            <w:pPr>
              <w:jc w:val="both"/>
              <w:rPr>
                <w:rFonts w:eastAsia="Calibri"/>
                <w:color w:val="000000"/>
              </w:rPr>
            </w:pPr>
            <w:r w:rsidRPr="00461EE2">
              <w:rPr>
                <w:rFonts w:eastAsia="Calibri"/>
                <w:color w:val="000000"/>
              </w:rPr>
              <w:t xml:space="preserve">Lietuva palaiko siekį skatinti momentinius mokėjimus. </w:t>
            </w:r>
          </w:p>
          <w:p w14:paraId="7D5835AD" w14:textId="77777777" w:rsidR="00711095" w:rsidRPr="00461EE2" w:rsidRDefault="00711095" w:rsidP="00711095">
            <w:pPr>
              <w:jc w:val="both"/>
              <w:rPr>
                <w:rFonts w:eastAsia="Calibri"/>
                <w:color w:val="000000"/>
              </w:rPr>
            </w:pPr>
            <w:r w:rsidRPr="00461EE2">
              <w:rPr>
                <w:rFonts w:eastAsia="Calibri"/>
                <w:color w:val="000000"/>
              </w:rPr>
              <w:t xml:space="preserve">Kuo daugiau mokėjimo paslaugų teikėjų suteiks galimybę mokėjimo paslaugų vartotojams gauti ir atlikti momentinius mokėjimus, tuo didesnę naudą patirs ne tik mokėjimo paslaugų vartotojai, bet ir Europos Sąjunga – didinant ES konkurencingumą ir patrauklumą. </w:t>
            </w:r>
          </w:p>
          <w:p w14:paraId="3C101BC5" w14:textId="77777777" w:rsidR="00DA5C0A" w:rsidRDefault="00DA5C0A" w:rsidP="00711095">
            <w:pPr>
              <w:jc w:val="both"/>
              <w:rPr>
                <w:rFonts w:eastAsia="Calibri"/>
                <w:color w:val="000000"/>
              </w:rPr>
            </w:pPr>
          </w:p>
          <w:p w14:paraId="510630F4" w14:textId="77777777" w:rsidR="001A4301" w:rsidRPr="00461EE2" w:rsidRDefault="00711095" w:rsidP="00711095">
            <w:pPr>
              <w:jc w:val="both"/>
              <w:rPr>
                <w:rFonts w:eastAsia="Calibri"/>
                <w:color w:val="000000"/>
              </w:rPr>
            </w:pPr>
            <w:r w:rsidRPr="00461EE2">
              <w:rPr>
                <w:rFonts w:eastAsia="Calibri"/>
                <w:color w:val="000000"/>
              </w:rPr>
              <w:t>Lietuva kaip ir Europos Komisija siekia, kad momentiniai mokėjimai taptų įprastu mokėjimo būdu ir būtų pasiekiami daugumai gyventojų.</w:t>
            </w:r>
          </w:p>
        </w:tc>
        <w:tc>
          <w:tcPr>
            <w:tcW w:w="1560" w:type="dxa"/>
            <w:tcBorders>
              <w:top w:val="single" w:sz="4" w:space="0" w:color="auto"/>
              <w:left w:val="single" w:sz="4" w:space="0" w:color="auto"/>
              <w:bottom w:val="single" w:sz="4" w:space="0" w:color="auto"/>
              <w:right w:val="single" w:sz="4" w:space="0" w:color="auto"/>
            </w:tcBorders>
          </w:tcPr>
          <w:p w14:paraId="7590D90E" w14:textId="77777777" w:rsidR="001A4301" w:rsidRPr="00461EE2" w:rsidRDefault="001A4301" w:rsidP="001A4301">
            <w:pPr>
              <w:jc w:val="both"/>
            </w:pPr>
            <w:r w:rsidRPr="00461EE2">
              <w:t>Finansų ministerija</w:t>
            </w:r>
          </w:p>
        </w:tc>
      </w:tr>
      <w:tr w:rsidR="001A4301" w:rsidRPr="00461EE2" w14:paraId="0E2F1958"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4F680A9A" w14:textId="77777777" w:rsidR="001A4301" w:rsidRPr="00461EE2" w:rsidRDefault="001A4301" w:rsidP="001A4301">
            <w:r w:rsidRPr="00461EE2">
              <w:t>16</w:t>
            </w:r>
          </w:p>
        </w:tc>
        <w:tc>
          <w:tcPr>
            <w:tcW w:w="1950" w:type="dxa"/>
            <w:gridSpan w:val="2"/>
            <w:tcBorders>
              <w:top w:val="single" w:sz="4" w:space="0" w:color="auto"/>
              <w:left w:val="single" w:sz="4" w:space="0" w:color="auto"/>
              <w:bottom w:val="single" w:sz="4" w:space="0" w:color="auto"/>
              <w:right w:val="single" w:sz="4" w:space="0" w:color="auto"/>
            </w:tcBorders>
          </w:tcPr>
          <w:p w14:paraId="656B8405" w14:textId="77777777" w:rsidR="001A4301" w:rsidRPr="00461EE2" w:rsidRDefault="001A4301" w:rsidP="001A4301">
            <w:pPr>
              <w:autoSpaceDE w:val="0"/>
              <w:autoSpaceDN w:val="0"/>
              <w:adjustRightInd w:val="0"/>
              <w:rPr>
                <w:b/>
              </w:rPr>
            </w:pPr>
            <w:r w:rsidRPr="00461EE2">
              <w:rPr>
                <w:b/>
              </w:rPr>
              <w:t>Kapitalo rinkų sąjungos gilinimas</w:t>
            </w:r>
          </w:p>
        </w:tc>
        <w:tc>
          <w:tcPr>
            <w:tcW w:w="4394" w:type="dxa"/>
            <w:tcBorders>
              <w:top w:val="single" w:sz="4" w:space="0" w:color="auto"/>
              <w:left w:val="single" w:sz="4" w:space="0" w:color="auto"/>
              <w:bottom w:val="single" w:sz="4" w:space="0" w:color="auto"/>
              <w:right w:val="single" w:sz="4" w:space="0" w:color="auto"/>
            </w:tcBorders>
          </w:tcPr>
          <w:p w14:paraId="68B497FE" w14:textId="77777777" w:rsidR="00936685" w:rsidRPr="00461EE2" w:rsidRDefault="00936685" w:rsidP="00936685">
            <w:pPr>
              <w:pStyle w:val="Default"/>
              <w:jc w:val="both"/>
              <w:rPr>
                <w:sz w:val="20"/>
                <w:szCs w:val="20"/>
                <w:lang w:val="lt-LT"/>
              </w:rPr>
            </w:pPr>
            <w:r w:rsidRPr="00461EE2">
              <w:rPr>
                <w:b/>
                <w:bCs/>
                <w:sz w:val="20"/>
                <w:szCs w:val="20"/>
                <w:lang w:val="lt-LT"/>
              </w:rPr>
              <w:t xml:space="preserve">Iniciatyva dėl tam tikrų materialinės teisės aspektų, susijusių su nemokumo bylomis, suderinimo </w:t>
            </w:r>
            <w:r w:rsidRPr="00461EE2">
              <w:rPr>
                <w:sz w:val="20"/>
                <w:szCs w:val="20"/>
                <w:lang w:val="lt-LT"/>
              </w:rPr>
              <w:t xml:space="preserve">(teisėkūros procedūra priimamas aktas arba ne teisėkūros procedūra priimamas aktas, 2022 m. III ketv.) </w:t>
            </w:r>
          </w:p>
          <w:p w14:paraId="7337E5DA" w14:textId="77777777" w:rsidR="001A4301" w:rsidRPr="00461EE2" w:rsidRDefault="001A4301" w:rsidP="001A4301">
            <w:pPr>
              <w:jc w:val="both"/>
              <w:rPr>
                <w:i/>
              </w:rPr>
            </w:pPr>
          </w:p>
          <w:p w14:paraId="4279E2B1" w14:textId="77777777" w:rsidR="001A4301" w:rsidRPr="00461EE2" w:rsidRDefault="001A4301" w:rsidP="001A4301">
            <w:pPr>
              <w:jc w:val="both"/>
            </w:pPr>
            <w:r w:rsidRPr="00461EE2">
              <w:lastRenderedPageBreak/>
              <w:t xml:space="preserve">EK ketina imtis veiksmų, susijusių su nemokumo procedūromis, stiprinama konvergenciją ir šalindama neatitikimus, siekiant didesnio efektyvumo, palengvinti tarpvalstybines investicijas ir sumažinti naštą. Taip pat numatoma supaprastinti listingavimo reikalavimus tam, kad viešoji kapitalo rinka būtų patrauklesnė ES įmonėms ir būtų palengvinta prieiga prie kapitalo smulkioms ir vidutinėms įmonėms.  </w:t>
            </w:r>
          </w:p>
          <w:p w14:paraId="58FA7BF0" w14:textId="77777777" w:rsidR="001A4301" w:rsidRPr="00461EE2" w:rsidRDefault="001A4301" w:rsidP="001A4301">
            <w:pPr>
              <w:jc w:val="both"/>
              <w:rPr>
                <w:i/>
              </w:rPr>
            </w:pPr>
          </w:p>
        </w:tc>
        <w:tc>
          <w:tcPr>
            <w:tcW w:w="6096" w:type="dxa"/>
            <w:tcBorders>
              <w:top w:val="single" w:sz="4" w:space="0" w:color="auto"/>
              <w:left w:val="single" w:sz="4" w:space="0" w:color="auto"/>
              <w:bottom w:val="single" w:sz="4" w:space="0" w:color="auto"/>
              <w:right w:val="single" w:sz="4" w:space="0" w:color="auto"/>
            </w:tcBorders>
          </w:tcPr>
          <w:p w14:paraId="1C7185A6" w14:textId="77777777" w:rsidR="001A4301" w:rsidRPr="00461EE2" w:rsidRDefault="001A4301" w:rsidP="001A4301">
            <w:pPr>
              <w:jc w:val="both"/>
              <w:rPr>
                <w:b/>
              </w:rPr>
            </w:pPr>
            <w:r w:rsidRPr="00461EE2">
              <w:rPr>
                <w:b/>
              </w:rPr>
              <w:lastRenderedPageBreak/>
              <w:t>Aktualu</w:t>
            </w:r>
          </w:p>
          <w:p w14:paraId="4A20F484" w14:textId="77777777" w:rsidR="001A4301" w:rsidRPr="00461EE2" w:rsidRDefault="001A4301" w:rsidP="001A4301">
            <w:pPr>
              <w:jc w:val="both"/>
              <w:rPr>
                <w:rFonts w:eastAsia="Calibri"/>
                <w:color w:val="000000"/>
              </w:rPr>
            </w:pPr>
            <w:r w:rsidRPr="00461EE2">
              <w:rPr>
                <w:rFonts w:eastAsia="Calibri"/>
                <w:color w:val="000000"/>
              </w:rPr>
              <w:t xml:space="preserve">Lietuva pritaria Kapitalo rinkų sąjungos gilinimui. Kapitalo rinkų sąjunga padės sustiprinti Europos finansų sistemą, paskatins ekonomikos plėtrą bei didins ES konkurencingumą globaliu mastu. Palaikome priemones, kurios padės padidinti </w:t>
            </w:r>
            <w:r w:rsidR="005C5E2E">
              <w:rPr>
                <w:rFonts w:eastAsia="Calibri"/>
                <w:color w:val="000000"/>
              </w:rPr>
              <w:lastRenderedPageBreak/>
              <w:t>mažųjų</w:t>
            </w:r>
            <w:r w:rsidRPr="00461EE2">
              <w:rPr>
                <w:rFonts w:eastAsia="Calibri"/>
                <w:color w:val="000000"/>
              </w:rPr>
              <w:t xml:space="preserve"> ir vidutinių įmonių prieigą prie visos ES kapitalo rinkos. </w:t>
            </w:r>
          </w:p>
          <w:p w14:paraId="6D51432B" w14:textId="77777777" w:rsidR="00DA5C0A" w:rsidRDefault="00DA5C0A" w:rsidP="001A4301">
            <w:pPr>
              <w:jc w:val="both"/>
              <w:rPr>
                <w:rFonts w:eastAsia="Calibri"/>
                <w:color w:val="000000"/>
              </w:rPr>
            </w:pPr>
          </w:p>
          <w:p w14:paraId="618AB2F1" w14:textId="77777777" w:rsidR="001A4301" w:rsidRPr="00461EE2" w:rsidRDefault="001A4301" w:rsidP="001A4301">
            <w:pPr>
              <w:jc w:val="both"/>
            </w:pPr>
            <w:r w:rsidRPr="00461EE2">
              <w:rPr>
                <w:rFonts w:eastAsia="Calibri"/>
                <w:color w:val="000000"/>
              </w:rPr>
              <w:t>Lietuva taip pat palaiko iniciatyvas, kurios ieško būdų, kaip pasiekti didesnę nemokumo taisyklių konvergenciją, ir iniciatyvas, prisidedančias prie finansų rinkos priežiūros konvergencijos per teisinės sistemos harmonizavimą.</w:t>
            </w:r>
          </w:p>
        </w:tc>
        <w:tc>
          <w:tcPr>
            <w:tcW w:w="1560" w:type="dxa"/>
            <w:tcBorders>
              <w:top w:val="single" w:sz="4" w:space="0" w:color="auto"/>
              <w:left w:val="single" w:sz="4" w:space="0" w:color="auto"/>
              <w:bottom w:val="single" w:sz="4" w:space="0" w:color="auto"/>
              <w:right w:val="single" w:sz="4" w:space="0" w:color="auto"/>
            </w:tcBorders>
          </w:tcPr>
          <w:p w14:paraId="20FFBE2A" w14:textId="77777777" w:rsidR="001A4301" w:rsidRPr="00461EE2" w:rsidRDefault="001A4301" w:rsidP="001A4301">
            <w:pPr>
              <w:jc w:val="both"/>
            </w:pPr>
            <w:r w:rsidRPr="00461EE2">
              <w:lastRenderedPageBreak/>
              <w:t>Finansų ministerija</w:t>
            </w:r>
          </w:p>
        </w:tc>
      </w:tr>
      <w:tr w:rsidR="001A4301" w:rsidRPr="00461EE2" w14:paraId="0E0FD0C6" w14:textId="77777777" w:rsidTr="00461EE2">
        <w:trPr>
          <w:trHeight w:val="841"/>
        </w:trPr>
        <w:tc>
          <w:tcPr>
            <w:tcW w:w="631" w:type="dxa"/>
            <w:tcBorders>
              <w:top w:val="single" w:sz="4" w:space="0" w:color="auto"/>
              <w:left w:val="single" w:sz="4" w:space="0" w:color="auto"/>
              <w:bottom w:val="single" w:sz="4" w:space="0" w:color="auto"/>
              <w:right w:val="single" w:sz="4" w:space="0" w:color="auto"/>
            </w:tcBorders>
          </w:tcPr>
          <w:p w14:paraId="3FEBEE68" w14:textId="77777777" w:rsidR="001A4301" w:rsidRPr="00461EE2" w:rsidRDefault="001A4301" w:rsidP="001A4301">
            <w:r w:rsidRPr="00461EE2">
              <w:t>17</w:t>
            </w:r>
          </w:p>
        </w:tc>
        <w:tc>
          <w:tcPr>
            <w:tcW w:w="1950" w:type="dxa"/>
            <w:gridSpan w:val="2"/>
            <w:tcBorders>
              <w:top w:val="single" w:sz="4" w:space="0" w:color="auto"/>
              <w:left w:val="single" w:sz="4" w:space="0" w:color="auto"/>
              <w:bottom w:val="single" w:sz="4" w:space="0" w:color="auto"/>
              <w:right w:val="single" w:sz="4" w:space="0" w:color="auto"/>
            </w:tcBorders>
          </w:tcPr>
          <w:p w14:paraId="5925D06A" w14:textId="77777777" w:rsidR="001A4301" w:rsidRPr="00461EE2" w:rsidRDefault="00936685" w:rsidP="001A4301">
            <w:pPr>
              <w:jc w:val="both"/>
              <w:rPr>
                <w:b/>
              </w:rPr>
            </w:pPr>
            <w:r w:rsidRPr="00461EE2">
              <w:rPr>
                <w:b/>
              </w:rPr>
              <w:t>Sąžiningas</w:t>
            </w:r>
            <w:r w:rsidR="001A4301" w:rsidRPr="00461EE2">
              <w:rPr>
                <w:b/>
              </w:rPr>
              <w:t xml:space="preserve"> apmokestinimas</w:t>
            </w:r>
          </w:p>
        </w:tc>
        <w:tc>
          <w:tcPr>
            <w:tcW w:w="4394" w:type="dxa"/>
            <w:tcBorders>
              <w:top w:val="single" w:sz="4" w:space="0" w:color="auto"/>
              <w:left w:val="single" w:sz="4" w:space="0" w:color="auto"/>
              <w:bottom w:val="single" w:sz="4" w:space="0" w:color="auto"/>
              <w:right w:val="single" w:sz="4" w:space="0" w:color="auto"/>
            </w:tcBorders>
          </w:tcPr>
          <w:p w14:paraId="1AB95B09" w14:textId="77777777" w:rsidR="00936685" w:rsidRPr="00461EE2" w:rsidRDefault="00936685" w:rsidP="00936685">
            <w:pPr>
              <w:pStyle w:val="Default"/>
              <w:jc w:val="both"/>
              <w:rPr>
                <w:sz w:val="20"/>
                <w:szCs w:val="20"/>
                <w:lang w:val="lt-LT"/>
              </w:rPr>
            </w:pPr>
            <w:r w:rsidRPr="00461EE2">
              <w:rPr>
                <w:b/>
                <w:bCs/>
                <w:sz w:val="20"/>
                <w:szCs w:val="20"/>
                <w:lang w:val="lt-LT"/>
              </w:rPr>
              <w:t xml:space="preserve">Pasiūlymas dėl EBPO visuotinio susitarimo dėl apmokestinimo teisių perskirstymo įgyvendinimo </w:t>
            </w:r>
            <w:r w:rsidRPr="00461EE2">
              <w:rPr>
                <w:sz w:val="20"/>
                <w:szCs w:val="20"/>
                <w:lang w:val="lt-LT"/>
              </w:rPr>
              <w:t xml:space="preserve">(teisėkūros procedūra priimamas aktas, SESV 115 straipsnis) </w:t>
            </w:r>
          </w:p>
          <w:p w14:paraId="53E62AA8" w14:textId="77777777" w:rsidR="00936685" w:rsidRPr="00461EE2" w:rsidRDefault="00936685" w:rsidP="001A4301">
            <w:pPr>
              <w:jc w:val="both"/>
            </w:pPr>
          </w:p>
          <w:p w14:paraId="3FFF4653" w14:textId="77777777" w:rsidR="00936685" w:rsidRPr="00461EE2" w:rsidRDefault="00936685" w:rsidP="001A4301">
            <w:pPr>
              <w:jc w:val="both"/>
            </w:pPr>
          </w:p>
          <w:p w14:paraId="3F39A915" w14:textId="77777777" w:rsidR="001A4301" w:rsidRPr="00461EE2" w:rsidRDefault="001A4301" w:rsidP="00DA5C0A">
            <w:pPr>
              <w:jc w:val="both"/>
              <w:rPr>
                <w:bCs/>
              </w:rPr>
            </w:pPr>
            <w:r w:rsidRPr="00461EE2">
              <w:t xml:space="preserve">Po pasaulinio susitarimo dėl globalios mokesčių reformos, sukuriančios globalų minimalų efektyvaus apmokestinimo lygį ir mokesčių teisių perskirstymą,  EK sieks ES lyderystės globalių mokesčių teisingumo srityje, užtikrinant greitą ir nuoseklų šių nuostatų įgyvendinimą visoje ES. </w:t>
            </w:r>
          </w:p>
        </w:tc>
        <w:tc>
          <w:tcPr>
            <w:tcW w:w="6096" w:type="dxa"/>
            <w:tcBorders>
              <w:top w:val="single" w:sz="4" w:space="0" w:color="auto"/>
              <w:left w:val="single" w:sz="4" w:space="0" w:color="auto"/>
              <w:bottom w:val="single" w:sz="4" w:space="0" w:color="auto"/>
              <w:right w:val="single" w:sz="4" w:space="0" w:color="auto"/>
            </w:tcBorders>
          </w:tcPr>
          <w:p w14:paraId="221856AF" w14:textId="77777777" w:rsidR="00150D8C" w:rsidRPr="00461EE2" w:rsidRDefault="00150D8C" w:rsidP="001A4301">
            <w:pPr>
              <w:spacing w:line="252" w:lineRule="auto"/>
              <w:jc w:val="both"/>
              <w:rPr>
                <w:b/>
                <w:bCs/>
              </w:rPr>
            </w:pPr>
            <w:r w:rsidRPr="00461EE2">
              <w:rPr>
                <w:b/>
                <w:bCs/>
              </w:rPr>
              <w:t>Aktualu</w:t>
            </w:r>
          </w:p>
          <w:p w14:paraId="1AC23910" w14:textId="77777777" w:rsidR="001A4301" w:rsidRPr="00461EE2" w:rsidRDefault="001A4301" w:rsidP="001A4301">
            <w:pPr>
              <w:spacing w:line="252" w:lineRule="auto"/>
              <w:jc w:val="both"/>
              <w:rPr>
                <w:bCs/>
              </w:rPr>
            </w:pPr>
            <w:r w:rsidRPr="00461EE2">
              <w:rPr>
                <w:bCs/>
              </w:rPr>
              <w:t>Mokesčių srityje Lietuva nuosekliai rėmė tarptautines diskusijas, kuriomis siekta globalaus susitarimo dėl tarptautinių kompanijų apmokestinimo. Labai svarbu, kad po šio susitarimo ES neatsirastų fragmentacija dėl skirtingo susitarimo traktavimo.</w:t>
            </w:r>
          </w:p>
          <w:p w14:paraId="2813EB36" w14:textId="77777777" w:rsidR="001A4301" w:rsidRPr="00461EE2" w:rsidRDefault="001A4301" w:rsidP="001A4301">
            <w:pPr>
              <w:jc w:val="both"/>
            </w:pPr>
          </w:p>
        </w:tc>
        <w:tc>
          <w:tcPr>
            <w:tcW w:w="1560" w:type="dxa"/>
            <w:tcBorders>
              <w:top w:val="single" w:sz="4" w:space="0" w:color="auto"/>
              <w:left w:val="single" w:sz="4" w:space="0" w:color="auto"/>
              <w:bottom w:val="single" w:sz="4" w:space="0" w:color="auto"/>
              <w:right w:val="single" w:sz="4" w:space="0" w:color="auto"/>
            </w:tcBorders>
          </w:tcPr>
          <w:p w14:paraId="1F334CA3" w14:textId="77777777" w:rsidR="001A4301" w:rsidRPr="00461EE2" w:rsidRDefault="001A4301" w:rsidP="001A4301">
            <w:pPr>
              <w:jc w:val="both"/>
            </w:pPr>
            <w:r w:rsidRPr="00461EE2">
              <w:t>Finansų ministerija</w:t>
            </w:r>
          </w:p>
        </w:tc>
      </w:tr>
      <w:tr w:rsidR="00060CF5" w:rsidRPr="00461EE2" w14:paraId="2E593049"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0FC90151" w14:textId="77777777" w:rsidR="00060CF5" w:rsidRPr="00461EE2" w:rsidRDefault="00060CF5" w:rsidP="00060CF5">
            <w:r w:rsidRPr="00461EE2">
              <w:t>18</w:t>
            </w:r>
          </w:p>
        </w:tc>
        <w:tc>
          <w:tcPr>
            <w:tcW w:w="1950" w:type="dxa"/>
            <w:gridSpan w:val="2"/>
            <w:tcBorders>
              <w:top w:val="single" w:sz="4" w:space="0" w:color="auto"/>
              <w:left w:val="single" w:sz="4" w:space="0" w:color="auto"/>
              <w:bottom w:val="single" w:sz="4" w:space="0" w:color="auto"/>
              <w:right w:val="single" w:sz="4" w:space="0" w:color="auto"/>
            </w:tcBorders>
          </w:tcPr>
          <w:p w14:paraId="2D443B8C" w14:textId="77777777" w:rsidR="00060CF5" w:rsidRPr="00461EE2" w:rsidRDefault="00060CF5" w:rsidP="00060CF5">
            <w:pPr>
              <w:rPr>
                <w:b/>
              </w:rPr>
            </w:pPr>
            <w:r w:rsidRPr="00461EE2">
              <w:rPr>
                <w:b/>
              </w:rPr>
              <w:t>Minimalios pajamos</w:t>
            </w:r>
          </w:p>
        </w:tc>
        <w:tc>
          <w:tcPr>
            <w:tcW w:w="4394" w:type="dxa"/>
            <w:tcBorders>
              <w:top w:val="single" w:sz="4" w:space="0" w:color="auto"/>
              <w:left w:val="single" w:sz="4" w:space="0" w:color="auto"/>
              <w:bottom w:val="single" w:sz="4" w:space="0" w:color="auto"/>
              <w:right w:val="single" w:sz="4" w:space="0" w:color="auto"/>
            </w:tcBorders>
          </w:tcPr>
          <w:p w14:paraId="2DAD2966" w14:textId="77777777" w:rsidR="00936685" w:rsidRPr="00461EE2" w:rsidRDefault="00936685" w:rsidP="00936685">
            <w:pPr>
              <w:pStyle w:val="Default"/>
              <w:jc w:val="both"/>
              <w:rPr>
                <w:sz w:val="20"/>
                <w:szCs w:val="20"/>
                <w:lang w:val="lt-LT"/>
              </w:rPr>
            </w:pPr>
            <w:r w:rsidRPr="00461EE2">
              <w:rPr>
                <w:b/>
                <w:bCs/>
                <w:sz w:val="20"/>
                <w:szCs w:val="20"/>
                <w:lang w:val="lt-LT"/>
              </w:rPr>
              <w:t xml:space="preserve">Rekomendacija dėl minimalių pajamų </w:t>
            </w:r>
            <w:r w:rsidRPr="00461EE2">
              <w:rPr>
                <w:sz w:val="20"/>
                <w:szCs w:val="20"/>
                <w:lang w:val="lt-LT"/>
              </w:rPr>
              <w:t xml:space="preserve">(ne teisėkūros procedūra priimamas aktas, 2022 m. III ketv.) </w:t>
            </w:r>
          </w:p>
          <w:p w14:paraId="671A0917" w14:textId="77777777" w:rsidR="00936685" w:rsidRPr="00461EE2" w:rsidRDefault="00936685" w:rsidP="00060CF5">
            <w:pPr>
              <w:jc w:val="both"/>
            </w:pPr>
          </w:p>
          <w:p w14:paraId="6CDBABCB" w14:textId="77777777" w:rsidR="00060CF5" w:rsidRPr="00461EE2" w:rsidRDefault="00060CF5" w:rsidP="00060CF5">
            <w:pPr>
              <w:jc w:val="both"/>
            </w:pPr>
            <w:r w:rsidRPr="00461EE2">
              <w:t xml:space="preserve">EK pateiks </w:t>
            </w:r>
            <w:r w:rsidRPr="00461EE2">
              <w:rPr>
                <w:bCs/>
              </w:rPr>
              <w:t>rekomendaciją dėl minimalių pajamų</w:t>
            </w:r>
            <w:r w:rsidRPr="00461EE2">
              <w:t>.</w:t>
            </w:r>
          </w:p>
        </w:tc>
        <w:tc>
          <w:tcPr>
            <w:tcW w:w="6096" w:type="dxa"/>
            <w:tcBorders>
              <w:top w:val="single" w:sz="4" w:space="0" w:color="auto"/>
              <w:left w:val="single" w:sz="4" w:space="0" w:color="auto"/>
              <w:bottom w:val="single" w:sz="4" w:space="0" w:color="auto"/>
              <w:right w:val="single" w:sz="4" w:space="0" w:color="auto"/>
            </w:tcBorders>
          </w:tcPr>
          <w:p w14:paraId="425A6EED" w14:textId="77777777" w:rsidR="00060CF5" w:rsidRPr="00461EE2" w:rsidRDefault="00060CF5" w:rsidP="00060CF5">
            <w:pPr>
              <w:rPr>
                <w:b/>
              </w:rPr>
            </w:pPr>
            <w:r w:rsidRPr="00461EE2">
              <w:rPr>
                <w:b/>
              </w:rPr>
              <w:t>Aktualu</w:t>
            </w:r>
          </w:p>
          <w:p w14:paraId="225E4E65" w14:textId="77777777" w:rsidR="00060CF5" w:rsidRDefault="00060CF5" w:rsidP="00060CF5">
            <w:pPr>
              <w:spacing w:after="160" w:line="252" w:lineRule="auto"/>
              <w:jc w:val="both"/>
              <w:rPr>
                <w:rFonts w:eastAsia="Calibri"/>
              </w:rPr>
            </w:pPr>
            <w:r w:rsidRPr="00461EE2">
              <w:rPr>
                <w:rFonts w:eastAsia="Calibri"/>
              </w:rPr>
              <w:t>Pritariame dėl minimalių pajamų apsaugos stiprinimo kovojant su skurdu ir socialine atskirtimi. Svarbu stiprinti nacionalinių minimalių pajamų apsaugos sistemų prieinamumą ir adekvatumą.  Svarbu, kad minimalių pajamų apsaugos sistemos būtų apibrėžiamos ne tik kaip padedančios palaikyti pajamas, bet ir kaip socialinė investicija, padedanti išlaikyti žmogiškojo kapitalo kokybę ir orų gyvenimą.</w:t>
            </w:r>
          </w:p>
          <w:p w14:paraId="16F2396F" w14:textId="77777777" w:rsidR="005C5E2E" w:rsidRPr="005C5E2E" w:rsidRDefault="005C5E2E" w:rsidP="00060CF5">
            <w:pPr>
              <w:spacing w:after="160" w:line="252" w:lineRule="auto"/>
              <w:jc w:val="both"/>
              <w:rPr>
                <w:rFonts w:eastAsia="Calibri"/>
                <w:bCs/>
              </w:rPr>
            </w:pPr>
            <w:r w:rsidRPr="005C5E2E">
              <w:rPr>
                <w:rFonts w:eastAsia="Calibri"/>
                <w:bCs/>
              </w:rPr>
              <w:lastRenderedPageBreak/>
              <w:t>Taip pat būtina atsakingai įvertinti ir palyginti minimalių pajamų sistemų santykį su socialinio draudimo išmokomis, minimalia mėnesine alga, siekiant užtikrinti, jog socialinės apsaugos sistemos bus socialiai teisingos, skatinančios mokėti įmokas ir nemažinančios paskatų dirbti.</w:t>
            </w:r>
          </w:p>
        </w:tc>
        <w:tc>
          <w:tcPr>
            <w:tcW w:w="1560" w:type="dxa"/>
            <w:tcBorders>
              <w:top w:val="single" w:sz="4" w:space="0" w:color="auto"/>
              <w:left w:val="single" w:sz="4" w:space="0" w:color="auto"/>
              <w:bottom w:val="single" w:sz="4" w:space="0" w:color="auto"/>
              <w:right w:val="single" w:sz="4" w:space="0" w:color="auto"/>
            </w:tcBorders>
          </w:tcPr>
          <w:p w14:paraId="65920866" w14:textId="77777777" w:rsidR="00060CF5" w:rsidRPr="00461EE2" w:rsidRDefault="00060CF5" w:rsidP="00060CF5">
            <w:r w:rsidRPr="00461EE2">
              <w:lastRenderedPageBreak/>
              <w:t>Socialinės apsaugos ir darbo ministerija</w:t>
            </w:r>
          </w:p>
        </w:tc>
      </w:tr>
      <w:tr w:rsidR="00096A17" w:rsidRPr="00461EE2" w14:paraId="44A52EBD"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2E9E2455" w14:textId="77777777" w:rsidR="00096A17" w:rsidRPr="00461EE2" w:rsidRDefault="00EE258E" w:rsidP="00F5258E">
            <w:r w:rsidRPr="00461EE2">
              <w:t>19</w:t>
            </w:r>
          </w:p>
        </w:tc>
        <w:tc>
          <w:tcPr>
            <w:tcW w:w="1950" w:type="dxa"/>
            <w:gridSpan w:val="2"/>
            <w:tcBorders>
              <w:top w:val="single" w:sz="4" w:space="0" w:color="auto"/>
              <w:left w:val="single" w:sz="4" w:space="0" w:color="auto"/>
              <w:bottom w:val="single" w:sz="4" w:space="0" w:color="auto"/>
              <w:right w:val="single" w:sz="4" w:space="0" w:color="auto"/>
            </w:tcBorders>
          </w:tcPr>
          <w:p w14:paraId="03E4931F" w14:textId="77777777" w:rsidR="00342C15" w:rsidRPr="00461EE2" w:rsidRDefault="00EE258E" w:rsidP="00F5258E">
            <w:pPr>
              <w:autoSpaceDE w:val="0"/>
              <w:autoSpaceDN w:val="0"/>
              <w:adjustRightInd w:val="0"/>
              <w:rPr>
                <w:b/>
              </w:rPr>
            </w:pPr>
            <w:r w:rsidRPr="00461EE2">
              <w:rPr>
                <w:b/>
              </w:rPr>
              <w:t>Nutolę regionai</w:t>
            </w:r>
          </w:p>
        </w:tc>
        <w:tc>
          <w:tcPr>
            <w:tcW w:w="4394" w:type="dxa"/>
            <w:tcBorders>
              <w:top w:val="single" w:sz="4" w:space="0" w:color="auto"/>
              <w:left w:val="single" w:sz="4" w:space="0" w:color="auto"/>
              <w:bottom w:val="single" w:sz="4" w:space="0" w:color="auto"/>
              <w:right w:val="single" w:sz="4" w:space="0" w:color="auto"/>
            </w:tcBorders>
          </w:tcPr>
          <w:p w14:paraId="72ECAF40" w14:textId="77777777" w:rsidR="00936685" w:rsidRPr="00461EE2" w:rsidRDefault="00936685" w:rsidP="00936685">
            <w:pPr>
              <w:pStyle w:val="Default"/>
              <w:jc w:val="both"/>
              <w:rPr>
                <w:sz w:val="20"/>
                <w:szCs w:val="20"/>
                <w:lang w:val="lt-LT"/>
              </w:rPr>
            </w:pPr>
            <w:r w:rsidRPr="00461EE2">
              <w:rPr>
                <w:b/>
                <w:bCs/>
                <w:sz w:val="20"/>
                <w:szCs w:val="20"/>
                <w:lang w:val="lt-LT"/>
              </w:rPr>
              <w:t xml:space="preserve">Atnaujinta strateginė partnerystė su atokiausiais regionais </w:t>
            </w:r>
            <w:r w:rsidRPr="00461EE2">
              <w:rPr>
                <w:sz w:val="20"/>
                <w:szCs w:val="20"/>
                <w:lang w:val="lt-LT"/>
              </w:rPr>
              <w:t xml:space="preserve">(ne teisėkūros procedūra priimamas aktas, 2022 m. II ketv.) </w:t>
            </w:r>
          </w:p>
          <w:p w14:paraId="7D0C23C8" w14:textId="77777777" w:rsidR="00936685" w:rsidRPr="00461EE2" w:rsidRDefault="00936685" w:rsidP="00B17CC8">
            <w:pPr>
              <w:jc w:val="both"/>
            </w:pPr>
          </w:p>
          <w:p w14:paraId="55C5A179" w14:textId="77777777" w:rsidR="00096A17" w:rsidRPr="00461EE2" w:rsidRDefault="000A4112" w:rsidP="00445F9F">
            <w:pPr>
              <w:jc w:val="both"/>
            </w:pPr>
            <w:r w:rsidRPr="00461EE2">
              <w:t>Komisija pateiks pasiūlymą dėl atnaujintos stra</w:t>
            </w:r>
            <w:r w:rsidR="00B17CC8" w:rsidRPr="00461EE2">
              <w:t>teginės partnerystės su nutolusiais regionais.</w:t>
            </w:r>
          </w:p>
        </w:tc>
        <w:tc>
          <w:tcPr>
            <w:tcW w:w="6096" w:type="dxa"/>
            <w:tcBorders>
              <w:top w:val="single" w:sz="4" w:space="0" w:color="auto"/>
              <w:left w:val="single" w:sz="4" w:space="0" w:color="auto"/>
              <w:bottom w:val="single" w:sz="4" w:space="0" w:color="auto"/>
              <w:right w:val="single" w:sz="4" w:space="0" w:color="auto"/>
            </w:tcBorders>
          </w:tcPr>
          <w:p w14:paraId="19D07580" w14:textId="77777777" w:rsidR="008A5AE7" w:rsidRPr="00461EE2" w:rsidRDefault="003B1F79" w:rsidP="00FB4E16">
            <w:pPr>
              <w:pStyle w:val="BodyText"/>
              <w:spacing w:line="240" w:lineRule="auto"/>
              <w:rPr>
                <w:rFonts w:ascii="Times New Roman" w:hAnsi="Times New Roman"/>
                <w:szCs w:val="24"/>
              </w:rPr>
            </w:pPr>
            <w:r w:rsidRPr="00461EE2">
              <w:rPr>
                <w:rFonts w:ascii="Times New Roman" w:hAnsi="Times New Roman"/>
                <w:szCs w:val="24"/>
              </w:rPr>
              <w:t>Nelabai aktualu</w:t>
            </w:r>
          </w:p>
          <w:p w14:paraId="6D388178" w14:textId="77777777" w:rsidR="003B1F79" w:rsidRPr="00461EE2" w:rsidRDefault="003B1F79" w:rsidP="007B1870">
            <w:pPr>
              <w:pStyle w:val="BodyText"/>
              <w:spacing w:line="240" w:lineRule="auto"/>
              <w:rPr>
                <w:rFonts w:ascii="Times New Roman" w:hAnsi="Times New Roman"/>
                <w:b w:val="0"/>
                <w:szCs w:val="24"/>
              </w:rPr>
            </w:pPr>
            <w:r w:rsidRPr="00461EE2">
              <w:rPr>
                <w:rFonts w:ascii="Times New Roman" w:hAnsi="Times New Roman"/>
                <w:b w:val="0"/>
                <w:szCs w:val="24"/>
              </w:rPr>
              <w:t xml:space="preserve">Pagal Sutarties dėl ES veikimo 349 ir 355 straipsnius, nutolusių regionų statusą </w:t>
            </w:r>
            <w:r w:rsidR="006E3CC1" w:rsidRPr="00461EE2">
              <w:rPr>
                <w:rFonts w:ascii="Times New Roman" w:hAnsi="Times New Roman"/>
                <w:b w:val="0"/>
                <w:szCs w:val="24"/>
              </w:rPr>
              <w:t xml:space="preserve">šiuo metu </w:t>
            </w:r>
            <w:r w:rsidRPr="00461EE2">
              <w:rPr>
                <w:rFonts w:ascii="Times New Roman" w:hAnsi="Times New Roman"/>
                <w:b w:val="0"/>
                <w:szCs w:val="24"/>
              </w:rPr>
              <w:t>turi 5 Prancūzijos užjūrio departamentai (Martinika, Gvadelupa, Majotas, Prancūzijos Gviana ir Reunionas), 1 Prancūzijos užjūrio bendruomenė (Šv.</w:t>
            </w:r>
            <w:r w:rsidR="00445F9F" w:rsidRPr="00461EE2">
              <w:rPr>
                <w:rFonts w:ascii="Times New Roman" w:hAnsi="Times New Roman"/>
                <w:b w:val="0"/>
                <w:szCs w:val="24"/>
              </w:rPr>
              <w:t xml:space="preserve"> </w:t>
            </w:r>
            <w:r w:rsidRPr="00461EE2">
              <w:rPr>
                <w:rFonts w:ascii="Times New Roman" w:hAnsi="Times New Roman"/>
                <w:b w:val="0"/>
                <w:szCs w:val="24"/>
              </w:rPr>
              <w:t>Martyno sala), 2 Portugalijos autonominiai regionai (Azorai ir Madeira) ir 1 Ispanijos autonominis regionas (Kanarų salos).</w:t>
            </w:r>
            <w:r w:rsidR="00F01702" w:rsidRPr="00461EE2">
              <w:rPr>
                <w:rFonts w:ascii="Times New Roman" w:hAnsi="Times New Roman"/>
                <w:b w:val="0"/>
                <w:szCs w:val="24"/>
              </w:rPr>
              <w:t xml:space="preserve"> Šios teritorijos yra Europos Sąjungos dalis, jose galio</w:t>
            </w:r>
            <w:r w:rsidR="007B1870" w:rsidRPr="00461EE2">
              <w:rPr>
                <w:rFonts w:ascii="Times New Roman" w:hAnsi="Times New Roman"/>
                <w:b w:val="0"/>
                <w:szCs w:val="24"/>
              </w:rPr>
              <w:t>ja</w:t>
            </w:r>
            <w:r w:rsidR="00F01702" w:rsidRPr="00461EE2">
              <w:rPr>
                <w:rFonts w:ascii="Times New Roman" w:hAnsi="Times New Roman"/>
                <w:b w:val="0"/>
                <w:szCs w:val="24"/>
              </w:rPr>
              <w:t xml:space="preserve"> ES </w:t>
            </w:r>
            <w:r w:rsidR="00F01702" w:rsidRPr="00461EE2">
              <w:rPr>
                <w:rFonts w:ascii="Times New Roman" w:hAnsi="Times New Roman"/>
                <w:b w:val="0"/>
                <w:i/>
                <w:szCs w:val="24"/>
              </w:rPr>
              <w:t>acquis</w:t>
            </w:r>
            <w:r w:rsidR="007434DE" w:rsidRPr="00461EE2">
              <w:rPr>
                <w:rFonts w:ascii="Times New Roman" w:hAnsi="Times New Roman"/>
                <w:b w:val="0"/>
                <w:szCs w:val="24"/>
              </w:rPr>
              <w:t xml:space="preserve">, tačiau jų išskirtinė geografinė padėtis reikalauja </w:t>
            </w:r>
            <w:r w:rsidR="000F36BA" w:rsidRPr="00461EE2">
              <w:rPr>
                <w:rFonts w:ascii="Times New Roman" w:hAnsi="Times New Roman"/>
                <w:b w:val="0"/>
                <w:szCs w:val="24"/>
              </w:rPr>
              <w:t xml:space="preserve">tam tikrų </w:t>
            </w:r>
            <w:r w:rsidR="007434DE" w:rsidRPr="00461EE2">
              <w:rPr>
                <w:rFonts w:ascii="Times New Roman" w:hAnsi="Times New Roman"/>
                <w:b w:val="0"/>
                <w:szCs w:val="24"/>
              </w:rPr>
              <w:t xml:space="preserve">ES politikų priderinimo prie specifinės šių regionų padėties. </w:t>
            </w:r>
            <w:r w:rsidR="000F36BA" w:rsidRPr="00461EE2">
              <w:rPr>
                <w:rFonts w:ascii="Times New Roman" w:hAnsi="Times New Roman"/>
                <w:b w:val="0"/>
                <w:szCs w:val="24"/>
              </w:rPr>
              <w:t>Šiuo metu tokios priemonės galioja muitų ir prekybos, fiskalinės politikos, laisvųjų ekonominių zonų, žemės ūkio ir žuvininkystės, svarbiausių prekių ir žaliavų tiekimo srityse. Šių regionų poreikiams gali būti adaptuotos valstybės pagalbos, ES struktūrinių fondų ir programų priemonės</w:t>
            </w:r>
            <w:r w:rsidR="00814536" w:rsidRPr="00461EE2">
              <w:rPr>
                <w:rFonts w:ascii="Times New Roman" w:hAnsi="Times New Roman"/>
                <w:b w:val="0"/>
                <w:szCs w:val="24"/>
              </w:rPr>
              <w:t>. Šiuo metu ES politikos nutolusių regionų atžvilgiu metmenis apibrėžia 2017 m. Europos Komisijos komunikatas COM(2017)0623 „Stipresnė ir atnaujinta strateginė partnerystė su ES nutolusiais regionais“</w:t>
            </w:r>
            <w:r w:rsidR="00DA5C0A">
              <w:rPr>
                <w:rFonts w:ascii="Times New Roman" w:hAnsi="Times New Roman"/>
                <w:b w:val="0"/>
                <w:szCs w:val="24"/>
              </w:rPr>
              <w:t>.</w:t>
            </w:r>
          </w:p>
        </w:tc>
        <w:tc>
          <w:tcPr>
            <w:tcW w:w="1560" w:type="dxa"/>
            <w:tcBorders>
              <w:top w:val="single" w:sz="4" w:space="0" w:color="auto"/>
              <w:left w:val="single" w:sz="4" w:space="0" w:color="auto"/>
              <w:bottom w:val="single" w:sz="4" w:space="0" w:color="auto"/>
              <w:right w:val="single" w:sz="4" w:space="0" w:color="auto"/>
            </w:tcBorders>
          </w:tcPr>
          <w:p w14:paraId="2BCBCDDC" w14:textId="77777777" w:rsidR="006E3DF7" w:rsidRPr="00461EE2" w:rsidRDefault="001A4301" w:rsidP="00F5258E">
            <w:pPr>
              <w:jc w:val="both"/>
            </w:pPr>
            <w:r w:rsidRPr="00461EE2">
              <w:t>Finansų ministerija</w:t>
            </w:r>
          </w:p>
        </w:tc>
      </w:tr>
      <w:tr w:rsidR="00524FF2" w:rsidRPr="00461EE2" w14:paraId="3F6C83DF" w14:textId="77777777" w:rsidTr="008D05A3">
        <w:trPr>
          <w:trHeight w:val="401"/>
        </w:trPr>
        <w:tc>
          <w:tcPr>
            <w:tcW w:w="14631" w:type="dxa"/>
            <w:gridSpan w:val="6"/>
            <w:tcBorders>
              <w:top w:val="single" w:sz="4" w:space="0" w:color="auto"/>
              <w:left w:val="single" w:sz="4" w:space="0" w:color="auto"/>
              <w:bottom w:val="single" w:sz="4" w:space="0" w:color="auto"/>
              <w:right w:val="single" w:sz="4" w:space="0" w:color="auto"/>
            </w:tcBorders>
          </w:tcPr>
          <w:p w14:paraId="0FFEDCE2" w14:textId="77777777" w:rsidR="00524FF2" w:rsidRPr="00461EE2" w:rsidRDefault="00524FF2" w:rsidP="00F5258E">
            <w:r w:rsidRPr="00461EE2">
              <w:rPr>
                <w:b/>
                <w:color w:val="000000" w:themeColor="text1"/>
              </w:rPr>
              <w:t>Pasaulyje stipresnė Europa</w:t>
            </w:r>
          </w:p>
        </w:tc>
      </w:tr>
      <w:tr w:rsidR="00512338" w:rsidRPr="00461EE2" w14:paraId="37E11BA2" w14:textId="77777777" w:rsidTr="00461EE2">
        <w:trPr>
          <w:trHeight w:val="1266"/>
        </w:trPr>
        <w:tc>
          <w:tcPr>
            <w:tcW w:w="631" w:type="dxa"/>
            <w:tcBorders>
              <w:top w:val="single" w:sz="4" w:space="0" w:color="auto"/>
              <w:left w:val="single" w:sz="4" w:space="0" w:color="auto"/>
              <w:bottom w:val="single" w:sz="4" w:space="0" w:color="auto"/>
              <w:right w:val="single" w:sz="4" w:space="0" w:color="auto"/>
            </w:tcBorders>
          </w:tcPr>
          <w:p w14:paraId="410BDD93" w14:textId="77777777" w:rsidR="00512338" w:rsidRPr="00461EE2" w:rsidRDefault="00EE258E" w:rsidP="00F5258E">
            <w:r w:rsidRPr="00461EE2">
              <w:t>20</w:t>
            </w:r>
          </w:p>
        </w:tc>
        <w:tc>
          <w:tcPr>
            <w:tcW w:w="1950" w:type="dxa"/>
            <w:gridSpan w:val="2"/>
            <w:tcBorders>
              <w:top w:val="single" w:sz="4" w:space="0" w:color="auto"/>
              <w:left w:val="single" w:sz="4" w:space="0" w:color="auto"/>
              <w:bottom w:val="single" w:sz="4" w:space="0" w:color="auto"/>
              <w:right w:val="single" w:sz="4" w:space="0" w:color="auto"/>
            </w:tcBorders>
          </w:tcPr>
          <w:p w14:paraId="7F4028E4" w14:textId="77777777" w:rsidR="00512338" w:rsidRPr="00461EE2" w:rsidRDefault="00EE258E" w:rsidP="00F5258E">
            <w:pPr>
              <w:autoSpaceDE w:val="0"/>
              <w:autoSpaceDN w:val="0"/>
              <w:adjustRightInd w:val="0"/>
              <w:rPr>
                <w:b/>
                <w:bCs/>
                <w:color w:val="000000" w:themeColor="text1"/>
              </w:rPr>
            </w:pPr>
            <w:r w:rsidRPr="00461EE2">
              <w:rPr>
                <w:b/>
                <w:bCs/>
                <w:color w:val="000000" w:themeColor="text1"/>
              </w:rPr>
              <w:t>Blokavimo statutas</w:t>
            </w:r>
          </w:p>
        </w:tc>
        <w:tc>
          <w:tcPr>
            <w:tcW w:w="4394" w:type="dxa"/>
            <w:tcBorders>
              <w:top w:val="single" w:sz="4" w:space="0" w:color="auto"/>
              <w:left w:val="single" w:sz="4" w:space="0" w:color="auto"/>
              <w:bottom w:val="single" w:sz="4" w:space="0" w:color="auto"/>
              <w:right w:val="single" w:sz="4" w:space="0" w:color="auto"/>
            </w:tcBorders>
          </w:tcPr>
          <w:p w14:paraId="5B6DA086" w14:textId="77777777" w:rsidR="00936685" w:rsidRPr="00461EE2" w:rsidRDefault="00936685" w:rsidP="00936685">
            <w:pPr>
              <w:pStyle w:val="Default"/>
              <w:rPr>
                <w:sz w:val="20"/>
                <w:szCs w:val="20"/>
                <w:lang w:val="lt-LT"/>
              </w:rPr>
            </w:pPr>
            <w:r w:rsidRPr="00461EE2">
              <w:rPr>
                <w:b/>
                <w:bCs/>
                <w:sz w:val="20"/>
                <w:szCs w:val="20"/>
                <w:lang w:val="lt-LT"/>
              </w:rPr>
              <w:t xml:space="preserve">Blokavimo statuto reglamento dalinis keitimas </w:t>
            </w:r>
            <w:r w:rsidRPr="00461EE2">
              <w:rPr>
                <w:sz w:val="20"/>
                <w:szCs w:val="20"/>
                <w:lang w:val="lt-LT"/>
              </w:rPr>
              <w:t xml:space="preserve">(teisėkūros procedūra priimamas aktas, įskaitant poveikio vertinimą, 2022 m. II ketv.) </w:t>
            </w:r>
          </w:p>
          <w:p w14:paraId="17B40B86" w14:textId="77777777" w:rsidR="00936685" w:rsidRPr="00461EE2" w:rsidRDefault="00936685" w:rsidP="00F5258E"/>
          <w:p w14:paraId="712ADB29" w14:textId="77777777" w:rsidR="00B21004" w:rsidRPr="00461EE2" w:rsidRDefault="00AE657A" w:rsidP="00F5258E">
            <w:r w:rsidRPr="00461EE2">
              <w:t>Komisija pasiūlys blokavi</w:t>
            </w:r>
            <w:r w:rsidR="00DA5C0A">
              <w:t>mo statuto (Tarybos reglamento N</w:t>
            </w:r>
            <w:r w:rsidRPr="00461EE2">
              <w:t>r</w:t>
            </w:r>
            <w:r w:rsidR="00DA5C0A">
              <w:t>.</w:t>
            </w:r>
            <w:r w:rsidRPr="00461EE2">
              <w:t xml:space="preserve"> 2271/96, saugančio nuo trečiosios šalies priimtų </w:t>
            </w:r>
            <w:r w:rsidRPr="00461EE2">
              <w:lastRenderedPageBreak/>
              <w:t xml:space="preserve">teisės aktų eksteritorialaus taikymo poveikio ir tuo grindžiamų ar iš to kylančių veiksmų) pakeitimus.  </w:t>
            </w:r>
          </w:p>
        </w:tc>
        <w:tc>
          <w:tcPr>
            <w:tcW w:w="6096" w:type="dxa"/>
            <w:tcBorders>
              <w:top w:val="single" w:sz="4" w:space="0" w:color="auto"/>
              <w:left w:val="single" w:sz="4" w:space="0" w:color="auto"/>
              <w:bottom w:val="single" w:sz="4" w:space="0" w:color="auto"/>
              <w:right w:val="single" w:sz="4" w:space="0" w:color="auto"/>
            </w:tcBorders>
          </w:tcPr>
          <w:p w14:paraId="142698AD" w14:textId="77777777" w:rsidR="00512338" w:rsidRPr="00461EE2" w:rsidRDefault="00A652D4" w:rsidP="00F5258E">
            <w:pPr>
              <w:jc w:val="both"/>
              <w:rPr>
                <w:b/>
              </w:rPr>
            </w:pPr>
            <w:r w:rsidRPr="00461EE2">
              <w:rPr>
                <w:b/>
              </w:rPr>
              <w:lastRenderedPageBreak/>
              <w:t>Aktualu</w:t>
            </w:r>
          </w:p>
          <w:p w14:paraId="27BBE42A" w14:textId="77777777" w:rsidR="00A652D4" w:rsidRPr="00461EE2" w:rsidRDefault="00A652D4" w:rsidP="00087B67">
            <w:pPr>
              <w:jc w:val="both"/>
            </w:pPr>
            <w:r w:rsidRPr="00461EE2">
              <w:t>Blokavimo statutas</w:t>
            </w:r>
            <w:r w:rsidR="00C37A0B" w:rsidRPr="00461EE2">
              <w:t>, priimtas 1996 m. Tarybos reglamentu nr. 2271/96,</w:t>
            </w:r>
            <w:r w:rsidR="000A4112" w:rsidRPr="00461EE2">
              <w:t xml:space="preserve"> turėtų</w:t>
            </w:r>
            <w:r w:rsidRPr="00461EE2">
              <w:t xml:space="preserve"> būti atnaujintas, atsižvelgiant į šių dienų realijas. Pakeitimai pirmiausia tur</w:t>
            </w:r>
            <w:r w:rsidR="008C6CFF" w:rsidRPr="00461EE2">
              <w:t>ėtų</w:t>
            </w:r>
            <w:r w:rsidRPr="00461EE2">
              <w:t xml:space="preserve"> būti susiję su baudų ES verslui už Blokavimo statuto nesilaikymą mažinimu</w:t>
            </w:r>
            <w:r w:rsidR="008C6CFF" w:rsidRPr="00461EE2">
              <w:t xml:space="preserve">, </w:t>
            </w:r>
            <w:r w:rsidRPr="00461EE2">
              <w:t xml:space="preserve">galėtų būti </w:t>
            </w:r>
            <w:r w:rsidR="008C6CFF" w:rsidRPr="00461EE2">
              <w:t xml:space="preserve">sukurtos </w:t>
            </w:r>
            <w:r w:rsidRPr="00461EE2">
              <w:t xml:space="preserve">lengvesnės sąlygos leisti verslui laikytis </w:t>
            </w:r>
            <w:r w:rsidRPr="00461EE2">
              <w:lastRenderedPageBreak/>
              <w:t>trečiosios šalies sankcijų (jei pats verslas taip nusprendė) ir</w:t>
            </w:r>
            <w:r w:rsidR="008C6CFF" w:rsidRPr="00461EE2">
              <w:t>,</w:t>
            </w:r>
            <w:r w:rsidRPr="00461EE2">
              <w:t xml:space="preserve"> atitinkamai</w:t>
            </w:r>
            <w:r w:rsidR="008C6CFF" w:rsidRPr="00461EE2">
              <w:t>,</w:t>
            </w:r>
            <w:r w:rsidRPr="00461EE2">
              <w:t xml:space="preserve"> lengvesnės sąlygos ES veiklos vykdytojams prašyti būti įgaliotiems laikytis eksteritorinių teisės aktų, jeigu dėl jų nesilaikymo būtų padaryta didelė žala jų ar Sąjungos interesams. Kartu kviestume įvertinti galimybes </w:t>
            </w:r>
            <w:r w:rsidR="00087B67" w:rsidRPr="00461EE2">
              <w:t xml:space="preserve">tartis </w:t>
            </w:r>
            <w:r w:rsidRPr="00461EE2">
              <w:t>su JAV dėl jų priimamų sankcijų eksteritorinio poveikio ES subjektams bei kartu ieškoti būdų apsaugoti ES verslo subjektus nuo tokio poveikio.</w:t>
            </w:r>
          </w:p>
        </w:tc>
        <w:tc>
          <w:tcPr>
            <w:tcW w:w="1560" w:type="dxa"/>
            <w:tcBorders>
              <w:top w:val="single" w:sz="4" w:space="0" w:color="auto"/>
              <w:left w:val="single" w:sz="4" w:space="0" w:color="auto"/>
              <w:bottom w:val="single" w:sz="4" w:space="0" w:color="auto"/>
              <w:right w:val="single" w:sz="4" w:space="0" w:color="auto"/>
            </w:tcBorders>
          </w:tcPr>
          <w:p w14:paraId="6E2CE563" w14:textId="57FE100A" w:rsidR="00512338" w:rsidRPr="00461EE2" w:rsidRDefault="007B1870" w:rsidP="00F5258E">
            <w:r w:rsidRPr="00461EE2">
              <w:lastRenderedPageBreak/>
              <w:t>Ekon</w:t>
            </w:r>
            <w:r w:rsidR="00F63135">
              <w:t>omikos ir inovacijų ministerija</w:t>
            </w:r>
            <w:r w:rsidRPr="00461EE2">
              <w:t xml:space="preserve"> </w:t>
            </w:r>
          </w:p>
          <w:p w14:paraId="4B6907C4" w14:textId="4F3BAC36" w:rsidR="007B1870" w:rsidRPr="00461EE2" w:rsidRDefault="007B1870" w:rsidP="00F5258E">
            <w:r w:rsidRPr="00461EE2">
              <w:t>Finansų ministerija</w:t>
            </w:r>
          </w:p>
          <w:p w14:paraId="175BCD56" w14:textId="77777777" w:rsidR="007B1870" w:rsidRPr="00461EE2" w:rsidRDefault="007B1870" w:rsidP="00F5258E">
            <w:r w:rsidRPr="00461EE2">
              <w:lastRenderedPageBreak/>
              <w:t>Užsienio reikalų ministerija</w:t>
            </w:r>
          </w:p>
        </w:tc>
      </w:tr>
      <w:tr w:rsidR="0003636D" w:rsidRPr="00461EE2" w14:paraId="26A384A7"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51EDE2F4" w14:textId="77777777" w:rsidR="0003636D" w:rsidRPr="00461EE2" w:rsidRDefault="0003636D" w:rsidP="0003636D">
            <w:r w:rsidRPr="00461EE2">
              <w:lastRenderedPageBreak/>
              <w:t>21</w:t>
            </w:r>
          </w:p>
        </w:tc>
        <w:tc>
          <w:tcPr>
            <w:tcW w:w="1950" w:type="dxa"/>
            <w:gridSpan w:val="2"/>
            <w:tcBorders>
              <w:top w:val="single" w:sz="4" w:space="0" w:color="auto"/>
              <w:left w:val="single" w:sz="4" w:space="0" w:color="auto"/>
              <w:bottom w:val="single" w:sz="4" w:space="0" w:color="auto"/>
              <w:right w:val="single" w:sz="4" w:space="0" w:color="auto"/>
            </w:tcBorders>
          </w:tcPr>
          <w:p w14:paraId="2E2880F6" w14:textId="77777777" w:rsidR="0003636D" w:rsidRPr="00461EE2" w:rsidRDefault="0003636D" w:rsidP="0003636D">
            <w:r w:rsidRPr="00461EE2">
              <w:rPr>
                <w:b/>
              </w:rPr>
              <w:t>Tarptautinis įsitraukimas energetikos srityje</w:t>
            </w:r>
          </w:p>
        </w:tc>
        <w:tc>
          <w:tcPr>
            <w:tcW w:w="4394" w:type="dxa"/>
            <w:tcBorders>
              <w:top w:val="single" w:sz="4" w:space="0" w:color="auto"/>
              <w:left w:val="single" w:sz="4" w:space="0" w:color="auto"/>
              <w:bottom w:val="single" w:sz="4" w:space="0" w:color="auto"/>
              <w:right w:val="single" w:sz="4" w:space="0" w:color="auto"/>
            </w:tcBorders>
          </w:tcPr>
          <w:p w14:paraId="62E81A6F" w14:textId="77777777" w:rsidR="00936685" w:rsidRPr="00461EE2" w:rsidRDefault="00936685" w:rsidP="00936685">
            <w:pPr>
              <w:pStyle w:val="Default"/>
              <w:jc w:val="both"/>
              <w:rPr>
                <w:sz w:val="20"/>
                <w:szCs w:val="20"/>
                <w:lang w:val="lt-LT"/>
              </w:rPr>
            </w:pPr>
            <w:r w:rsidRPr="00461EE2">
              <w:rPr>
                <w:b/>
                <w:bCs/>
                <w:sz w:val="20"/>
                <w:szCs w:val="20"/>
                <w:lang w:val="lt-LT"/>
              </w:rPr>
              <w:t xml:space="preserve">Nauja tarptautinio bendradarbiavimo energetikos srityje strategija </w:t>
            </w:r>
            <w:r w:rsidRPr="00461EE2">
              <w:rPr>
                <w:sz w:val="20"/>
                <w:szCs w:val="20"/>
                <w:lang w:val="lt-LT"/>
              </w:rPr>
              <w:t xml:space="preserve">(ne teisėkūros procedūra priimamas aktas, 2022 m. I ketv.) </w:t>
            </w:r>
          </w:p>
          <w:p w14:paraId="7D4AEF95" w14:textId="77777777" w:rsidR="00936685" w:rsidRPr="00461EE2" w:rsidRDefault="00936685" w:rsidP="0003636D">
            <w:pPr>
              <w:jc w:val="both"/>
              <w:rPr>
                <w:lang w:eastAsia="lt-LT"/>
              </w:rPr>
            </w:pPr>
          </w:p>
          <w:p w14:paraId="3ED63079" w14:textId="77777777" w:rsidR="0003636D" w:rsidRPr="00461EE2" w:rsidRDefault="0003636D" w:rsidP="0003636D">
            <w:pPr>
              <w:jc w:val="both"/>
              <w:rPr>
                <w:lang w:eastAsia="lt-LT"/>
              </w:rPr>
            </w:pPr>
            <w:r w:rsidRPr="00461EE2">
              <w:rPr>
                <w:lang w:eastAsia="lt-LT"/>
              </w:rPr>
              <w:t>Siekdama skatinti energijos tiekimo saugumą, švarias technologijas bei rinkų atvirumą, EK parengs Tarptautinio įsitraukimo energetikos srityje strategiją.  Strategijoje numatomos naujos galimybės švarios energijos diegimui, energinio efektyvumo, saugių bei tvarių technologijų skatinimui, palaipsniui pereinant nuo iškastinio kuro naudojimo prie žaliosios energijos sprendimų.</w:t>
            </w:r>
          </w:p>
        </w:tc>
        <w:tc>
          <w:tcPr>
            <w:tcW w:w="6096" w:type="dxa"/>
            <w:tcBorders>
              <w:top w:val="single" w:sz="4" w:space="0" w:color="auto"/>
              <w:left w:val="single" w:sz="4" w:space="0" w:color="auto"/>
              <w:bottom w:val="single" w:sz="4" w:space="0" w:color="auto"/>
              <w:right w:val="single" w:sz="4" w:space="0" w:color="auto"/>
            </w:tcBorders>
          </w:tcPr>
          <w:p w14:paraId="3A0E69D9" w14:textId="77777777" w:rsidR="00BF1278" w:rsidRPr="00BF1278" w:rsidRDefault="0003636D" w:rsidP="00BF1278">
            <w:pPr>
              <w:jc w:val="both"/>
              <w:rPr>
                <w:b/>
              </w:rPr>
            </w:pPr>
            <w:r w:rsidRPr="00461EE2">
              <w:rPr>
                <w:b/>
              </w:rPr>
              <w:t>Aktualu</w:t>
            </w:r>
          </w:p>
          <w:p w14:paraId="55FF8625" w14:textId="77777777" w:rsidR="00BF1278" w:rsidRDefault="00BF1278" w:rsidP="00BF1278">
            <w:pPr>
              <w:jc w:val="both"/>
            </w:pPr>
            <w:r>
              <w:t>Palankiai vertiname EK planus parengti naują tarptautinio įsitraukimo energetikos srityje strategiją. Išorinės energetikos politikos strategija paskutinį kartą buvo rengta 2011 m. Strategijoje svarbu numatyti veiksmus, kaip Europos Sąjunga gali stiprinti lyderystę globaliu lygiu, skatinant žaliąjį energetikos perėjimą, tačiau ne mažiau svarbia strategijos dalimi turi išlikti energetinis saugumas. Pereinamuoju laikotarpiu ES turi siekti diversifikuoti energijos, visų pirma gamtinių dujų, tiekimo šaltinius ir kelius, užsitikrinant patikimas ir skaidrias partnerytes. Elektros energetikos srityje ES turi užtikrinti lygias konkurencines sąlygas vietiniams energijos gamintojams (ypač atsinaujinančios energijos gamintojams) su energijos gamintojais trečiosiose šalyse. Svarbu visomis priemonėmis siekti, kad trečiosios šalys laikytųsi aukščiausių aplinkosauginių ir branduolinės saugos standartų. Taip pat, didelis dėmesys turi būti skiriamas ES Rytų Partnerystės šalims, padedant užtikrinti jų (ir kartu ES) energetinį saugumą ir dalinantis patirtimi žaliosios energetikos srityje.</w:t>
            </w:r>
          </w:p>
          <w:p w14:paraId="46CA0AE3" w14:textId="77777777" w:rsidR="0003636D" w:rsidRPr="00461EE2" w:rsidRDefault="0003636D" w:rsidP="0003636D">
            <w:pPr>
              <w:jc w:val="both"/>
            </w:pPr>
          </w:p>
        </w:tc>
        <w:tc>
          <w:tcPr>
            <w:tcW w:w="1560" w:type="dxa"/>
            <w:tcBorders>
              <w:top w:val="single" w:sz="4" w:space="0" w:color="auto"/>
              <w:left w:val="single" w:sz="4" w:space="0" w:color="auto"/>
              <w:bottom w:val="single" w:sz="4" w:space="0" w:color="auto"/>
              <w:right w:val="single" w:sz="4" w:space="0" w:color="auto"/>
            </w:tcBorders>
          </w:tcPr>
          <w:p w14:paraId="50109150" w14:textId="77777777" w:rsidR="0003636D" w:rsidRPr="00461EE2" w:rsidRDefault="0003636D" w:rsidP="0003636D">
            <w:r w:rsidRPr="00461EE2">
              <w:t>Energetikos ministerija</w:t>
            </w:r>
          </w:p>
        </w:tc>
      </w:tr>
      <w:tr w:rsidR="005F077C" w:rsidRPr="00461EE2" w14:paraId="33908230"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6A24C54B" w14:textId="77777777" w:rsidR="005F077C" w:rsidRPr="00461EE2" w:rsidRDefault="005F077C" w:rsidP="005F077C">
            <w:r w:rsidRPr="00461EE2">
              <w:lastRenderedPageBreak/>
              <w:t>22</w:t>
            </w:r>
          </w:p>
        </w:tc>
        <w:tc>
          <w:tcPr>
            <w:tcW w:w="1950" w:type="dxa"/>
            <w:gridSpan w:val="2"/>
            <w:tcBorders>
              <w:top w:val="single" w:sz="4" w:space="0" w:color="auto"/>
              <w:left w:val="single" w:sz="4" w:space="0" w:color="auto"/>
              <w:bottom w:val="single" w:sz="4" w:space="0" w:color="auto"/>
              <w:right w:val="single" w:sz="4" w:space="0" w:color="auto"/>
            </w:tcBorders>
          </w:tcPr>
          <w:p w14:paraId="1FB1CB27" w14:textId="77777777" w:rsidR="005F077C" w:rsidRPr="00461EE2" w:rsidRDefault="005F077C" w:rsidP="005F077C">
            <w:pPr>
              <w:rPr>
                <w:b/>
              </w:rPr>
            </w:pPr>
            <w:r w:rsidRPr="00461EE2">
              <w:rPr>
                <w:b/>
              </w:rPr>
              <w:t>Tarptautinis vandenynų valdymas</w:t>
            </w:r>
          </w:p>
        </w:tc>
        <w:tc>
          <w:tcPr>
            <w:tcW w:w="4394" w:type="dxa"/>
            <w:tcBorders>
              <w:top w:val="single" w:sz="4" w:space="0" w:color="auto"/>
              <w:left w:val="single" w:sz="4" w:space="0" w:color="auto"/>
              <w:bottom w:val="single" w:sz="4" w:space="0" w:color="auto"/>
              <w:right w:val="single" w:sz="4" w:space="0" w:color="auto"/>
            </w:tcBorders>
          </w:tcPr>
          <w:p w14:paraId="02CB6925" w14:textId="77777777" w:rsidR="00936685" w:rsidRPr="00461EE2" w:rsidRDefault="00936685" w:rsidP="00936685">
            <w:pPr>
              <w:pStyle w:val="Default"/>
              <w:jc w:val="both"/>
              <w:rPr>
                <w:sz w:val="20"/>
                <w:szCs w:val="20"/>
                <w:lang w:val="lt-LT"/>
              </w:rPr>
            </w:pPr>
            <w:r w:rsidRPr="00461EE2">
              <w:rPr>
                <w:b/>
                <w:bCs/>
                <w:sz w:val="20"/>
                <w:szCs w:val="20"/>
                <w:lang w:val="lt-LT"/>
              </w:rPr>
              <w:t xml:space="preserve">Bendras komunikatas dėl tarptautinio vandenynų valdymo </w:t>
            </w:r>
            <w:r w:rsidRPr="00461EE2">
              <w:rPr>
                <w:sz w:val="20"/>
                <w:szCs w:val="20"/>
                <w:lang w:val="lt-LT"/>
              </w:rPr>
              <w:t xml:space="preserve">(ne teisėkūros procedūra priimamas aktas, 2022 m. II ketv.) </w:t>
            </w:r>
          </w:p>
          <w:p w14:paraId="508D58FA" w14:textId="77777777" w:rsidR="00936685" w:rsidRPr="00461EE2" w:rsidRDefault="00936685" w:rsidP="005F077C">
            <w:pPr>
              <w:jc w:val="both"/>
            </w:pPr>
          </w:p>
          <w:p w14:paraId="599B52ED" w14:textId="77777777" w:rsidR="005F077C" w:rsidRPr="00461EE2" w:rsidRDefault="005F077C" w:rsidP="005F077C">
            <w:pPr>
              <w:jc w:val="both"/>
            </w:pPr>
            <w:r w:rsidRPr="00461EE2">
              <w:t>Vandenynai susiduria su daugybe problemų – eutrofikacija, tarša šiukšlėmis ir pavojingomis cheminėmis medžiagomis, bioįvairovės nykimas, klimato kaita, vandens rūgštėjimas, perteklinis išteklių eksploatavimas ir įvairios nelegalios veiklos. ES valstybės turi didinti pastangas integruotai kovoti su šių procesų keliamomis pasekmėmis, skatindamos „mėlynąjį augimą“, saugų ir tvarų vandenynų ir jų išteklių naudojimą, stiprindamos klimato kaitos švelninimo ir prisitaikymo prie klimato kaitos pajėgumus, saugodamos vandenynų ekosistemas ir mažindamos visų rūšių, ypač žemės ūkio veiklos, keliamą vandenynų taršą.</w:t>
            </w:r>
          </w:p>
        </w:tc>
        <w:tc>
          <w:tcPr>
            <w:tcW w:w="6096" w:type="dxa"/>
            <w:tcBorders>
              <w:top w:val="single" w:sz="4" w:space="0" w:color="auto"/>
              <w:left w:val="single" w:sz="4" w:space="0" w:color="auto"/>
              <w:bottom w:val="single" w:sz="4" w:space="0" w:color="auto"/>
              <w:right w:val="single" w:sz="4" w:space="0" w:color="auto"/>
            </w:tcBorders>
          </w:tcPr>
          <w:p w14:paraId="36C9325A" w14:textId="77777777" w:rsidR="005F077C" w:rsidRPr="00461EE2" w:rsidRDefault="005F077C" w:rsidP="005F077C">
            <w:pPr>
              <w:pStyle w:val="NoSpacing"/>
              <w:autoSpaceDN w:val="0"/>
              <w:jc w:val="both"/>
              <w:rPr>
                <w:rFonts w:ascii="Times New Roman" w:hAnsi="Times New Roman"/>
                <w:b/>
                <w:sz w:val="24"/>
                <w:szCs w:val="24"/>
                <w:lang w:val="lt-LT"/>
              </w:rPr>
            </w:pPr>
            <w:r w:rsidRPr="00461EE2">
              <w:rPr>
                <w:rFonts w:ascii="Times New Roman" w:hAnsi="Times New Roman"/>
                <w:b/>
                <w:sz w:val="24"/>
                <w:szCs w:val="24"/>
                <w:lang w:val="lt-LT"/>
              </w:rPr>
              <w:t>Aktualu</w:t>
            </w:r>
          </w:p>
          <w:p w14:paraId="5F9D81E2" w14:textId="77777777" w:rsidR="005F077C" w:rsidRPr="00461EE2" w:rsidRDefault="007614C8" w:rsidP="005F077C">
            <w:pPr>
              <w:pStyle w:val="NoSpacing"/>
              <w:autoSpaceDN w:val="0"/>
              <w:jc w:val="both"/>
              <w:rPr>
                <w:rFonts w:ascii="Times New Roman" w:hAnsi="Times New Roman"/>
                <w:sz w:val="24"/>
                <w:szCs w:val="24"/>
                <w:lang w:val="lt-LT"/>
              </w:rPr>
            </w:pPr>
            <w:r w:rsidRPr="42FD3FF5">
              <w:rPr>
                <w:rFonts w:ascii="Times New Roman" w:hAnsi="Times New Roman"/>
                <w:sz w:val="24"/>
                <w:szCs w:val="24"/>
                <w:lang w:val="lt-LT"/>
              </w:rPr>
              <w:t>Siekiant mažinti vandens išteklių taršą ir išsaugoti jūrinę aplinką, būtina tinkamai įgyvendinti ES teisės aktus bei strategijas</w:t>
            </w:r>
            <w:r w:rsidRPr="42FD3FF5">
              <w:rPr>
                <w:rFonts w:ascii="Times New Roman" w:eastAsia="Times New Roman" w:hAnsi="Times New Roman"/>
                <w:color w:val="ED5C57"/>
                <w:sz w:val="24"/>
                <w:szCs w:val="24"/>
                <w:lang w:val="lt-LT"/>
              </w:rPr>
              <w:t xml:space="preserve"> </w:t>
            </w:r>
            <w:r w:rsidRPr="0015331F">
              <w:rPr>
                <w:rFonts w:ascii="Times New Roman" w:eastAsia="Times New Roman" w:hAnsi="Times New Roman"/>
                <w:sz w:val="24"/>
                <w:szCs w:val="24"/>
                <w:lang w:val="lt-LT"/>
              </w:rPr>
              <w:t>(</w:t>
            </w:r>
            <w:r w:rsidRPr="00206F51">
              <w:rPr>
                <w:rFonts w:ascii="Times New Roman" w:eastAsia="Times New Roman" w:hAnsi="Times New Roman"/>
                <w:iCs/>
                <w:sz w:val="24"/>
                <w:szCs w:val="24"/>
                <w:lang w:val="lt-LT"/>
              </w:rPr>
              <w:t>ES jūrų saugumo strategija, regioninės jūrų konvencijos, BBNJ priemonė (jūrų biologinės įvairovės išsaugojimas ir tausus naudojimas nacionalinei jurisdikcijai nepriklausančiuose rajonuose), Ramiojo vandenyno ir Europos Sąjungos jūrų partnerystės programa, JT susitarimas dėl žuvų išteklių, biologinės įvairovės strategija 2030</w:t>
            </w:r>
            <w:r w:rsidRPr="0015331F">
              <w:rPr>
                <w:rFonts w:ascii="Times New Roman" w:eastAsia="Times New Roman" w:hAnsi="Times New Roman"/>
                <w:i/>
                <w:iCs/>
                <w:sz w:val="24"/>
                <w:szCs w:val="24"/>
                <w:lang w:val="lt-LT"/>
              </w:rPr>
              <w:t>)</w:t>
            </w:r>
            <w:r w:rsidRPr="0015331F">
              <w:rPr>
                <w:rFonts w:ascii="Times New Roman" w:hAnsi="Times New Roman"/>
                <w:sz w:val="24"/>
                <w:szCs w:val="24"/>
                <w:lang w:val="lt-LT"/>
              </w:rPr>
              <w:t>,</w:t>
            </w:r>
            <w:r w:rsidRPr="42FD3FF5">
              <w:rPr>
                <w:rFonts w:ascii="Times New Roman" w:hAnsi="Times New Roman"/>
                <w:sz w:val="24"/>
                <w:szCs w:val="24"/>
                <w:lang w:val="lt-LT"/>
              </w:rPr>
              <w:t xml:space="preserve"> kurių tikslai yra orientuoti į sveikos ir švarios jūrinės aplinkos atkūrimą ir išsaugojimą. Taip pat būtina išnaudoti visus formatus, susijusius su </w:t>
            </w:r>
            <w:r w:rsidRPr="0015331F">
              <w:rPr>
                <w:rFonts w:ascii="Times New Roman" w:eastAsia="Times New Roman" w:hAnsi="Times New Roman"/>
                <w:sz w:val="24"/>
                <w:szCs w:val="24"/>
                <w:lang w:val="lt-LT"/>
              </w:rPr>
              <w:t xml:space="preserve">tarptautiniu </w:t>
            </w:r>
            <w:r w:rsidRPr="42FD3FF5">
              <w:rPr>
                <w:rFonts w:ascii="Times New Roman" w:hAnsi="Times New Roman"/>
                <w:sz w:val="24"/>
                <w:szCs w:val="24"/>
                <w:lang w:val="lt-LT"/>
              </w:rPr>
              <w:t>bendradarbiavimu ir dalijimusi informacija bei gerąja patirtimi tarp ES val</w:t>
            </w:r>
            <w:r>
              <w:rPr>
                <w:rFonts w:ascii="Times New Roman" w:hAnsi="Times New Roman"/>
                <w:sz w:val="24"/>
                <w:szCs w:val="24"/>
                <w:lang w:val="lt-LT"/>
              </w:rPr>
              <w:t>stybių narių ir trečiųjų šalių.</w:t>
            </w:r>
          </w:p>
          <w:p w14:paraId="388C971D" w14:textId="77777777" w:rsidR="005F077C" w:rsidRPr="00461EE2" w:rsidRDefault="005F077C" w:rsidP="005F077C">
            <w:pPr>
              <w:pStyle w:val="NoSpacing"/>
              <w:autoSpaceDN w:val="0"/>
              <w:jc w:val="both"/>
              <w:rPr>
                <w:rFonts w:ascii="Times New Roman" w:hAnsi="Times New Roman"/>
                <w:b/>
                <w:sz w:val="24"/>
                <w:szCs w:val="24"/>
                <w:lang w:val="lt-LT"/>
              </w:rPr>
            </w:pPr>
          </w:p>
        </w:tc>
        <w:tc>
          <w:tcPr>
            <w:tcW w:w="1560" w:type="dxa"/>
            <w:tcBorders>
              <w:top w:val="single" w:sz="4" w:space="0" w:color="auto"/>
              <w:left w:val="single" w:sz="4" w:space="0" w:color="auto"/>
              <w:bottom w:val="single" w:sz="4" w:space="0" w:color="auto"/>
              <w:right w:val="single" w:sz="4" w:space="0" w:color="auto"/>
            </w:tcBorders>
          </w:tcPr>
          <w:p w14:paraId="048E0F7A" w14:textId="5BFC3329" w:rsidR="005F077C" w:rsidRPr="00CF15E2" w:rsidRDefault="005F077C" w:rsidP="005F077C">
            <w:r w:rsidRPr="00CF15E2">
              <w:t>Aplinkos ministerija</w:t>
            </w:r>
          </w:p>
          <w:p w14:paraId="58F469ED" w14:textId="19D5C569" w:rsidR="00206F51" w:rsidRPr="00CF15E2" w:rsidRDefault="00206F51" w:rsidP="00CF15E2">
            <w:r w:rsidRPr="00CF15E2">
              <w:t>Užsienio reikalų ministerija</w:t>
            </w:r>
            <w:r w:rsidR="009D0788" w:rsidRPr="00CF15E2">
              <w:t xml:space="preserve"> </w:t>
            </w:r>
          </w:p>
        </w:tc>
      </w:tr>
      <w:tr w:rsidR="00524FF2" w:rsidRPr="00461EE2" w14:paraId="6C36A362"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49DF4427" w14:textId="77777777" w:rsidR="00524FF2" w:rsidRPr="00461EE2" w:rsidRDefault="00EE258E" w:rsidP="00F5258E">
            <w:r w:rsidRPr="00461EE2">
              <w:t>23</w:t>
            </w:r>
          </w:p>
        </w:tc>
        <w:tc>
          <w:tcPr>
            <w:tcW w:w="1950" w:type="dxa"/>
            <w:gridSpan w:val="2"/>
            <w:tcBorders>
              <w:top w:val="single" w:sz="4" w:space="0" w:color="auto"/>
              <w:left w:val="single" w:sz="4" w:space="0" w:color="auto"/>
              <w:bottom w:val="single" w:sz="4" w:space="0" w:color="auto"/>
              <w:right w:val="single" w:sz="4" w:space="0" w:color="auto"/>
            </w:tcBorders>
          </w:tcPr>
          <w:p w14:paraId="15466868" w14:textId="77777777" w:rsidR="00BC2120" w:rsidRPr="00461EE2" w:rsidRDefault="00EE258E" w:rsidP="00F5258E">
            <w:pPr>
              <w:rPr>
                <w:b/>
              </w:rPr>
            </w:pPr>
            <w:r w:rsidRPr="00461EE2">
              <w:rPr>
                <w:b/>
              </w:rPr>
              <w:t>Partnerystė su Persijos įlankos šalimis</w:t>
            </w:r>
          </w:p>
        </w:tc>
        <w:tc>
          <w:tcPr>
            <w:tcW w:w="4394" w:type="dxa"/>
            <w:tcBorders>
              <w:top w:val="single" w:sz="4" w:space="0" w:color="auto"/>
              <w:left w:val="single" w:sz="4" w:space="0" w:color="auto"/>
              <w:bottom w:val="single" w:sz="4" w:space="0" w:color="auto"/>
              <w:right w:val="single" w:sz="4" w:space="0" w:color="auto"/>
            </w:tcBorders>
          </w:tcPr>
          <w:p w14:paraId="49202842" w14:textId="77777777" w:rsidR="00936685" w:rsidRPr="00461EE2" w:rsidRDefault="00936685" w:rsidP="00936685">
            <w:pPr>
              <w:pStyle w:val="Default"/>
              <w:jc w:val="both"/>
              <w:rPr>
                <w:sz w:val="20"/>
                <w:szCs w:val="20"/>
                <w:lang w:val="lt-LT"/>
              </w:rPr>
            </w:pPr>
            <w:r w:rsidRPr="00461EE2">
              <w:rPr>
                <w:b/>
                <w:bCs/>
                <w:sz w:val="20"/>
                <w:szCs w:val="20"/>
                <w:lang w:val="lt-LT"/>
              </w:rPr>
              <w:t xml:space="preserve">Bendras komunikatas dėl partnerystės su Persijos įlankos valstybėmis </w:t>
            </w:r>
            <w:r w:rsidRPr="00461EE2">
              <w:rPr>
                <w:sz w:val="20"/>
                <w:szCs w:val="20"/>
                <w:lang w:val="lt-LT"/>
              </w:rPr>
              <w:t xml:space="preserve">(ne teisėkūros procedūra priimamas aktas, 2022 m. II ketv.) </w:t>
            </w:r>
          </w:p>
          <w:p w14:paraId="71B55AF1" w14:textId="77777777" w:rsidR="00524FF2" w:rsidRPr="00461EE2" w:rsidRDefault="00524FF2" w:rsidP="002F4FC1">
            <w:pPr>
              <w:pStyle w:val="Default"/>
              <w:jc w:val="both"/>
              <w:rPr>
                <w:lang w:val="lt-LT"/>
              </w:rPr>
            </w:pPr>
          </w:p>
        </w:tc>
        <w:tc>
          <w:tcPr>
            <w:tcW w:w="6096" w:type="dxa"/>
            <w:tcBorders>
              <w:top w:val="single" w:sz="4" w:space="0" w:color="auto"/>
              <w:left w:val="single" w:sz="4" w:space="0" w:color="auto"/>
              <w:bottom w:val="single" w:sz="4" w:space="0" w:color="auto"/>
              <w:right w:val="single" w:sz="4" w:space="0" w:color="auto"/>
            </w:tcBorders>
          </w:tcPr>
          <w:p w14:paraId="556ED020" w14:textId="77777777" w:rsidR="00524FF2" w:rsidRPr="00461EE2" w:rsidRDefault="00C02695" w:rsidP="00F5258E">
            <w:pPr>
              <w:pStyle w:val="Default"/>
              <w:jc w:val="both"/>
              <w:rPr>
                <w:b/>
                <w:lang w:val="lt-LT"/>
              </w:rPr>
            </w:pPr>
            <w:r w:rsidRPr="00461EE2">
              <w:rPr>
                <w:b/>
                <w:lang w:val="lt-LT"/>
              </w:rPr>
              <w:t>Aktualu</w:t>
            </w:r>
          </w:p>
          <w:p w14:paraId="17335024" w14:textId="77777777" w:rsidR="00C02695" w:rsidRPr="00461EE2" w:rsidRDefault="00C02695" w:rsidP="00C31105">
            <w:pPr>
              <w:pStyle w:val="Default"/>
              <w:jc w:val="both"/>
              <w:rPr>
                <w:lang w:val="lt-LT"/>
              </w:rPr>
            </w:pPr>
            <w:r w:rsidRPr="00461EE2">
              <w:rPr>
                <w:lang w:val="lt-LT"/>
              </w:rPr>
              <w:t xml:space="preserve">Palaikome ES ir Persijos įlankos regiono šalių bendradarbiavimo stiprinimą. Tikimės, kad 2022 m.  bus surengtas ES ir Persijos įlankos šalių bendradarbiavimo tarybos susitikimas, kuriame su šiomis šalimis bus pratęstas dialogas regioninio saugumo ir stabilumo, politinio ir ekonominio bendradarbiavimo, atsparumo,  žaliosios energetikos, kovos su klimato kaita ir kitais aktualiais klausimais. Taip pat svarbu stiprinti bendradarbiavimą su Persijos įlankos regiono šalimis, atsakant į dabartinės Afganistano situacijos keliamus iššūkius; paremiant Irako porinkiminį stabilumą, teritorinį integralumą ir vystymąsi; </w:t>
            </w:r>
            <w:r w:rsidRPr="00461EE2">
              <w:rPr>
                <w:lang w:val="lt-LT"/>
              </w:rPr>
              <w:lastRenderedPageBreak/>
              <w:t>taip pat siekiant pažaboti neteisėtos migracijos keliamus iššūkius.</w:t>
            </w:r>
          </w:p>
        </w:tc>
        <w:tc>
          <w:tcPr>
            <w:tcW w:w="1560" w:type="dxa"/>
            <w:tcBorders>
              <w:top w:val="single" w:sz="4" w:space="0" w:color="auto"/>
              <w:left w:val="single" w:sz="4" w:space="0" w:color="auto"/>
              <w:bottom w:val="single" w:sz="4" w:space="0" w:color="auto"/>
              <w:right w:val="single" w:sz="4" w:space="0" w:color="auto"/>
            </w:tcBorders>
          </w:tcPr>
          <w:p w14:paraId="269639DD" w14:textId="77777777" w:rsidR="00524FF2" w:rsidRPr="00461EE2" w:rsidRDefault="00E852F8" w:rsidP="00F5258E">
            <w:r w:rsidRPr="00461EE2">
              <w:lastRenderedPageBreak/>
              <w:t>Užsienio reikalų ministerija</w:t>
            </w:r>
          </w:p>
        </w:tc>
      </w:tr>
      <w:tr w:rsidR="00524FF2" w:rsidRPr="00461EE2" w14:paraId="75B15536" w14:textId="77777777" w:rsidTr="00433EBD">
        <w:trPr>
          <w:trHeight w:val="488"/>
        </w:trPr>
        <w:tc>
          <w:tcPr>
            <w:tcW w:w="14631" w:type="dxa"/>
            <w:gridSpan w:val="6"/>
            <w:tcBorders>
              <w:top w:val="single" w:sz="4" w:space="0" w:color="auto"/>
              <w:left w:val="single" w:sz="4" w:space="0" w:color="auto"/>
              <w:bottom w:val="single" w:sz="4" w:space="0" w:color="auto"/>
              <w:right w:val="single" w:sz="4" w:space="0" w:color="auto"/>
            </w:tcBorders>
          </w:tcPr>
          <w:p w14:paraId="0726C71D" w14:textId="77777777" w:rsidR="00524FF2" w:rsidRPr="00461EE2" w:rsidRDefault="00524FF2" w:rsidP="00F5258E">
            <w:pPr>
              <w:pStyle w:val="Heading9"/>
              <w:ind w:left="34"/>
              <w:jc w:val="left"/>
              <w:rPr>
                <w:bCs w:val="0"/>
                <w:color w:val="000000" w:themeColor="text1"/>
                <w:sz w:val="24"/>
              </w:rPr>
            </w:pPr>
            <w:r w:rsidRPr="00461EE2">
              <w:rPr>
                <w:bCs w:val="0"/>
                <w:color w:val="000000" w:themeColor="text1"/>
                <w:sz w:val="24"/>
              </w:rPr>
              <w:lastRenderedPageBreak/>
              <w:t>Europinės gyvensenos propagavimas</w:t>
            </w:r>
          </w:p>
        </w:tc>
      </w:tr>
      <w:tr w:rsidR="00082332" w:rsidRPr="00461EE2" w14:paraId="7A029458"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2F1EE2DE" w14:textId="77777777" w:rsidR="00082332" w:rsidRPr="00461EE2" w:rsidRDefault="00082332" w:rsidP="00082332">
            <w:pPr>
              <w:pStyle w:val="Heading9"/>
              <w:jc w:val="left"/>
              <w:rPr>
                <w:b w:val="0"/>
                <w:bCs w:val="0"/>
                <w:color w:val="000000" w:themeColor="text1"/>
                <w:sz w:val="24"/>
              </w:rPr>
            </w:pPr>
            <w:r w:rsidRPr="00461EE2">
              <w:rPr>
                <w:b w:val="0"/>
                <w:bCs w:val="0"/>
                <w:color w:val="000000" w:themeColor="text1"/>
                <w:sz w:val="24"/>
              </w:rPr>
              <w:t>24</w:t>
            </w:r>
          </w:p>
        </w:tc>
        <w:tc>
          <w:tcPr>
            <w:tcW w:w="1950" w:type="dxa"/>
            <w:gridSpan w:val="2"/>
            <w:tcBorders>
              <w:top w:val="single" w:sz="4" w:space="0" w:color="auto"/>
              <w:left w:val="single" w:sz="4" w:space="0" w:color="auto"/>
              <w:bottom w:val="single" w:sz="4" w:space="0" w:color="auto"/>
              <w:right w:val="single" w:sz="4" w:space="0" w:color="auto"/>
            </w:tcBorders>
          </w:tcPr>
          <w:p w14:paraId="4EF22801" w14:textId="77777777" w:rsidR="00082332" w:rsidRPr="00461EE2" w:rsidRDefault="00082332" w:rsidP="00082332">
            <w:pPr>
              <w:autoSpaceDE w:val="0"/>
              <w:autoSpaceDN w:val="0"/>
              <w:adjustRightInd w:val="0"/>
              <w:jc w:val="both"/>
              <w:rPr>
                <w:b/>
              </w:rPr>
            </w:pPr>
            <w:r w:rsidRPr="00461EE2">
              <w:rPr>
                <w:b/>
              </w:rPr>
              <w:t>Europos priežiūros strategija</w:t>
            </w:r>
          </w:p>
        </w:tc>
        <w:tc>
          <w:tcPr>
            <w:tcW w:w="4394" w:type="dxa"/>
            <w:tcBorders>
              <w:top w:val="single" w:sz="4" w:space="0" w:color="auto"/>
              <w:left w:val="single" w:sz="4" w:space="0" w:color="auto"/>
              <w:bottom w:val="single" w:sz="4" w:space="0" w:color="auto"/>
              <w:right w:val="single" w:sz="4" w:space="0" w:color="auto"/>
            </w:tcBorders>
          </w:tcPr>
          <w:p w14:paraId="3AF58189" w14:textId="77777777" w:rsidR="00936685" w:rsidRPr="00461EE2" w:rsidRDefault="00936685" w:rsidP="00936685">
            <w:pPr>
              <w:pStyle w:val="Default"/>
              <w:jc w:val="both"/>
              <w:rPr>
                <w:sz w:val="20"/>
                <w:szCs w:val="20"/>
                <w:lang w:val="lt-LT"/>
              </w:rPr>
            </w:pPr>
            <w:r w:rsidRPr="00461EE2">
              <w:rPr>
                <w:b/>
                <w:bCs/>
                <w:sz w:val="20"/>
                <w:szCs w:val="20"/>
                <w:lang w:val="lt-LT"/>
              </w:rPr>
              <w:t xml:space="preserve">Europos priežiūros strategija. Komunikatas dėl Europos priežiūros strategijos, prie kurio pridedama Barselonos tikslų peržiūra ir pasiūlymas dėl Tarybos rekomendacijos dėl ilgalaikės priežiūros </w:t>
            </w:r>
            <w:r w:rsidRPr="00461EE2">
              <w:rPr>
                <w:sz w:val="20"/>
                <w:szCs w:val="20"/>
                <w:lang w:val="lt-LT"/>
              </w:rPr>
              <w:t xml:space="preserve">(ne teisėkūros procedūra priimamas aktas, 2022 m. III ketv.) </w:t>
            </w:r>
          </w:p>
          <w:p w14:paraId="77773012" w14:textId="77777777" w:rsidR="00936685" w:rsidRPr="00461EE2" w:rsidRDefault="00936685" w:rsidP="00082332">
            <w:pPr>
              <w:spacing w:after="160" w:line="252" w:lineRule="auto"/>
              <w:jc w:val="both"/>
              <w:rPr>
                <w:rFonts w:eastAsia="Calibri"/>
              </w:rPr>
            </w:pPr>
          </w:p>
          <w:p w14:paraId="327C116F" w14:textId="77777777" w:rsidR="00082332" w:rsidRPr="00461EE2" w:rsidRDefault="00082332" w:rsidP="00082332">
            <w:pPr>
              <w:spacing w:after="160" w:line="252" w:lineRule="auto"/>
              <w:jc w:val="both"/>
              <w:rPr>
                <w:rFonts w:eastAsia="Calibri"/>
              </w:rPr>
            </w:pPr>
            <w:r w:rsidRPr="00461EE2">
              <w:rPr>
                <w:rFonts w:eastAsia="Calibri"/>
              </w:rPr>
              <w:t>Atsižvelgiant į COVID-19 pandemijos išmoktas pamokas, K</w:t>
            </w:r>
            <w:r w:rsidR="00C31105">
              <w:rPr>
                <w:rFonts w:eastAsia="Calibri"/>
              </w:rPr>
              <w:t>omisija</w:t>
            </w:r>
            <w:r w:rsidRPr="00461EE2">
              <w:rPr>
                <w:rFonts w:eastAsia="Calibri"/>
              </w:rPr>
              <w:t xml:space="preserve"> pateiks </w:t>
            </w:r>
            <w:r w:rsidRPr="00461EE2">
              <w:rPr>
                <w:rFonts w:eastAsia="Calibri"/>
                <w:bCs/>
              </w:rPr>
              <w:t>ES priežiūros strategiją</w:t>
            </w:r>
            <w:r w:rsidRPr="00461EE2">
              <w:rPr>
                <w:rFonts w:eastAsia="Calibri"/>
              </w:rPr>
              <w:t>, kuri skirta tiek priežiūrą suteikiantiems asmenims, tiek ją gaunantiems, įskaitant vaikų ir ilgalaikę priežiūrą. Strategija nubrėš politikos reformų sistemą, padėsiančią kurti tvarią ilgalaikę priežiūrą, visiems užtikrinant geresnę prieigą prie kokybiškų paslaugų. Ji taip pat bus skirta vaikų švietimui ir priežiūrai, ypatingą dėmesį skiriant vaikams su negalia ir vaikams iš nepalankioje padėtyje esančių grupių. Strategija taip pat padės panaikinti lyčių užimtumo skirtumus, prisidėti prie lyčių lygybės.</w:t>
            </w:r>
          </w:p>
          <w:p w14:paraId="5CB5A291" w14:textId="77777777" w:rsidR="00082332" w:rsidRPr="00461EE2" w:rsidRDefault="00082332" w:rsidP="00082332">
            <w:pPr>
              <w:spacing w:after="160" w:line="252" w:lineRule="auto"/>
              <w:jc w:val="both"/>
            </w:pPr>
            <w:r w:rsidRPr="00461EE2">
              <w:rPr>
                <w:rFonts w:eastAsia="Calibri"/>
              </w:rPr>
              <w:t xml:space="preserve">Strategiją apims komunikatas dėl ES priežiūros strategijos, kartu su Barselonos tikslų peržiūra ir rekomendacija dėl ilgalaikės priežiūros. </w:t>
            </w:r>
          </w:p>
        </w:tc>
        <w:tc>
          <w:tcPr>
            <w:tcW w:w="6096" w:type="dxa"/>
            <w:tcBorders>
              <w:top w:val="single" w:sz="4" w:space="0" w:color="auto"/>
              <w:left w:val="single" w:sz="4" w:space="0" w:color="auto"/>
              <w:bottom w:val="single" w:sz="4" w:space="0" w:color="auto"/>
              <w:right w:val="single" w:sz="4" w:space="0" w:color="auto"/>
            </w:tcBorders>
          </w:tcPr>
          <w:p w14:paraId="3F2A8D50" w14:textId="77777777" w:rsidR="00082332" w:rsidRPr="00461EE2" w:rsidRDefault="00082332" w:rsidP="00082332">
            <w:pPr>
              <w:spacing w:line="252" w:lineRule="auto"/>
              <w:jc w:val="both"/>
              <w:rPr>
                <w:b/>
              </w:rPr>
            </w:pPr>
            <w:r w:rsidRPr="00461EE2">
              <w:rPr>
                <w:b/>
              </w:rPr>
              <w:t>Aktualu</w:t>
            </w:r>
          </w:p>
          <w:p w14:paraId="5E7BFA78" w14:textId="77777777" w:rsidR="003B0F00" w:rsidRDefault="003B0F00" w:rsidP="003B0F00">
            <w:pPr>
              <w:spacing w:line="252" w:lineRule="auto"/>
              <w:jc w:val="both"/>
            </w:pPr>
            <w:r>
              <w:t>Lietuva pritaria ES priežiūros politikos stiprinimui. COVID-19 krizė atskleidė nemokomo priežiūros darbo naštą tenkančią moterims. Vienodesnis pasidalinimas priežiūros pareigomis namuose, gali reikšmingai prisidėti užtikrinant lyčių lygybę. Manome, kad itin svarbus konkurencingas mokamo darbo užmokesčio užtikrinimas su globa bei slauga susijusiose profesijose, kuriose daugiau dominuoja moterys.</w:t>
            </w:r>
          </w:p>
          <w:p w14:paraId="5544C793" w14:textId="77777777" w:rsidR="003B0F00" w:rsidRDefault="003B0F00" w:rsidP="003B0F00">
            <w:pPr>
              <w:spacing w:line="252" w:lineRule="auto"/>
              <w:jc w:val="both"/>
            </w:pPr>
          </w:p>
          <w:p w14:paraId="4AA94784" w14:textId="77777777" w:rsidR="00082332" w:rsidRPr="00461EE2" w:rsidRDefault="003B0F00" w:rsidP="003B0F00">
            <w:pPr>
              <w:jc w:val="both"/>
            </w:pPr>
            <w:r>
              <w:t>Svarbu užtikrinti galimybę asmenims (šeimoms), kurių savarankiškumas  dėl amžiaus, negalios ar kitų nepalankių aplinkybių yra ribotas, gauti  savo namuose ilgalaikę priežiūrą, apimančią socialines, sveikatos ir ugdymo paslaugas ir teikiamą pagal asmens (šeimos) individualius poreikius. Šias paslaugas teikiantiems darbuotojams turi būti sudarytos sąlygos teikti koordinuotą  kompleksinę pagalbą, aprūpinant juos reikiamomis darbo, transporto ir apsaugos priemonėmis, užtikrinant galimybes jų kvalifikacijos tobulinimui</w:t>
            </w:r>
          </w:p>
        </w:tc>
        <w:tc>
          <w:tcPr>
            <w:tcW w:w="1560" w:type="dxa"/>
            <w:tcBorders>
              <w:top w:val="single" w:sz="4" w:space="0" w:color="auto"/>
              <w:left w:val="single" w:sz="4" w:space="0" w:color="auto"/>
              <w:bottom w:val="single" w:sz="4" w:space="0" w:color="auto"/>
              <w:right w:val="single" w:sz="4" w:space="0" w:color="auto"/>
            </w:tcBorders>
          </w:tcPr>
          <w:p w14:paraId="5B29691F" w14:textId="03B9B1C4" w:rsidR="00082332" w:rsidRDefault="00082332" w:rsidP="00082332">
            <w:pPr>
              <w:jc w:val="both"/>
            </w:pPr>
            <w:r w:rsidRPr="00461EE2">
              <w:t>Socialinės apsaugos ir darbo ministerija</w:t>
            </w:r>
          </w:p>
          <w:p w14:paraId="5EB29FC1" w14:textId="2970A1B1" w:rsidR="003B0F00" w:rsidRPr="00CF04E7" w:rsidRDefault="00AB6D95" w:rsidP="003B0F00">
            <w:pPr>
              <w:jc w:val="both"/>
            </w:pPr>
            <w:r>
              <w:t xml:space="preserve">Švietimo, </w:t>
            </w:r>
            <w:r w:rsidR="003B0F00" w:rsidRPr="00CF04E7">
              <w:t>mokslo ir sporto ministerija</w:t>
            </w:r>
          </w:p>
          <w:p w14:paraId="05A7929F" w14:textId="77777777" w:rsidR="003B0F00" w:rsidRDefault="003B0F00" w:rsidP="003B0F00">
            <w:pPr>
              <w:jc w:val="both"/>
            </w:pPr>
            <w:r w:rsidRPr="00CF04E7">
              <w:t>Sveikatos apsaugos ministerija</w:t>
            </w:r>
          </w:p>
          <w:p w14:paraId="08B099A2" w14:textId="77777777" w:rsidR="003B0F00" w:rsidRPr="00461EE2" w:rsidRDefault="003B0F00" w:rsidP="00082332">
            <w:pPr>
              <w:jc w:val="both"/>
            </w:pPr>
          </w:p>
        </w:tc>
      </w:tr>
      <w:tr w:rsidR="00AD1444" w:rsidRPr="00461EE2" w14:paraId="4FAA6177"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5001F286" w14:textId="77777777" w:rsidR="00AD1444" w:rsidRPr="00461EE2" w:rsidRDefault="00AD1444" w:rsidP="00AD1444">
            <w:r w:rsidRPr="00461EE2">
              <w:lastRenderedPageBreak/>
              <w:t>25</w:t>
            </w:r>
          </w:p>
        </w:tc>
        <w:tc>
          <w:tcPr>
            <w:tcW w:w="1950" w:type="dxa"/>
            <w:gridSpan w:val="2"/>
            <w:tcBorders>
              <w:top w:val="single" w:sz="4" w:space="0" w:color="auto"/>
              <w:left w:val="single" w:sz="4" w:space="0" w:color="auto"/>
              <w:bottom w:val="single" w:sz="4" w:space="0" w:color="auto"/>
              <w:right w:val="single" w:sz="4" w:space="0" w:color="auto"/>
            </w:tcBorders>
          </w:tcPr>
          <w:p w14:paraId="75C1D093" w14:textId="77777777" w:rsidR="00AD1444" w:rsidRPr="00461EE2" w:rsidRDefault="00AD1444" w:rsidP="00AD1444">
            <w:pPr>
              <w:autoSpaceDE w:val="0"/>
              <w:autoSpaceDN w:val="0"/>
              <w:adjustRightInd w:val="0"/>
              <w:jc w:val="both"/>
              <w:rPr>
                <w:b/>
              </w:rPr>
            </w:pPr>
            <w:r w:rsidRPr="00461EE2">
              <w:rPr>
                <w:b/>
              </w:rPr>
              <w:t>Išankstinė informacija apie keleivius (teisėkūros)</w:t>
            </w:r>
          </w:p>
        </w:tc>
        <w:tc>
          <w:tcPr>
            <w:tcW w:w="4394" w:type="dxa"/>
            <w:tcBorders>
              <w:top w:val="single" w:sz="4" w:space="0" w:color="auto"/>
              <w:left w:val="single" w:sz="4" w:space="0" w:color="auto"/>
              <w:bottom w:val="single" w:sz="4" w:space="0" w:color="auto"/>
              <w:right w:val="single" w:sz="4" w:space="0" w:color="auto"/>
            </w:tcBorders>
          </w:tcPr>
          <w:p w14:paraId="276B85B3" w14:textId="77777777" w:rsidR="00936685" w:rsidRPr="00461EE2" w:rsidRDefault="00936685" w:rsidP="00936685">
            <w:pPr>
              <w:pStyle w:val="Default"/>
              <w:jc w:val="both"/>
              <w:rPr>
                <w:sz w:val="20"/>
                <w:szCs w:val="20"/>
                <w:lang w:val="lt-LT"/>
              </w:rPr>
            </w:pPr>
            <w:r w:rsidRPr="00461EE2">
              <w:rPr>
                <w:b/>
                <w:bCs/>
                <w:sz w:val="20"/>
                <w:szCs w:val="20"/>
                <w:lang w:val="lt-LT"/>
              </w:rPr>
              <w:t xml:space="preserve">Vežėjų pareiga iš anksto perduoti informaciją apie keleivius </w:t>
            </w:r>
            <w:r w:rsidRPr="00461EE2">
              <w:rPr>
                <w:sz w:val="20"/>
                <w:szCs w:val="20"/>
                <w:lang w:val="lt-LT"/>
              </w:rPr>
              <w:t xml:space="preserve">(teisėkūros procedūra priimamas aktas, įskaitant poveikio vertinimą, 2022 m. II ketv.) </w:t>
            </w:r>
          </w:p>
          <w:p w14:paraId="62F4E5E3" w14:textId="77777777" w:rsidR="00936685" w:rsidRPr="00461EE2" w:rsidRDefault="00936685" w:rsidP="00AD1444">
            <w:pPr>
              <w:jc w:val="both"/>
              <w:rPr>
                <w:lang w:eastAsia="lt-LT"/>
              </w:rPr>
            </w:pPr>
          </w:p>
          <w:p w14:paraId="682428B4" w14:textId="77777777" w:rsidR="00AD1444" w:rsidRPr="00461EE2" w:rsidRDefault="00AD1444" w:rsidP="00AD1444">
            <w:pPr>
              <w:jc w:val="both"/>
              <w:rPr>
                <w:lang w:eastAsia="lt-LT"/>
              </w:rPr>
            </w:pPr>
            <w:r w:rsidRPr="00461EE2">
              <w:rPr>
                <w:lang w:eastAsia="lt-LT"/>
              </w:rPr>
              <w:t>Išankstinė informacija apie keleivius (API) – per keleivių registraciją oro vežėjų renkami ir kelionės tikslo šalies sienų kontrolės institucijoms siunčiami duomenys. Kol orlaivis yra ore, šios institucijos gali patikrinti keleivius, o susirūpinimą keliantiems keleiviams skirti daugiau laiko. Tokie duomenys taip pat gali būti naudojami teisėsaugos tikslais, įskaitant kovą su organizuotu nusikalstamumu ir terorizmu. Šia iniciatyva bus panaikinta dabartinė API direktyva pakeičiant ją naujomis taisyklėmis, skirtomis užtikrinti, kad API duomenys visoje ES būtų tvarkomi vienodai.</w:t>
            </w:r>
          </w:p>
        </w:tc>
        <w:tc>
          <w:tcPr>
            <w:tcW w:w="6096" w:type="dxa"/>
            <w:tcBorders>
              <w:top w:val="single" w:sz="4" w:space="0" w:color="auto"/>
              <w:left w:val="single" w:sz="4" w:space="0" w:color="auto"/>
              <w:bottom w:val="single" w:sz="4" w:space="0" w:color="auto"/>
              <w:right w:val="single" w:sz="4" w:space="0" w:color="auto"/>
            </w:tcBorders>
          </w:tcPr>
          <w:p w14:paraId="4E3A692A" w14:textId="77777777" w:rsidR="00C31105" w:rsidRDefault="00AD1444" w:rsidP="00C31105">
            <w:pPr>
              <w:jc w:val="both"/>
              <w:rPr>
                <w:b/>
              </w:rPr>
            </w:pPr>
            <w:r w:rsidRPr="00461EE2">
              <w:rPr>
                <w:b/>
              </w:rPr>
              <w:t>Aktualu</w:t>
            </w:r>
          </w:p>
          <w:p w14:paraId="31E1600D" w14:textId="77777777" w:rsidR="00AD1444" w:rsidRPr="00461EE2" w:rsidRDefault="00AD1444" w:rsidP="00C31105">
            <w:pPr>
              <w:jc w:val="both"/>
              <w:rPr>
                <w:b/>
              </w:rPr>
            </w:pPr>
            <w:r w:rsidRPr="00461EE2">
              <w:t>API direktyvos peržiūra padės užtikrinti veiksmingą API duomenų tvarkymą bei suderinamumą su kitais ES instrumentais - naujomis pažangiomis ES sienų valdymo priemonėmis, palengvinti ir padidinti patikrinimų kertant sieną veiksmingumą, nedarant neigiamo poveikio laukimo eilėse laikui sienos perėjimo punktuose. Kalbant apie teisėsaugos tikslus, naujos taisyklės padėtų suderinti ir palengvinti prieigą prie API duomenų bei jų naudojimą teisėsaugos tikslais ir kartu užtikrinti tinkamas tokių duomenų apsaugos priemones.</w:t>
            </w:r>
          </w:p>
        </w:tc>
        <w:tc>
          <w:tcPr>
            <w:tcW w:w="1560" w:type="dxa"/>
            <w:tcBorders>
              <w:top w:val="single" w:sz="4" w:space="0" w:color="auto"/>
              <w:left w:val="single" w:sz="4" w:space="0" w:color="auto"/>
              <w:bottom w:val="single" w:sz="4" w:space="0" w:color="auto"/>
              <w:right w:val="single" w:sz="4" w:space="0" w:color="auto"/>
            </w:tcBorders>
          </w:tcPr>
          <w:p w14:paraId="2E2EACDD" w14:textId="77777777" w:rsidR="00AD1444" w:rsidRPr="00461EE2" w:rsidRDefault="00AD1444" w:rsidP="00AD1444">
            <w:pPr>
              <w:jc w:val="both"/>
            </w:pPr>
            <w:r w:rsidRPr="00461EE2">
              <w:t xml:space="preserve">Vidaus reikalų ministerija </w:t>
            </w:r>
          </w:p>
        </w:tc>
      </w:tr>
      <w:tr w:rsidR="00AD1444" w:rsidRPr="00461EE2" w14:paraId="1DE225ED"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566A017F" w14:textId="77777777" w:rsidR="00AD1444" w:rsidRPr="00461EE2" w:rsidRDefault="00AD1444" w:rsidP="00AD1444">
            <w:pPr>
              <w:pStyle w:val="Heading9"/>
              <w:jc w:val="left"/>
              <w:rPr>
                <w:b w:val="0"/>
                <w:bCs w:val="0"/>
                <w:color w:val="000000" w:themeColor="text1"/>
                <w:sz w:val="24"/>
              </w:rPr>
            </w:pPr>
            <w:r w:rsidRPr="00461EE2">
              <w:rPr>
                <w:b w:val="0"/>
                <w:bCs w:val="0"/>
                <w:color w:val="000000" w:themeColor="text1"/>
                <w:sz w:val="24"/>
              </w:rPr>
              <w:lastRenderedPageBreak/>
              <w:t>26</w:t>
            </w:r>
          </w:p>
        </w:tc>
        <w:tc>
          <w:tcPr>
            <w:tcW w:w="1950" w:type="dxa"/>
            <w:gridSpan w:val="2"/>
            <w:tcBorders>
              <w:top w:val="single" w:sz="4" w:space="0" w:color="auto"/>
              <w:left w:val="single" w:sz="4" w:space="0" w:color="auto"/>
              <w:bottom w:val="single" w:sz="4" w:space="0" w:color="auto"/>
              <w:right w:val="single" w:sz="4" w:space="0" w:color="auto"/>
            </w:tcBorders>
          </w:tcPr>
          <w:p w14:paraId="3BC85B39" w14:textId="77777777" w:rsidR="00AD1444" w:rsidRPr="00461EE2" w:rsidRDefault="00AD1444" w:rsidP="00AD1444">
            <w:pPr>
              <w:autoSpaceDE w:val="0"/>
              <w:autoSpaceDN w:val="0"/>
              <w:adjustRightInd w:val="0"/>
              <w:rPr>
                <w:b/>
              </w:rPr>
            </w:pPr>
            <w:r w:rsidRPr="00461EE2">
              <w:rPr>
                <w:b/>
              </w:rPr>
              <w:t>Abipusė prieiga prie informacijos, susijusios su saugumu (teisėkūros)</w:t>
            </w:r>
          </w:p>
        </w:tc>
        <w:tc>
          <w:tcPr>
            <w:tcW w:w="4394" w:type="dxa"/>
            <w:tcBorders>
              <w:top w:val="single" w:sz="4" w:space="0" w:color="auto"/>
              <w:left w:val="single" w:sz="4" w:space="0" w:color="auto"/>
              <w:bottom w:val="single" w:sz="4" w:space="0" w:color="auto"/>
              <w:right w:val="single" w:sz="4" w:space="0" w:color="auto"/>
            </w:tcBorders>
          </w:tcPr>
          <w:p w14:paraId="10607DBD" w14:textId="77777777" w:rsidR="00936685" w:rsidRPr="00461EE2" w:rsidRDefault="00936685" w:rsidP="00936685">
            <w:pPr>
              <w:pStyle w:val="Default"/>
              <w:jc w:val="both"/>
              <w:rPr>
                <w:sz w:val="20"/>
                <w:szCs w:val="20"/>
                <w:lang w:val="lt-LT"/>
              </w:rPr>
            </w:pPr>
            <w:r w:rsidRPr="00461EE2">
              <w:rPr>
                <w:b/>
                <w:bCs/>
                <w:sz w:val="20"/>
                <w:szCs w:val="20"/>
                <w:lang w:val="lt-LT"/>
              </w:rPr>
              <w:t xml:space="preserve">ES ir pagrindinių trečiųjų šalių pirminės grandies pareigūnų abipusės prieigos prie su saugumu susijusios informacijos siekiant kovoti su bendromis grėsmėmis saugumui sistema </w:t>
            </w:r>
            <w:r w:rsidRPr="00461EE2">
              <w:rPr>
                <w:sz w:val="20"/>
                <w:szCs w:val="20"/>
                <w:lang w:val="lt-LT"/>
              </w:rPr>
              <w:t xml:space="preserve">(teisėkūros procedūra priimamas aktas, įskaitant poveikio vertinimą, 2022 m. IV ketv.) </w:t>
            </w:r>
          </w:p>
          <w:p w14:paraId="60C481F1" w14:textId="77777777" w:rsidR="00936685" w:rsidRPr="00461EE2" w:rsidRDefault="00936685" w:rsidP="00AD1444">
            <w:pPr>
              <w:jc w:val="both"/>
            </w:pPr>
          </w:p>
          <w:p w14:paraId="6DB9E2EC" w14:textId="77777777" w:rsidR="00AD1444" w:rsidRPr="00461EE2" w:rsidRDefault="00AD1444" w:rsidP="00AD1444">
            <w:pPr>
              <w:jc w:val="both"/>
            </w:pPr>
            <w:r w:rsidRPr="00461EE2">
              <w:t>Europos Komisija pateiks teisėkūros pasiūlymą dėl schemos, skirtos užtikrinti ES ir svarbių trečiųjų šalių pirminės grandies pareigūnų abipusę prieigą prie su saugumu susijusios informacijos, taip siekiant efektyviau kovoti su bendromis grėsmėmis saugumui.</w:t>
            </w:r>
          </w:p>
        </w:tc>
        <w:tc>
          <w:tcPr>
            <w:tcW w:w="6096" w:type="dxa"/>
            <w:tcBorders>
              <w:top w:val="single" w:sz="4" w:space="0" w:color="auto"/>
              <w:left w:val="single" w:sz="4" w:space="0" w:color="auto"/>
              <w:bottom w:val="single" w:sz="4" w:space="0" w:color="auto"/>
              <w:right w:val="single" w:sz="4" w:space="0" w:color="auto"/>
            </w:tcBorders>
          </w:tcPr>
          <w:p w14:paraId="0F4378EA" w14:textId="77777777" w:rsidR="00C31105" w:rsidRDefault="00AD1444" w:rsidP="00AD1444">
            <w:pPr>
              <w:jc w:val="both"/>
              <w:rPr>
                <w:b/>
              </w:rPr>
            </w:pPr>
            <w:r w:rsidRPr="00461EE2">
              <w:rPr>
                <w:b/>
              </w:rPr>
              <w:t>Aktualu</w:t>
            </w:r>
          </w:p>
          <w:p w14:paraId="2A82622E" w14:textId="77777777" w:rsidR="00AD1444" w:rsidRPr="00461EE2" w:rsidRDefault="00AD1444" w:rsidP="00AD1444">
            <w:pPr>
              <w:jc w:val="both"/>
              <w:rPr>
                <w:b/>
              </w:rPr>
            </w:pPr>
            <w:r w:rsidRPr="00461EE2">
              <w:t>Bendradarbiavimo ir operatyvus keitimosi informacija su patikimais partneriais trečiosiose šalyse stiprinimas yra svarbus siekiant efektyviai kovoti su tarptautiniu organizuotu nusikalstamumu ir terorizmu, laiku identifikuoti ir užkirsti tarptautinio pobūdžio saugumo grėsmes.</w:t>
            </w:r>
          </w:p>
        </w:tc>
        <w:tc>
          <w:tcPr>
            <w:tcW w:w="1560" w:type="dxa"/>
            <w:tcBorders>
              <w:top w:val="single" w:sz="4" w:space="0" w:color="auto"/>
              <w:left w:val="single" w:sz="4" w:space="0" w:color="auto"/>
              <w:bottom w:val="single" w:sz="4" w:space="0" w:color="auto"/>
              <w:right w:val="single" w:sz="4" w:space="0" w:color="auto"/>
            </w:tcBorders>
          </w:tcPr>
          <w:p w14:paraId="66FD48E3" w14:textId="4E994EC8" w:rsidR="00AD1444" w:rsidRPr="00461EE2" w:rsidRDefault="00AD1444" w:rsidP="000A41CF">
            <w:r w:rsidRPr="00461EE2">
              <w:t xml:space="preserve">Vidaus reikalų ministerija </w:t>
            </w:r>
          </w:p>
        </w:tc>
      </w:tr>
      <w:tr w:rsidR="009517EC" w:rsidRPr="00461EE2" w14:paraId="4C9AB35D"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07D5B970" w14:textId="77777777" w:rsidR="009517EC" w:rsidRPr="00461EE2" w:rsidRDefault="009517EC" w:rsidP="009517EC">
            <w:pPr>
              <w:jc w:val="both"/>
            </w:pPr>
            <w:r w:rsidRPr="00461EE2">
              <w:t>27</w:t>
            </w:r>
          </w:p>
        </w:tc>
        <w:tc>
          <w:tcPr>
            <w:tcW w:w="1950" w:type="dxa"/>
            <w:gridSpan w:val="2"/>
            <w:tcBorders>
              <w:top w:val="single" w:sz="4" w:space="0" w:color="auto"/>
              <w:left w:val="single" w:sz="4" w:space="0" w:color="auto"/>
              <w:bottom w:val="single" w:sz="4" w:space="0" w:color="auto"/>
              <w:right w:val="single" w:sz="4" w:space="0" w:color="auto"/>
            </w:tcBorders>
          </w:tcPr>
          <w:p w14:paraId="2D37A3FA" w14:textId="77777777" w:rsidR="009517EC" w:rsidRPr="00461EE2" w:rsidRDefault="009517EC" w:rsidP="009517EC">
            <w:pPr>
              <w:rPr>
                <w:b/>
              </w:rPr>
            </w:pPr>
            <w:r w:rsidRPr="00461EE2">
              <w:rPr>
                <w:b/>
              </w:rPr>
              <w:t>Vėžio patikra</w:t>
            </w:r>
          </w:p>
        </w:tc>
        <w:tc>
          <w:tcPr>
            <w:tcW w:w="4394" w:type="dxa"/>
            <w:tcBorders>
              <w:top w:val="single" w:sz="4" w:space="0" w:color="auto"/>
              <w:left w:val="single" w:sz="4" w:space="0" w:color="auto"/>
              <w:bottom w:val="single" w:sz="4" w:space="0" w:color="auto"/>
              <w:right w:val="single" w:sz="4" w:space="0" w:color="auto"/>
            </w:tcBorders>
          </w:tcPr>
          <w:p w14:paraId="4A9A80B1" w14:textId="77777777" w:rsidR="00936685" w:rsidRPr="00461EE2" w:rsidRDefault="00936685" w:rsidP="00936685">
            <w:pPr>
              <w:pStyle w:val="Default"/>
              <w:jc w:val="both"/>
              <w:rPr>
                <w:sz w:val="20"/>
                <w:szCs w:val="20"/>
                <w:lang w:val="lt-LT"/>
              </w:rPr>
            </w:pPr>
            <w:r w:rsidRPr="00461EE2">
              <w:rPr>
                <w:b/>
                <w:bCs/>
                <w:sz w:val="20"/>
                <w:szCs w:val="20"/>
                <w:lang w:val="lt-LT"/>
              </w:rPr>
              <w:t xml:space="preserve">Rekomendacijos dėl vėžio atrankinės patikros atnaujinimas </w:t>
            </w:r>
            <w:r w:rsidRPr="00461EE2">
              <w:rPr>
                <w:sz w:val="20"/>
                <w:szCs w:val="20"/>
                <w:lang w:val="lt-LT"/>
              </w:rPr>
              <w:t xml:space="preserve">(ne teisėkūros procedūra priimamas aktas, 2022 m. III ketv.) </w:t>
            </w:r>
          </w:p>
          <w:p w14:paraId="2447DC18" w14:textId="77777777" w:rsidR="00936685" w:rsidRPr="00461EE2" w:rsidRDefault="00936685" w:rsidP="009517EC">
            <w:pPr>
              <w:autoSpaceDE w:val="0"/>
              <w:autoSpaceDN w:val="0"/>
              <w:adjustRightInd w:val="0"/>
              <w:jc w:val="both"/>
            </w:pPr>
          </w:p>
          <w:p w14:paraId="73D35DBB" w14:textId="77777777" w:rsidR="009517EC" w:rsidRPr="00461EE2" w:rsidRDefault="00CA57D3" w:rsidP="009517EC">
            <w:pPr>
              <w:autoSpaceDE w:val="0"/>
              <w:autoSpaceDN w:val="0"/>
              <w:adjustRightInd w:val="0"/>
              <w:jc w:val="both"/>
            </w:pPr>
            <w:r w:rsidRPr="00CA57D3">
              <w:t>Gyvybes gelbstinčios vėžio patikros ir ankstyva diagnostika bus dar labiau sustiprintos, EK pateikus Rekomendaciją dėl vėžio patikros. Ji atspindės naujausius turimus mokslinius įrodymus ir yra Europos kovos su vėžiu plano dalis.</w:t>
            </w:r>
          </w:p>
        </w:tc>
        <w:tc>
          <w:tcPr>
            <w:tcW w:w="6096" w:type="dxa"/>
            <w:tcBorders>
              <w:top w:val="single" w:sz="4" w:space="0" w:color="auto"/>
              <w:left w:val="single" w:sz="4" w:space="0" w:color="auto"/>
              <w:bottom w:val="single" w:sz="4" w:space="0" w:color="auto"/>
              <w:right w:val="single" w:sz="4" w:space="0" w:color="auto"/>
            </w:tcBorders>
          </w:tcPr>
          <w:p w14:paraId="0EBFC70C" w14:textId="77777777" w:rsidR="009517EC" w:rsidRPr="00461EE2" w:rsidRDefault="009517EC" w:rsidP="009517EC">
            <w:pPr>
              <w:jc w:val="both"/>
              <w:rPr>
                <w:b/>
              </w:rPr>
            </w:pPr>
            <w:r w:rsidRPr="00461EE2">
              <w:rPr>
                <w:b/>
              </w:rPr>
              <w:t xml:space="preserve">Aktualu </w:t>
            </w:r>
          </w:p>
          <w:p w14:paraId="6E43D16D" w14:textId="77777777" w:rsidR="00CA57D3" w:rsidRDefault="00CA57D3" w:rsidP="00CA57D3">
            <w:pPr>
              <w:jc w:val="both"/>
            </w:pPr>
            <w:r>
              <w:t>Pritariame, kad svarbu stiprinti ankstyvąją vėžio diagnostiką, organizuoti pakankamą gyventojų dalyvavimą patikros programose.</w:t>
            </w:r>
          </w:p>
          <w:p w14:paraId="3AC63A09" w14:textId="77777777" w:rsidR="009517EC" w:rsidRPr="00461EE2" w:rsidRDefault="00CA57D3" w:rsidP="00CA57D3">
            <w:pPr>
              <w:jc w:val="both"/>
            </w:pPr>
            <w:r>
              <w:t xml:space="preserve">Siekiant mažinti Lietuvos gyventojų mirtingumo nuo onkologinių ligų rodiklius, </w:t>
            </w:r>
            <w:r w:rsidRPr="00CA57D3">
              <w:t>būtinas tolesnis paslaugų kokybės gerinimas ir prieinamumo didinimas.</w:t>
            </w:r>
          </w:p>
        </w:tc>
        <w:tc>
          <w:tcPr>
            <w:tcW w:w="1560" w:type="dxa"/>
            <w:tcBorders>
              <w:top w:val="single" w:sz="4" w:space="0" w:color="auto"/>
              <w:left w:val="single" w:sz="4" w:space="0" w:color="auto"/>
              <w:bottom w:val="single" w:sz="4" w:space="0" w:color="auto"/>
              <w:right w:val="single" w:sz="4" w:space="0" w:color="auto"/>
            </w:tcBorders>
          </w:tcPr>
          <w:p w14:paraId="61AD336C" w14:textId="77777777" w:rsidR="009517EC" w:rsidRPr="00461EE2" w:rsidRDefault="009517EC" w:rsidP="009517EC">
            <w:r w:rsidRPr="00461EE2">
              <w:t>Sveikatos apsaugos ministerija</w:t>
            </w:r>
          </w:p>
        </w:tc>
      </w:tr>
      <w:tr w:rsidR="0034696F" w:rsidRPr="00461EE2" w14:paraId="0AD72880" w14:textId="77777777" w:rsidTr="00580499">
        <w:trPr>
          <w:trHeight w:val="1754"/>
        </w:trPr>
        <w:tc>
          <w:tcPr>
            <w:tcW w:w="631" w:type="dxa"/>
            <w:tcBorders>
              <w:top w:val="single" w:sz="4" w:space="0" w:color="auto"/>
              <w:left w:val="single" w:sz="4" w:space="0" w:color="auto"/>
              <w:bottom w:val="single" w:sz="4" w:space="0" w:color="auto"/>
              <w:right w:val="single" w:sz="4" w:space="0" w:color="auto"/>
            </w:tcBorders>
          </w:tcPr>
          <w:p w14:paraId="65DFDDA9" w14:textId="77777777" w:rsidR="0034696F" w:rsidRPr="00461EE2" w:rsidRDefault="0034696F" w:rsidP="0034696F">
            <w:pPr>
              <w:jc w:val="both"/>
            </w:pPr>
            <w:r w:rsidRPr="00461EE2">
              <w:t>28</w:t>
            </w:r>
          </w:p>
        </w:tc>
        <w:tc>
          <w:tcPr>
            <w:tcW w:w="1950" w:type="dxa"/>
            <w:gridSpan w:val="2"/>
            <w:tcBorders>
              <w:top w:val="single" w:sz="4" w:space="0" w:color="auto"/>
              <w:left w:val="single" w:sz="4" w:space="0" w:color="auto"/>
              <w:bottom w:val="single" w:sz="4" w:space="0" w:color="auto"/>
              <w:right w:val="single" w:sz="4" w:space="0" w:color="auto"/>
            </w:tcBorders>
          </w:tcPr>
          <w:p w14:paraId="5847854B" w14:textId="77777777" w:rsidR="0034696F" w:rsidRPr="00461EE2" w:rsidRDefault="0034696F" w:rsidP="0034696F">
            <w:pPr>
              <w:pStyle w:val="Default"/>
              <w:rPr>
                <w:b/>
                <w:lang w:val="lt-LT"/>
              </w:rPr>
            </w:pPr>
            <w:r w:rsidRPr="00461EE2">
              <w:rPr>
                <w:b/>
                <w:lang w:val="lt-LT"/>
              </w:rPr>
              <w:t>Švietimo paketas</w:t>
            </w:r>
          </w:p>
        </w:tc>
        <w:tc>
          <w:tcPr>
            <w:tcW w:w="4394" w:type="dxa"/>
            <w:tcBorders>
              <w:top w:val="single" w:sz="4" w:space="0" w:color="auto"/>
              <w:left w:val="single" w:sz="4" w:space="0" w:color="auto"/>
              <w:bottom w:val="single" w:sz="4" w:space="0" w:color="auto"/>
              <w:right w:val="single" w:sz="4" w:space="0" w:color="auto"/>
            </w:tcBorders>
          </w:tcPr>
          <w:p w14:paraId="4AD17379" w14:textId="77777777" w:rsidR="0034696F" w:rsidRPr="0034696F" w:rsidRDefault="0034696F" w:rsidP="0034696F">
            <w:pPr>
              <w:pStyle w:val="Default"/>
              <w:jc w:val="both"/>
              <w:rPr>
                <w:sz w:val="20"/>
                <w:szCs w:val="20"/>
                <w:lang w:val="lt-LT"/>
              </w:rPr>
            </w:pPr>
            <w:r w:rsidRPr="0034696F">
              <w:rPr>
                <w:sz w:val="20"/>
                <w:szCs w:val="20"/>
                <w:lang w:val="lt-LT"/>
              </w:rPr>
              <w:t xml:space="preserve">a) </w:t>
            </w:r>
            <w:r w:rsidRPr="0034696F">
              <w:rPr>
                <w:b/>
                <w:bCs/>
                <w:sz w:val="20"/>
                <w:szCs w:val="20"/>
                <w:lang w:val="lt-LT"/>
              </w:rPr>
              <w:t xml:space="preserve">Europos universitetų strategija </w:t>
            </w:r>
            <w:r w:rsidRPr="0034696F">
              <w:rPr>
                <w:sz w:val="20"/>
                <w:szCs w:val="20"/>
                <w:lang w:val="lt-LT"/>
              </w:rPr>
              <w:t xml:space="preserve">(ne teisėkūros procedūra priimamas aktas, 2022 m. I ketv.) </w:t>
            </w:r>
          </w:p>
          <w:p w14:paraId="6047D201" w14:textId="77777777" w:rsidR="0034696F" w:rsidRDefault="0034696F" w:rsidP="0034696F">
            <w:pPr>
              <w:pStyle w:val="Default"/>
              <w:jc w:val="both"/>
              <w:rPr>
                <w:b/>
                <w:bCs/>
                <w:sz w:val="20"/>
                <w:szCs w:val="20"/>
                <w:lang w:val="lt-LT"/>
              </w:rPr>
            </w:pPr>
            <w:r w:rsidRPr="0034696F">
              <w:rPr>
                <w:sz w:val="20"/>
                <w:szCs w:val="20"/>
                <w:lang w:val="lt-LT"/>
              </w:rPr>
              <w:t xml:space="preserve">b) </w:t>
            </w:r>
            <w:r w:rsidRPr="0034696F">
              <w:rPr>
                <w:b/>
                <w:bCs/>
                <w:sz w:val="20"/>
                <w:szCs w:val="20"/>
                <w:lang w:val="lt-LT"/>
              </w:rPr>
              <w:t xml:space="preserve">Europos aukštojo mokslo įstaigų ryšių užmezgimas siekiant veiksmingai bendradarbiauti </w:t>
            </w:r>
            <w:r w:rsidRPr="0034696F">
              <w:rPr>
                <w:sz w:val="20"/>
                <w:szCs w:val="20"/>
                <w:lang w:val="lt-LT"/>
              </w:rPr>
              <w:t>(ne teisėkūros procedūra priimamas aktas, 2022 m. I ketv.)</w:t>
            </w:r>
          </w:p>
          <w:p w14:paraId="3E506387" w14:textId="77777777" w:rsidR="0034696F" w:rsidRDefault="0034696F" w:rsidP="0034696F"/>
          <w:p w14:paraId="2D0712DA" w14:textId="77777777" w:rsidR="0034696F" w:rsidRDefault="0034696F" w:rsidP="0034696F"/>
          <w:p w14:paraId="036B02C0" w14:textId="77777777" w:rsidR="0034696F" w:rsidRPr="0034696F" w:rsidRDefault="0034696F" w:rsidP="00EF5E3B">
            <w:pPr>
              <w:jc w:val="both"/>
            </w:pPr>
            <w:r>
              <w:t xml:space="preserve">Komisija pateiks </w:t>
            </w:r>
            <w:r w:rsidRPr="0034696F">
              <w:t>nauj</w:t>
            </w:r>
            <w:r>
              <w:t>ą</w:t>
            </w:r>
            <w:r w:rsidRPr="0034696F">
              <w:t xml:space="preserve"> ES strategij</w:t>
            </w:r>
            <w:r>
              <w:t>ą</w:t>
            </w:r>
            <w:r w:rsidRPr="0034696F">
              <w:t xml:space="preserve"> universitetams, skirt</w:t>
            </w:r>
            <w:r>
              <w:t>ą</w:t>
            </w:r>
            <w:r w:rsidRPr="0034696F">
              <w:t xml:space="preserve"> stiprinti transnacionalinius ryšius aukšto mokslo </w:t>
            </w:r>
            <w:r w:rsidRPr="0034696F">
              <w:lastRenderedPageBreak/>
              <w:t xml:space="preserve">srityje, </w:t>
            </w:r>
            <w:r>
              <w:t>siūlyti</w:t>
            </w:r>
            <w:r w:rsidRPr="0034696F">
              <w:t xml:space="preserve"> naudingas priemones bei tvarias praktikas</w:t>
            </w:r>
            <w:r w:rsidR="00EF5E3B">
              <w:t xml:space="preserve">. </w:t>
            </w:r>
          </w:p>
        </w:tc>
        <w:tc>
          <w:tcPr>
            <w:tcW w:w="6096" w:type="dxa"/>
            <w:tcBorders>
              <w:top w:val="single" w:sz="4" w:space="0" w:color="auto"/>
              <w:left w:val="single" w:sz="4" w:space="0" w:color="auto"/>
              <w:bottom w:val="single" w:sz="4" w:space="0" w:color="auto"/>
              <w:right w:val="single" w:sz="4" w:space="0" w:color="auto"/>
            </w:tcBorders>
            <w:vAlign w:val="center"/>
          </w:tcPr>
          <w:p w14:paraId="3B553327" w14:textId="77777777" w:rsidR="0034696F" w:rsidRPr="00461EE2" w:rsidRDefault="0034696F" w:rsidP="0034696F">
            <w:pPr>
              <w:keepNext/>
              <w:outlineLvl w:val="8"/>
              <w:rPr>
                <w:b/>
                <w:bCs/>
                <w:color w:val="000000" w:themeColor="text1"/>
              </w:rPr>
            </w:pPr>
            <w:r w:rsidRPr="00461EE2">
              <w:rPr>
                <w:b/>
                <w:bCs/>
                <w:color w:val="000000" w:themeColor="text1"/>
              </w:rPr>
              <w:lastRenderedPageBreak/>
              <w:t>Aktualu</w:t>
            </w:r>
          </w:p>
          <w:p w14:paraId="4E9829DF" w14:textId="77777777" w:rsidR="0034696F" w:rsidRPr="00461EE2" w:rsidRDefault="0034696F" w:rsidP="0034696F">
            <w:pPr>
              <w:keepNext/>
              <w:jc w:val="both"/>
              <w:outlineLvl w:val="8"/>
            </w:pPr>
            <w:r w:rsidRPr="00461EE2">
              <w:t xml:space="preserve">Diskusijų, apsikeitimo patirtimi ir įvairių bendradarbiavimo iniciatyvų švietimo srityje yra nemažai, todėl svarbu užtikrinti, kad naujos idėjos kurtų pridėtinę naudą, nedubliuotų esamos praktikos ir nesumažintų VN galios valdyti politikos procesus aukštojo mokslo srityje. </w:t>
            </w:r>
          </w:p>
          <w:p w14:paraId="3E8B2D86" w14:textId="77777777" w:rsidR="0034696F" w:rsidRDefault="0034696F" w:rsidP="0034696F">
            <w:pPr>
              <w:keepNext/>
              <w:jc w:val="both"/>
              <w:outlineLvl w:val="8"/>
            </w:pPr>
          </w:p>
          <w:p w14:paraId="7C5E3B87" w14:textId="77777777" w:rsidR="0034696F" w:rsidRPr="00461EE2" w:rsidRDefault="0034696F" w:rsidP="0034696F">
            <w:pPr>
              <w:keepNext/>
              <w:jc w:val="both"/>
              <w:outlineLvl w:val="8"/>
              <w:rPr>
                <w:b/>
                <w:bCs/>
                <w:color w:val="000000" w:themeColor="text1"/>
              </w:rPr>
            </w:pPr>
            <w:r w:rsidRPr="00461EE2">
              <w:t>Vis dėlto</w:t>
            </w:r>
            <w:r>
              <w:t>,</w:t>
            </w:r>
            <w:r w:rsidRPr="00461EE2">
              <w:t xml:space="preserve"> Lietuva suinteresuota savo universitetų konkurencingumo stiprinimu Europos Sąjungoje ir už jos </w:t>
            </w:r>
            <w:r w:rsidRPr="00461EE2">
              <w:lastRenderedPageBreak/>
              <w:t xml:space="preserve">ribų, todėl tikimės, kad naujoji ES strategija universitetams pasiūlys tvarius instrumentus šiam tikslui siekti. </w:t>
            </w:r>
          </w:p>
          <w:p w14:paraId="461E9FAE" w14:textId="77777777" w:rsidR="0034696F" w:rsidRPr="00461EE2" w:rsidRDefault="0034696F" w:rsidP="0034696F">
            <w:pPr>
              <w:pStyle w:val="CommentText"/>
              <w:jc w:val="both"/>
              <w:rPr>
                <w:rFonts w:ascii="Times New Roman" w:eastAsia="Times New Roman" w:hAnsi="Times New Roman" w:cs="Times New Roman"/>
                <w:b/>
                <w:bCs/>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FE0B6F2" w14:textId="77777777" w:rsidR="0034696F" w:rsidRPr="0034696F" w:rsidRDefault="0034696F" w:rsidP="0034696F">
            <w:pPr>
              <w:keepNext/>
              <w:ind w:left="34" w:hanging="34"/>
              <w:outlineLvl w:val="8"/>
              <w:rPr>
                <w:bCs/>
                <w:color w:val="000000" w:themeColor="text1"/>
              </w:rPr>
            </w:pPr>
            <w:r w:rsidRPr="0034696F">
              <w:rPr>
                <w:bCs/>
                <w:color w:val="000000" w:themeColor="text1"/>
              </w:rPr>
              <w:lastRenderedPageBreak/>
              <w:t>Švietimo ir mokslo ministerija</w:t>
            </w:r>
          </w:p>
        </w:tc>
      </w:tr>
      <w:tr w:rsidR="00524FF2" w:rsidRPr="00461EE2" w14:paraId="653EA682" w14:textId="77777777" w:rsidTr="000656CE">
        <w:trPr>
          <w:trHeight w:val="441"/>
        </w:trPr>
        <w:tc>
          <w:tcPr>
            <w:tcW w:w="14631" w:type="dxa"/>
            <w:gridSpan w:val="6"/>
            <w:tcBorders>
              <w:top w:val="single" w:sz="4" w:space="0" w:color="auto"/>
              <w:left w:val="single" w:sz="4" w:space="0" w:color="auto"/>
              <w:bottom w:val="single" w:sz="4" w:space="0" w:color="auto"/>
              <w:right w:val="single" w:sz="4" w:space="0" w:color="auto"/>
            </w:tcBorders>
          </w:tcPr>
          <w:p w14:paraId="7B396E05" w14:textId="77777777" w:rsidR="00524FF2" w:rsidRPr="00461EE2" w:rsidRDefault="002C4962" w:rsidP="00F5258E">
            <w:pPr>
              <w:pStyle w:val="Heading9"/>
              <w:ind w:left="34"/>
              <w:jc w:val="left"/>
              <w:rPr>
                <w:bCs w:val="0"/>
                <w:color w:val="000000" w:themeColor="text1"/>
                <w:sz w:val="24"/>
              </w:rPr>
            </w:pPr>
            <w:r w:rsidRPr="00461EE2">
              <w:rPr>
                <w:bCs w:val="0"/>
                <w:color w:val="000000" w:themeColor="text1"/>
                <w:sz w:val="24"/>
              </w:rPr>
              <w:lastRenderedPageBreak/>
              <w:t>Naujas postūmis Europos demokratijai</w:t>
            </w:r>
          </w:p>
        </w:tc>
      </w:tr>
      <w:tr w:rsidR="005F077C" w:rsidRPr="00461EE2" w14:paraId="6CC21643"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2F86AA43" w14:textId="77777777" w:rsidR="005F077C" w:rsidRPr="00461EE2" w:rsidRDefault="005F077C" w:rsidP="005F077C">
            <w:pPr>
              <w:pStyle w:val="Heading9"/>
              <w:jc w:val="left"/>
              <w:rPr>
                <w:b w:val="0"/>
                <w:bCs w:val="0"/>
                <w:color w:val="000000" w:themeColor="text1"/>
                <w:sz w:val="24"/>
              </w:rPr>
            </w:pPr>
            <w:r w:rsidRPr="00461EE2">
              <w:rPr>
                <w:b w:val="0"/>
                <w:bCs w:val="0"/>
                <w:color w:val="000000" w:themeColor="text1"/>
                <w:sz w:val="24"/>
              </w:rPr>
              <w:t>29</w:t>
            </w:r>
          </w:p>
        </w:tc>
        <w:tc>
          <w:tcPr>
            <w:tcW w:w="1950" w:type="dxa"/>
            <w:gridSpan w:val="2"/>
            <w:tcBorders>
              <w:top w:val="single" w:sz="4" w:space="0" w:color="auto"/>
              <w:left w:val="single" w:sz="4" w:space="0" w:color="auto"/>
              <w:bottom w:val="single" w:sz="4" w:space="0" w:color="auto"/>
              <w:right w:val="single" w:sz="4" w:space="0" w:color="auto"/>
            </w:tcBorders>
          </w:tcPr>
          <w:p w14:paraId="5C3E886E" w14:textId="77777777" w:rsidR="005F077C" w:rsidRPr="00461EE2" w:rsidRDefault="005F077C" w:rsidP="005F077C">
            <w:pPr>
              <w:autoSpaceDE w:val="0"/>
              <w:autoSpaceDN w:val="0"/>
              <w:adjustRightInd w:val="0"/>
              <w:jc w:val="both"/>
              <w:rPr>
                <w:b/>
              </w:rPr>
            </w:pPr>
            <w:r w:rsidRPr="00461EE2">
              <w:rPr>
                <w:b/>
              </w:rPr>
              <w:t>Žiniasklaidos laisvė</w:t>
            </w:r>
          </w:p>
        </w:tc>
        <w:tc>
          <w:tcPr>
            <w:tcW w:w="4394" w:type="dxa"/>
            <w:tcBorders>
              <w:top w:val="single" w:sz="4" w:space="0" w:color="auto"/>
              <w:left w:val="single" w:sz="4" w:space="0" w:color="auto"/>
              <w:bottom w:val="single" w:sz="4" w:space="0" w:color="auto"/>
              <w:right w:val="single" w:sz="4" w:space="0" w:color="auto"/>
            </w:tcBorders>
          </w:tcPr>
          <w:p w14:paraId="6604D7B9" w14:textId="77777777" w:rsidR="00936685" w:rsidRPr="00461EE2" w:rsidRDefault="00936685" w:rsidP="00936685">
            <w:pPr>
              <w:pStyle w:val="Default"/>
              <w:jc w:val="both"/>
              <w:rPr>
                <w:sz w:val="20"/>
                <w:szCs w:val="20"/>
                <w:lang w:val="lt-LT"/>
              </w:rPr>
            </w:pPr>
            <w:r w:rsidRPr="00461EE2">
              <w:rPr>
                <w:b/>
                <w:bCs/>
                <w:sz w:val="20"/>
                <w:szCs w:val="20"/>
                <w:lang w:val="lt-LT"/>
              </w:rPr>
              <w:t xml:space="preserve">Europos žiniasklaidos laisvės aktas </w:t>
            </w:r>
            <w:r w:rsidRPr="00461EE2">
              <w:rPr>
                <w:sz w:val="20"/>
                <w:szCs w:val="20"/>
                <w:lang w:val="lt-LT"/>
              </w:rPr>
              <w:t xml:space="preserve">(teisėkūros procedūra priimamas aktas, įskaitant poveikio vertinimą, SESV 114 straipsnis, 2022 m. III ketv.) </w:t>
            </w:r>
          </w:p>
          <w:p w14:paraId="62D4C665" w14:textId="77777777" w:rsidR="00936685" w:rsidRPr="00461EE2" w:rsidRDefault="00936685" w:rsidP="005F077C">
            <w:pPr>
              <w:autoSpaceDE w:val="0"/>
              <w:autoSpaceDN w:val="0"/>
              <w:jc w:val="both"/>
              <w:rPr>
                <w:bCs/>
              </w:rPr>
            </w:pPr>
          </w:p>
          <w:p w14:paraId="17CC0A01" w14:textId="77777777" w:rsidR="005F077C" w:rsidRPr="00461EE2" w:rsidRDefault="00DA2D6C" w:rsidP="00C31105">
            <w:pPr>
              <w:autoSpaceDE w:val="0"/>
              <w:autoSpaceDN w:val="0"/>
              <w:jc w:val="both"/>
              <w:rPr>
                <w:bCs/>
              </w:rPr>
            </w:pPr>
            <w:r w:rsidRPr="00DA2D6C">
              <w:rPr>
                <w:bCs/>
              </w:rPr>
              <w:t>Europos Komisija imsis  tolesnių veiksmų, skirtų padidinti skaidrumą, atskaitomybę ir nepriklausomumą, kiek tai susiję su  poveikiu žiniasklaidos laisvei ir pliuralizmui, ir pateiks Europos žiniasklaidos laisvės aktą.</w:t>
            </w:r>
          </w:p>
        </w:tc>
        <w:tc>
          <w:tcPr>
            <w:tcW w:w="6096" w:type="dxa"/>
            <w:tcBorders>
              <w:top w:val="single" w:sz="4" w:space="0" w:color="auto"/>
              <w:left w:val="single" w:sz="4" w:space="0" w:color="auto"/>
              <w:bottom w:val="single" w:sz="4" w:space="0" w:color="auto"/>
              <w:right w:val="single" w:sz="4" w:space="0" w:color="auto"/>
            </w:tcBorders>
          </w:tcPr>
          <w:p w14:paraId="09A87EC4" w14:textId="77777777" w:rsidR="005F077C" w:rsidRDefault="00F84DD8" w:rsidP="005F077C">
            <w:pPr>
              <w:jc w:val="both"/>
              <w:rPr>
                <w:b/>
              </w:rPr>
            </w:pPr>
            <w:r w:rsidRPr="00461EE2">
              <w:rPr>
                <w:b/>
              </w:rPr>
              <w:t>Aktualu</w:t>
            </w:r>
          </w:p>
          <w:p w14:paraId="2013D3BC" w14:textId="77777777" w:rsidR="00DA2D6C" w:rsidRDefault="00DA2D6C" w:rsidP="005F077C">
            <w:pPr>
              <w:jc w:val="both"/>
              <w:rPr>
                <w:b/>
              </w:rPr>
            </w:pPr>
          </w:p>
          <w:p w14:paraId="33AEA56B" w14:textId="73DCC536" w:rsidR="00DA2D6C" w:rsidRPr="00461EE2" w:rsidRDefault="00DA2D6C" w:rsidP="005F077C">
            <w:pPr>
              <w:jc w:val="both"/>
            </w:pPr>
            <w:r w:rsidRPr="00DA2D6C">
              <w:t>Lietuva laiko vertingomis visas inciatyvas, prisidedančias prie informacijos (saviraiškos) laisvės apsaugos, nes ši laisvė yra vienas esminių demokratinės visuomenės pagrindų, viena svarbiausių jos progreso bei kiekvieno individo raidos sąlygų. Kai kuriose ES šalyse nustatoma prastėjanti žiniasklaidos padėtis, did</w:t>
            </w:r>
            <w:r w:rsidR="004F2698">
              <w:t>o</w:t>
            </w:r>
            <w:r w:rsidRPr="00DA2D6C">
              <w:t>ėjanti politikų įtaka žiniasklaidos procesams. Kuriamas teisės aktas turėtų prisidėti prie žiniasklaidos nepriklausomumo geresnio užtikrinimo.</w:t>
            </w:r>
          </w:p>
        </w:tc>
        <w:tc>
          <w:tcPr>
            <w:tcW w:w="1560" w:type="dxa"/>
            <w:tcBorders>
              <w:top w:val="single" w:sz="4" w:space="0" w:color="auto"/>
              <w:left w:val="single" w:sz="4" w:space="0" w:color="auto"/>
              <w:bottom w:val="single" w:sz="4" w:space="0" w:color="auto"/>
              <w:right w:val="single" w:sz="4" w:space="0" w:color="auto"/>
            </w:tcBorders>
          </w:tcPr>
          <w:p w14:paraId="4E0CD6B5" w14:textId="77777777" w:rsidR="00A05FDB" w:rsidRDefault="005F077C" w:rsidP="005F077C">
            <w:pPr>
              <w:jc w:val="both"/>
            </w:pPr>
            <w:r w:rsidRPr="00461EE2">
              <w:t>Kultūros ministerija</w:t>
            </w:r>
          </w:p>
          <w:p w14:paraId="53FEB066" w14:textId="77777777" w:rsidR="00A05FDB" w:rsidRPr="00461EE2" w:rsidRDefault="00A05FDB" w:rsidP="000A41CF">
            <w:pPr>
              <w:jc w:val="both"/>
            </w:pPr>
          </w:p>
        </w:tc>
      </w:tr>
      <w:tr w:rsidR="005F077C" w:rsidRPr="00461EE2" w14:paraId="2612A4E6"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6CDD070B" w14:textId="77777777" w:rsidR="005F077C" w:rsidRPr="00461EE2" w:rsidRDefault="005F077C" w:rsidP="005F077C">
            <w:pPr>
              <w:pStyle w:val="Heading9"/>
              <w:jc w:val="left"/>
              <w:rPr>
                <w:b w:val="0"/>
                <w:bCs w:val="0"/>
                <w:color w:val="000000" w:themeColor="text1"/>
                <w:sz w:val="24"/>
              </w:rPr>
            </w:pPr>
            <w:r w:rsidRPr="00461EE2">
              <w:rPr>
                <w:b w:val="0"/>
                <w:bCs w:val="0"/>
                <w:color w:val="000000" w:themeColor="text1"/>
                <w:sz w:val="24"/>
              </w:rPr>
              <w:t>30</w:t>
            </w:r>
          </w:p>
        </w:tc>
        <w:tc>
          <w:tcPr>
            <w:tcW w:w="1950" w:type="dxa"/>
            <w:gridSpan w:val="2"/>
            <w:tcBorders>
              <w:top w:val="single" w:sz="4" w:space="0" w:color="auto"/>
              <w:left w:val="single" w:sz="4" w:space="0" w:color="auto"/>
              <w:bottom w:val="single" w:sz="4" w:space="0" w:color="auto"/>
              <w:right w:val="single" w:sz="4" w:space="0" w:color="auto"/>
            </w:tcBorders>
          </w:tcPr>
          <w:p w14:paraId="766410D4" w14:textId="77777777" w:rsidR="005F077C" w:rsidRPr="00461EE2" w:rsidRDefault="005F077C" w:rsidP="005F077C">
            <w:pPr>
              <w:autoSpaceDE w:val="0"/>
              <w:autoSpaceDN w:val="0"/>
              <w:adjustRightInd w:val="0"/>
              <w:jc w:val="both"/>
              <w:rPr>
                <w:b/>
              </w:rPr>
            </w:pPr>
            <w:r w:rsidRPr="00461EE2">
              <w:rPr>
                <w:b/>
              </w:rPr>
              <w:t>Baudžiamųjų procedūrų perkėlimas</w:t>
            </w:r>
          </w:p>
        </w:tc>
        <w:tc>
          <w:tcPr>
            <w:tcW w:w="4394" w:type="dxa"/>
            <w:tcBorders>
              <w:top w:val="single" w:sz="4" w:space="0" w:color="auto"/>
              <w:left w:val="single" w:sz="4" w:space="0" w:color="auto"/>
              <w:bottom w:val="single" w:sz="4" w:space="0" w:color="auto"/>
              <w:right w:val="single" w:sz="4" w:space="0" w:color="auto"/>
            </w:tcBorders>
          </w:tcPr>
          <w:p w14:paraId="77E67B24" w14:textId="77777777" w:rsidR="00936685" w:rsidRPr="00461EE2" w:rsidRDefault="00936685" w:rsidP="00936685">
            <w:pPr>
              <w:pStyle w:val="Default"/>
              <w:jc w:val="both"/>
              <w:rPr>
                <w:sz w:val="20"/>
                <w:szCs w:val="20"/>
                <w:lang w:val="lt-LT"/>
              </w:rPr>
            </w:pPr>
            <w:r w:rsidRPr="00461EE2">
              <w:rPr>
                <w:b/>
                <w:bCs/>
                <w:sz w:val="20"/>
                <w:szCs w:val="20"/>
                <w:lang w:val="lt-LT"/>
              </w:rPr>
              <w:t xml:space="preserve">Iniciatyva dėl baudžiamojo proceso perdavimo </w:t>
            </w:r>
            <w:r w:rsidRPr="00461EE2">
              <w:rPr>
                <w:sz w:val="20"/>
                <w:szCs w:val="20"/>
                <w:lang w:val="lt-LT"/>
              </w:rPr>
              <w:t xml:space="preserve">(teisėkūros procedūra priimamas aktas, įskaitant poveikio vertinimą, SESV 82 straipsnio 1 dalis, 2022 m. III ketv.) </w:t>
            </w:r>
          </w:p>
          <w:p w14:paraId="600F0418" w14:textId="77777777" w:rsidR="00936685" w:rsidRPr="00461EE2" w:rsidRDefault="00936685" w:rsidP="005F077C">
            <w:pPr>
              <w:autoSpaceDE w:val="0"/>
              <w:autoSpaceDN w:val="0"/>
              <w:jc w:val="both"/>
            </w:pPr>
          </w:p>
          <w:p w14:paraId="3B1CFBD7" w14:textId="77777777" w:rsidR="005F077C" w:rsidRPr="00461EE2" w:rsidRDefault="005F077C" w:rsidP="005F077C">
            <w:pPr>
              <w:autoSpaceDE w:val="0"/>
              <w:autoSpaceDN w:val="0"/>
              <w:jc w:val="both"/>
            </w:pPr>
            <w:r w:rsidRPr="00461EE2">
              <w:t xml:space="preserve">Siekiant sustiprinti kovą su tarpvalstybiniu nusikalstamumu, Europos Komisija toliau rengs bendrą </w:t>
            </w:r>
            <w:r w:rsidR="006870C6">
              <w:t>veiksmingo baudžiamojo  proceso perdavimo</w:t>
            </w:r>
            <w:r w:rsidRPr="00461EE2">
              <w:t xml:space="preserve"> tarp valstybių narių teisinę sistemą.</w:t>
            </w:r>
          </w:p>
        </w:tc>
        <w:tc>
          <w:tcPr>
            <w:tcW w:w="6096" w:type="dxa"/>
            <w:tcBorders>
              <w:top w:val="single" w:sz="4" w:space="0" w:color="auto"/>
              <w:left w:val="single" w:sz="4" w:space="0" w:color="auto"/>
              <w:bottom w:val="single" w:sz="4" w:space="0" w:color="auto"/>
              <w:right w:val="single" w:sz="4" w:space="0" w:color="auto"/>
            </w:tcBorders>
          </w:tcPr>
          <w:p w14:paraId="61F628E4" w14:textId="77777777" w:rsidR="005F077C" w:rsidRDefault="005F077C" w:rsidP="00F84DD8">
            <w:pPr>
              <w:shd w:val="clear" w:color="auto" w:fill="FFFFFF"/>
              <w:jc w:val="both"/>
              <w:rPr>
                <w:b/>
              </w:rPr>
            </w:pPr>
            <w:r w:rsidRPr="00461EE2">
              <w:rPr>
                <w:b/>
              </w:rPr>
              <w:t>Aktualu</w:t>
            </w:r>
          </w:p>
          <w:p w14:paraId="3B8B9F1A" w14:textId="77777777" w:rsidR="00CE451D" w:rsidRPr="00461EE2" w:rsidRDefault="00CE451D" w:rsidP="00F84DD8">
            <w:pPr>
              <w:shd w:val="clear" w:color="auto" w:fill="FFFFFF"/>
              <w:jc w:val="both"/>
              <w:rPr>
                <w:b/>
              </w:rPr>
            </w:pPr>
            <w:r>
              <w:t>Iniciatyva aktuali, kadangi joje bus aptariami atvejai, kai pagal prašymą baudžiamasis procesas perduodamas iš vienos valstybės narės į kitą, jei kitos valstybės narės teritorijoje buvo padarytas nusikaltimas arba įtariamasis gyvena kitoje valstybėje narėje, arba esminiai nusikaltimo įrodymai yra kitoje valstybėje narėje. Taip pat bus aptariamos ir kitos situacijos, pavyzdžiui: kai kitoje valstybėje narėje pradėtas procesas prieš kaltinamąjį arba tą patį nusikalstamąjį susivienijimą. Šis pasiūlymas sietinas ir su jurisdikcijos taisyklių sukūrimu, suteikiančių valstybei narei kompetenciją persekioti, remiantis jos nacionalinėmis teisės normomis dėl bet kokio nusikaltimo, kuriam buvo taikoma kitos valstybės narės teisė prašymo perduoti baudžiamąjį procesą metu.</w:t>
            </w:r>
          </w:p>
        </w:tc>
        <w:tc>
          <w:tcPr>
            <w:tcW w:w="1560" w:type="dxa"/>
            <w:tcBorders>
              <w:top w:val="single" w:sz="4" w:space="0" w:color="auto"/>
              <w:left w:val="single" w:sz="4" w:space="0" w:color="auto"/>
              <w:bottom w:val="single" w:sz="4" w:space="0" w:color="auto"/>
              <w:right w:val="single" w:sz="4" w:space="0" w:color="auto"/>
            </w:tcBorders>
          </w:tcPr>
          <w:p w14:paraId="76636DFA" w14:textId="64AEC5B1" w:rsidR="00CE451D" w:rsidRDefault="005F077C" w:rsidP="005F077C">
            <w:pPr>
              <w:jc w:val="both"/>
            </w:pPr>
            <w:r w:rsidRPr="00461EE2">
              <w:t>Teisingumo ministerija</w:t>
            </w:r>
          </w:p>
          <w:p w14:paraId="5F7EFF3D" w14:textId="77777777" w:rsidR="00CE451D" w:rsidRPr="00461EE2" w:rsidRDefault="00CE451D" w:rsidP="005F077C">
            <w:pPr>
              <w:jc w:val="both"/>
            </w:pPr>
            <w:r w:rsidRPr="000A41CF">
              <w:t>Generalinė prokuratūra</w:t>
            </w:r>
          </w:p>
        </w:tc>
      </w:tr>
      <w:tr w:rsidR="005F077C" w:rsidRPr="00461EE2" w14:paraId="0484A43D"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344CC7F3" w14:textId="77777777" w:rsidR="005F077C" w:rsidRPr="00461EE2" w:rsidRDefault="005F077C" w:rsidP="005F077C">
            <w:pPr>
              <w:pStyle w:val="Heading9"/>
              <w:jc w:val="left"/>
              <w:rPr>
                <w:b w:val="0"/>
                <w:bCs w:val="0"/>
                <w:color w:val="000000" w:themeColor="text1"/>
                <w:sz w:val="24"/>
              </w:rPr>
            </w:pPr>
            <w:r w:rsidRPr="00461EE2">
              <w:rPr>
                <w:b w:val="0"/>
                <w:bCs w:val="0"/>
                <w:color w:val="000000" w:themeColor="text1"/>
                <w:sz w:val="24"/>
              </w:rPr>
              <w:lastRenderedPageBreak/>
              <w:t>31</w:t>
            </w:r>
          </w:p>
        </w:tc>
        <w:tc>
          <w:tcPr>
            <w:tcW w:w="1950" w:type="dxa"/>
            <w:gridSpan w:val="2"/>
            <w:tcBorders>
              <w:top w:val="single" w:sz="4" w:space="0" w:color="auto"/>
              <w:left w:val="single" w:sz="4" w:space="0" w:color="auto"/>
              <w:bottom w:val="single" w:sz="4" w:space="0" w:color="auto"/>
              <w:right w:val="single" w:sz="4" w:space="0" w:color="auto"/>
            </w:tcBorders>
          </w:tcPr>
          <w:p w14:paraId="009F7831" w14:textId="77777777" w:rsidR="005F077C" w:rsidRPr="00461EE2" w:rsidRDefault="005F077C" w:rsidP="005F077C">
            <w:pPr>
              <w:pStyle w:val="Heading9"/>
              <w:ind w:left="34"/>
              <w:jc w:val="left"/>
              <w:rPr>
                <w:bCs w:val="0"/>
                <w:color w:val="000000" w:themeColor="text1"/>
                <w:sz w:val="24"/>
              </w:rPr>
            </w:pPr>
            <w:r w:rsidRPr="00461EE2">
              <w:rPr>
                <w:bCs w:val="0"/>
                <w:color w:val="000000" w:themeColor="text1"/>
                <w:sz w:val="24"/>
              </w:rPr>
              <w:t>Tėvystės pripažinimas tarp valstybių narių</w:t>
            </w:r>
          </w:p>
        </w:tc>
        <w:tc>
          <w:tcPr>
            <w:tcW w:w="4394" w:type="dxa"/>
            <w:tcBorders>
              <w:top w:val="single" w:sz="4" w:space="0" w:color="auto"/>
              <w:left w:val="single" w:sz="4" w:space="0" w:color="auto"/>
              <w:bottom w:val="single" w:sz="4" w:space="0" w:color="auto"/>
              <w:right w:val="single" w:sz="4" w:space="0" w:color="auto"/>
            </w:tcBorders>
          </w:tcPr>
          <w:p w14:paraId="00D2AB26" w14:textId="77777777" w:rsidR="00936685" w:rsidRPr="00461EE2" w:rsidRDefault="00936685" w:rsidP="00936685">
            <w:pPr>
              <w:pStyle w:val="Default"/>
              <w:jc w:val="both"/>
              <w:rPr>
                <w:sz w:val="20"/>
                <w:szCs w:val="20"/>
                <w:lang w:val="lt-LT"/>
              </w:rPr>
            </w:pPr>
            <w:r w:rsidRPr="00461EE2">
              <w:rPr>
                <w:b/>
                <w:bCs/>
                <w:sz w:val="20"/>
                <w:szCs w:val="20"/>
                <w:lang w:val="lt-LT"/>
              </w:rPr>
              <w:t xml:space="preserve">Vaiko kilmės tarpusavio pripažinimas valstybėse narėse </w:t>
            </w:r>
            <w:r w:rsidRPr="00461EE2">
              <w:rPr>
                <w:sz w:val="20"/>
                <w:szCs w:val="20"/>
                <w:lang w:val="lt-LT"/>
              </w:rPr>
              <w:t xml:space="preserve">(teisėkūros procedūra priimamas aktas, įskaitant poveikio vertinimą, SESV 81 straipsnio 3 dalis, 2022 m. III ketv.) </w:t>
            </w:r>
          </w:p>
          <w:p w14:paraId="2CFC7EE3" w14:textId="77777777" w:rsidR="00936685" w:rsidRPr="00461EE2" w:rsidRDefault="00936685" w:rsidP="005F077C">
            <w:pPr>
              <w:pStyle w:val="Heading9"/>
              <w:ind w:left="34"/>
              <w:jc w:val="both"/>
              <w:rPr>
                <w:b w:val="0"/>
                <w:bCs w:val="0"/>
                <w:color w:val="000000" w:themeColor="text1"/>
                <w:sz w:val="24"/>
              </w:rPr>
            </w:pPr>
          </w:p>
          <w:p w14:paraId="6D9CA4A3" w14:textId="77777777" w:rsidR="005F077C" w:rsidRPr="00461EE2" w:rsidRDefault="00936685" w:rsidP="00936685">
            <w:pPr>
              <w:pStyle w:val="Heading9"/>
              <w:ind w:left="34"/>
              <w:jc w:val="both"/>
              <w:rPr>
                <w:b w:val="0"/>
                <w:bCs w:val="0"/>
                <w:color w:val="000000" w:themeColor="text1"/>
                <w:sz w:val="24"/>
              </w:rPr>
            </w:pPr>
            <w:r w:rsidRPr="00461EE2">
              <w:rPr>
                <w:b w:val="0"/>
                <w:bCs w:val="0"/>
                <w:color w:val="000000" w:themeColor="text1"/>
                <w:sz w:val="24"/>
              </w:rPr>
              <w:t xml:space="preserve">Komisija </w:t>
            </w:r>
            <w:r w:rsidR="006870C6">
              <w:rPr>
                <w:b w:val="0"/>
                <w:bCs w:val="0"/>
                <w:color w:val="000000" w:themeColor="text1"/>
                <w:sz w:val="24"/>
              </w:rPr>
              <w:t>pasiūlys priemonių, kuriomis būtų gerinamas vaiko kilmės tarpusavio pripažinimas ES valstybėse</w:t>
            </w:r>
            <w:r w:rsidR="005F077C" w:rsidRPr="00461EE2">
              <w:rPr>
                <w:b w:val="0"/>
                <w:bCs w:val="0"/>
                <w:color w:val="000000" w:themeColor="text1"/>
                <w:sz w:val="24"/>
              </w:rPr>
              <w:t xml:space="preserve"> narėse</w:t>
            </w:r>
            <w:r w:rsidR="006870C6">
              <w:rPr>
                <w:b w:val="0"/>
                <w:bCs w:val="0"/>
                <w:color w:val="000000" w:themeColor="text1"/>
                <w:sz w:val="24"/>
              </w:rPr>
              <w:t>.</w:t>
            </w:r>
          </w:p>
        </w:tc>
        <w:tc>
          <w:tcPr>
            <w:tcW w:w="6096" w:type="dxa"/>
            <w:tcBorders>
              <w:top w:val="single" w:sz="4" w:space="0" w:color="auto"/>
              <w:left w:val="single" w:sz="4" w:space="0" w:color="auto"/>
              <w:bottom w:val="single" w:sz="4" w:space="0" w:color="auto"/>
              <w:right w:val="single" w:sz="4" w:space="0" w:color="auto"/>
            </w:tcBorders>
          </w:tcPr>
          <w:p w14:paraId="2D64EE6D" w14:textId="77777777" w:rsidR="005F077C" w:rsidRDefault="005F077C" w:rsidP="00834EA4">
            <w:pPr>
              <w:jc w:val="both"/>
              <w:rPr>
                <w:b/>
                <w:color w:val="000000" w:themeColor="text1"/>
              </w:rPr>
            </w:pPr>
            <w:r w:rsidRPr="00461EE2">
              <w:rPr>
                <w:b/>
                <w:color w:val="000000" w:themeColor="text1"/>
              </w:rPr>
              <w:t>Aktualu</w:t>
            </w:r>
          </w:p>
          <w:p w14:paraId="141B885E" w14:textId="77777777" w:rsidR="00C50F6A" w:rsidRPr="00461EE2" w:rsidRDefault="00C50F6A" w:rsidP="00225189">
            <w:pPr>
              <w:jc w:val="both"/>
              <w:rPr>
                <w:b/>
                <w:color w:val="000000" w:themeColor="text1"/>
              </w:rPr>
            </w:pPr>
            <w:r w:rsidRPr="00FD0903">
              <w:rPr>
                <w:bCs/>
              </w:rPr>
              <w:t>Pažymėtina, kad vis daugiau Lietuvos piliečių pasinaudoja asmenų laisvo judėjimo teise, kuria mišrias šeimas, o vėliau susilaukia vaikų ne Lietuvos Respublikoje, o kurioje nors kitoje E</w:t>
            </w:r>
            <w:r w:rsidR="00225189">
              <w:rPr>
                <w:bCs/>
              </w:rPr>
              <w:t>S</w:t>
            </w:r>
            <w:r w:rsidRPr="00FD0903">
              <w:rPr>
                <w:bCs/>
              </w:rPr>
              <w:t xml:space="preserve"> valstybėje narėje. Atsižvelgiant į šias aplinkybes, svarbu, kad vienoje valstybėje narėje nustatyta vaiko kilmė iš tėvų būtų atitinkamai pripažįstama kitoje valstybėje narėje ir mišrios šeimos nepatirtų nepatogumų, susijusių su aplinkybe, kad vaikas gimė ir jo kilmė iš tėvų buvo nustatyta ne toje valstybėje narėje, kurios pilietis yra jo tėvas arba motina.</w:t>
            </w:r>
          </w:p>
        </w:tc>
        <w:tc>
          <w:tcPr>
            <w:tcW w:w="1560" w:type="dxa"/>
            <w:tcBorders>
              <w:top w:val="single" w:sz="4" w:space="0" w:color="auto"/>
              <w:left w:val="single" w:sz="4" w:space="0" w:color="auto"/>
              <w:bottom w:val="single" w:sz="4" w:space="0" w:color="auto"/>
              <w:right w:val="single" w:sz="4" w:space="0" w:color="auto"/>
            </w:tcBorders>
          </w:tcPr>
          <w:p w14:paraId="7F4B3D89" w14:textId="77777777" w:rsidR="005F077C" w:rsidRPr="00461EE2" w:rsidRDefault="005F077C" w:rsidP="005F077C">
            <w:pPr>
              <w:jc w:val="both"/>
            </w:pPr>
            <w:r w:rsidRPr="00461EE2">
              <w:t>Teisingumo ministerija</w:t>
            </w:r>
          </w:p>
        </w:tc>
      </w:tr>
      <w:tr w:rsidR="009517EC" w:rsidRPr="00461EE2" w14:paraId="31601642" w14:textId="77777777" w:rsidTr="00461EE2">
        <w:trPr>
          <w:trHeight w:val="1754"/>
        </w:trPr>
        <w:tc>
          <w:tcPr>
            <w:tcW w:w="631" w:type="dxa"/>
            <w:tcBorders>
              <w:top w:val="single" w:sz="4" w:space="0" w:color="auto"/>
              <w:left w:val="single" w:sz="4" w:space="0" w:color="auto"/>
              <w:bottom w:val="single" w:sz="4" w:space="0" w:color="auto"/>
              <w:right w:val="single" w:sz="4" w:space="0" w:color="auto"/>
            </w:tcBorders>
          </w:tcPr>
          <w:p w14:paraId="6F9D6830" w14:textId="77777777" w:rsidR="009517EC" w:rsidRPr="00461EE2" w:rsidRDefault="009517EC" w:rsidP="009517EC">
            <w:pPr>
              <w:pStyle w:val="Heading9"/>
              <w:jc w:val="left"/>
              <w:rPr>
                <w:b w:val="0"/>
                <w:bCs w:val="0"/>
                <w:color w:val="000000" w:themeColor="text1"/>
                <w:sz w:val="24"/>
              </w:rPr>
            </w:pPr>
            <w:r w:rsidRPr="00461EE2">
              <w:rPr>
                <w:b w:val="0"/>
                <w:bCs w:val="0"/>
                <w:color w:val="000000" w:themeColor="text1"/>
                <w:sz w:val="24"/>
              </w:rPr>
              <w:t>32</w:t>
            </w:r>
          </w:p>
        </w:tc>
        <w:tc>
          <w:tcPr>
            <w:tcW w:w="1950" w:type="dxa"/>
            <w:gridSpan w:val="2"/>
            <w:tcBorders>
              <w:top w:val="single" w:sz="4" w:space="0" w:color="auto"/>
              <w:left w:val="single" w:sz="4" w:space="0" w:color="auto"/>
              <w:bottom w:val="single" w:sz="4" w:space="0" w:color="auto"/>
              <w:right w:val="single" w:sz="4" w:space="0" w:color="auto"/>
            </w:tcBorders>
          </w:tcPr>
          <w:p w14:paraId="04B2E3D7" w14:textId="77777777" w:rsidR="009517EC" w:rsidRPr="00461EE2" w:rsidRDefault="009517EC" w:rsidP="009517EC">
            <w:pPr>
              <w:autoSpaceDE w:val="0"/>
              <w:autoSpaceDN w:val="0"/>
              <w:adjustRightInd w:val="0"/>
              <w:jc w:val="both"/>
              <w:rPr>
                <w:b/>
              </w:rPr>
            </w:pPr>
            <w:r w:rsidRPr="00461EE2">
              <w:rPr>
                <w:b/>
              </w:rPr>
              <w:t>Lygybę prižiūrinčios tarnybos</w:t>
            </w:r>
          </w:p>
        </w:tc>
        <w:tc>
          <w:tcPr>
            <w:tcW w:w="4394" w:type="dxa"/>
            <w:tcBorders>
              <w:top w:val="single" w:sz="4" w:space="0" w:color="auto"/>
              <w:left w:val="single" w:sz="4" w:space="0" w:color="auto"/>
              <w:bottom w:val="single" w:sz="4" w:space="0" w:color="auto"/>
              <w:right w:val="single" w:sz="4" w:space="0" w:color="auto"/>
            </w:tcBorders>
          </w:tcPr>
          <w:p w14:paraId="5DDB5FE2" w14:textId="77777777" w:rsidR="00FB4BCA" w:rsidRPr="00461EE2" w:rsidRDefault="00FB4BCA" w:rsidP="00FB4BCA">
            <w:pPr>
              <w:pStyle w:val="Default"/>
              <w:jc w:val="both"/>
              <w:rPr>
                <w:sz w:val="20"/>
                <w:szCs w:val="20"/>
                <w:lang w:val="lt-LT"/>
              </w:rPr>
            </w:pPr>
            <w:r w:rsidRPr="00461EE2">
              <w:rPr>
                <w:b/>
                <w:bCs/>
                <w:sz w:val="20"/>
                <w:szCs w:val="20"/>
                <w:lang w:val="lt-LT"/>
              </w:rPr>
              <w:t xml:space="preserve">Lygybės įstaigų vaidmens ir nepriklausomumo stiprinimas </w:t>
            </w:r>
            <w:r w:rsidRPr="00461EE2">
              <w:rPr>
                <w:sz w:val="20"/>
                <w:szCs w:val="20"/>
                <w:lang w:val="lt-LT"/>
              </w:rPr>
              <w:t xml:space="preserve">(teisėkūros procedūra priimamas aktas, SESV 19 ir 157 straipsniai, 2022 m. III ketv.) </w:t>
            </w:r>
          </w:p>
          <w:p w14:paraId="43FA4475" w14:textId="77777777" w:rsidR="00FB4BCA" w:rsidRPr="00461EE2" w:rsidRDefault="00FB4BCA" w:rsidP="009517EC">
            <w:pPr>
              <w:jc w:val="both"/>
            </w:pPr>
          </w:p>
          <w:p w14:paraId="732110CC" w14:textId="77777777" w:rsidR="009517EC" w:rsidRPr="00461EE2" w:rsidRDefault="009517EC" w:rsidP="009517EC">
            <w:pPr>
              <w:jc w:val="both"/>
            </w:pPr>
            <w:r w:rsidRPr="00461EE2">
              <w:t xml:space="preserve">Komisija tęs savo </w:t>
            </w:r>
            <w:r w:rsidR="006870C6">
              <w:t>darbą siekdama užtikrinti, kad L</w:t>
            </w:r>
            <w:r w:rsidRPr="00461EE2">
              <w:t xml:space="preserve">ygybės sąjunga taptų realybe. Visi piliečiai turėtų jaustis saugūs ir nebijoti diskriminacijos ar smurto dėl jų seksualinės orientacijos, lytinės tapatybės, lyties išraiškos, lyties ypatybių, rasinės ar etninės kilmės, religijos ar tikėjimo, negalios ar amžiaus. </w:t>
            </w:r>
          </w:p>
          <w:p w14:paraId="568E4936" w14:textId="77777777" w:rsidR="009517EC" w:rsidRPr="00461EE2" w:rsidRDefault="009517EC" w:rsidP="006870C6">
            <w:pPr>
              <w:jc w:val="both"/>
            </w:pPr>
            <w:r w:rsidRPr="00461EE2">
              <w:t xml:space="preserve">Lygybės institucijos atlieka pagrindinį vaidmenį </w:t>
            </w:r>
            <w:r w:rsidR="006870C6">
              <w:t xml:space="preserve">užtikrinant šias teises, todėl </w:t>
            </w:r>
            <w:r w:rsidRPr="00461EE2">
              <w:t>K</w:t>
            </w:r>
            <w:r w:rsidR="006870C6">
              <w:t>omisija</w:t>
            </w:r>
            <w:r w:rsidRPr="00461EE2">
              <w:t xml:space="preserve"> pateiks teisėkūr</w:t>
            </w:r>
            <w:r w:rsidR="006870C6">
              <w:t>os</w:t>
            </w:r>
            <w:r w:rsidRPr="00461EE2">
              <w:t xml:space="preserve"> pasiūlymą, skirtą stiprinti šių institucijų vaidmenį ir nepriklausomumą.</w:t>
            </w:r>
          </w:p>
        </w:tc>
        <w:tc>
          <w:tcPr>
            <w:tcW w:w="6096" w:type="dxa"/>
            <w:tcBorders>
              <w:top w:val="single" w:sz="4" w:space="0" w:color="auto"/>
              <w:left w:val="single" w:sz="4" w:space="0" w:color="auto"/>
              <w:bottom w:val="single" w:sz="4" w:space="0" w:color="auto"/>
              <w:right w:val="single" w:sz="4" w:space="0" w:color="auto"/>
            </w:tcBorders>
          </w:tcPr>
          <w:p w14:paraId="2B9B740F" w14:textId="77777777" w:rsidR="009517EC" w:rsidRPr="00461EE2" w:rsidRDefault="009517EC" w:rsidP="009517EC">
            <w:pPr>
              <w:jc w:val="both"/>
              <w:rPr>
                <w:b/>
              </w:rPr>
            </w:pPr>
            <w:r w:rsidRPr="00461EE2">
              <w:rPr>
                <w:b/>
              </w:rPr>
              <w:t>Aktualu</w:t>
            </w:r>
          </w:p>
          <w:p w14:paraId="05C03C51" w14:textId="77777777" w:rsidR="009517EC" w:rsidRPr="00461EE2" w:rsidRDefault="006870C6" w:rsidP="009517EC">
            <w:pPr>
              <w:jc w:val="both"/>
            </w:pPr>
            <w:r>
              <w:t>Lietuva pritaria</w:t>
            </w:r>
            <w:r w:rsidR="009517EC" w:rsidRPr="00461EE2">
              <w:t>, kad užtikrinant lygias teises visiems, labai svarbus atitinkamų institucijų stiprus vaidmuo, todėl sveikina</w:t>
            </w:r>
            <w:r>
              <w:t xml:space="preserve"> šią </w:t>
            </w:r>
            <w:r w:rsidR="009517EC" w:rsidRPr="00461EE2">
              <w:t>K</w:t>
            </w:r>
            <w:r>
              <w:t>omisijos</w:t>
            </w:r>
            <w:r w:rsidR="009517EC" w:rsidRPr="00461EE2">
              <w:t xml:space="preserve"> iniciatyvą. </w:t>
            </w:r>
          </w:p>
          <w:p w14:paraId="3AD6B33D" w14:textId="77777777" w:rsidR="006870C6" w:rsidRDefault="006870C6" w:rsidP="009517EC">
            <w:pPr>
              <w:jc w:val="both"/>
            </w:pPr>
          </w:p>
          <w:p w14:paraId="59A6ED65" w14:textId="77777777" w:rsidR="009517EC" w:rsidRPr="00461EE2" w:rsidRDefault="006870C6" w:rsidP="009517EC">
            <w:pPr>
              <w:jc w:val="both"/>
            </w:pPr>
            <w:r>
              <w:t>Lietuva</w:t>
            </w:r>
            <w:r w:rsidR="00C2471D">
              <w:t xml:space="preserve"> taip pat</w:t>
            </w:r>
            <w:r>
              <w:t xml:space="preserve"> tikisi</w:t>
            </w:r>
            <w:r w:rsidR="009517EC" w:rsidRPr="00461EE2">
              <w:t>, kad pavyks sutarti dėl daugiau nei dešimt metų svarstomos Direktyvos dėl vienodo požiūrio į asmenis</w:t>
            </w:r>
            <w:r>
              <w:t xml:space="preserve">, kuria </w:t>
            </w:r>
            <w:r w:rsidR="009517EC" w:rsidRPr="00461EE2">
              <w:t>siekiama</w:t>
            </w:r>
            <w:r w:rsidR="009517EC" w:rsidRPr="00461EE2">
              <w:rPr>
                <w:iCs/>
              </w:rPr>
              <w:t xml:space="preserve"> išplėsti apsaugą nuo diskriminacijos dėl religijos ar tikėjimo, negalios, amžiaus arba seksualinės orientacijos apimant ne tik užimtumo, bet ir kitas sritis. Papildant esamus šios srities ES teisės aktus, šia Direktyva būtų uždrausta diskriminacija aukščiau minėtais pagrindais šiose srityse: socialinės apsaugos (įskaitant socialinį draudimą ir sveikatos priežiūrą), švietimo ir galimybių naudotis prekėmis bei paslaugomis (įskaitant aprūpinimą būstu).</w:t>
            </w:r>
          </w:p>
          <w:p w14:paraId="73EE2B68" w14:textId="77777777" w:rsidR="009517EC" w:rsidRPr="00461EE2" w:rsidRDefault="009517EC" w:rsidP="009517EC">
            <w:pPr>
              <w:jc w:val="both"/>
            </w:pPr>
          </w:p>
          <w:p w14:paraId="13042E51" w14:textId="77777777" w:rsidR="009517EC" w:rsidRPr="00461EE2" w:rsidRDefault="009517EC" w:rsidP="009517EC">
            <w:pPr>
              <w:jc w:val="both"/>
            </w:pPr>
          </w:p>
        </w:tc>
        <w:tc>
          <w:tcPr>
            <w:tcW w:w="1560" w:type="dxa"/>
            <w:tcBorders>
              <w:top w:val="single" w:sz="4" w:space="0" w:color="auto"/>
              <w:left w:val="single" w:sz="4" w:space="0" w:color="auto"/>
              <w:bottom w:val="single" w:sz="4" w:space="0" w:color="auto"/>
              <w:right w:val="single" w:sz="4" w:space="0" w:color="auto"/>
            </w:tcBorders>
          </w:tcPr>
          <w:p w14:paraId="7CCF2234" w14:textId="3C0308B1" w:rsidR="009517EC" w:rsidRPr="00461EE2" w:rsidRDefault="009517EC" w:rsidP="009517EC">
            <w:pPr>
              <w:jc w:val="both"/>
            </w:pPr>
            <w:r w:rsidRPr="00461EE2">
              <w:t>Socialinės apsaugos ir darbo ministerija</w:t>
            </w:r>
          </w:p>
        </w:tc>
      </w:tr>
    </w:tbl>
    <w:p w14:paraId="4E42B512" w14:textId="77777777" w:rsidR="007A278C" w:rsidRPr="00461EE2" w:rsidRDefault="007A278C" w:rsidP="00F5258E">
      <w:pPr>
        <w:rPr>
          <w:color w:val="000000" w:themeColor="text1"/>
        </w:rPr>
      </w:pPr>
    </w:p>
    <w:p w14:paraId="70295E3C" w14:textId="77777777" w:rsidR="00981793" w:rsidRPr="00461EE2" w:rsidRDefault="00981793" w:rsidP="00F5258E">
      <w:pPr>
        <w:jc w:val="both"/>
        <w:rPr>
          <w:color w:val="000000" w:themeColor="text1"/>
        </w:rPr>
      </w:pPr>
    </w:p>
    <w:p w14:paraId="7E1116CF" w14:textId="77777777" w:rsidR="00BB0256" w:rsidRPr="00461EE2" w:rsidRDefault="00BB0256" w:rsidP="00F5258E">
      <w:pPr>
        <w:jc w:val="both"/>
        <w:rPr>
          <w:color w:val="000000" w:themeColor="text1"/>
        </w:rPr>
      </w:pPr>
    </w:p>
    <w:p w14:paraId="70A4FC81" w14:textId="77777777" w:rsidR="00BB0256" w:rsidRPr="00461EE2" w:rsidRDefault="00BB0256" w:rsidP="00F5258E">
      <w:pPr>
        <w:jc w:val="both"/>
        <w:rPr>
          <w:color w:val="000000" w:themeColor="text1"/>
        </w:rPr>
      </w:pPr>
    </w:p>
    <w:sectPr w:rsidR="00BB0256" w:rsidRPr="00461EE2" w:rsidSect="00AE3C18">
      <w:headerReference w:type="default" r:id="rId8"/>
      <w:footerReference w:type="default" r:id="rId9"/>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23D07" w14:textId="77777777" w:rsidR="00124C86" w:rsidRDefault="00124C86" w:rsidP="00AE3C18">
      <w:r>
        <w:separator/>
      </w:r>
    </w:p>
  </w:endnote>
  <w:endnote w:type="continuationSeparator" w:id="0">
    <w:p w14:paraId="77B1DC6B" w14:textId="77777777" w:rsidR="00124C86" w:rsidRDefault="00124C86" w:rsidP="00AE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954411"/>
      <w:docPartObj>
        <w:docPartGallery w:val="Page Numbers (Bottom of Page)"/>
        <w:docPartUnique/>
      </w:docPartObj>
    </w:sdtPr>
    <w:sdtEndPr>
      <w:rPr>
        <w:noProof/>
      </w:rPr>
    </w:sdtEndPr>
    <w:sdtContent>
      <w:p w14:paraId="1672708D" w14:textId="50A2FD28" w:rsidR="00672F19" w:rsidRDefault="00672F19">
        <w:pPr>
          <w:pStyle w:val="Footer"/>
          <w:jc w:val="right"/>
        </w:pPr>
        <w:r>
          <w:fldChar w:fldCharType="begin"/>
        </w:r>
        <w:r>
          <w:instrText xml:space="preserve"> PAGE   \* MERGEFORMAT </w:instrText>
        </w:r>
        <w:r>
          <w:fldChar w:fldCharType="separate"/>
        </w:r>
        <w:r w:rsidR="00D67A72">
          <w:rPr>
            <w:noProof/>
          </w:rPr>
          <w:t>20</w:t>
        </w:r>
        <w:r>
          <w:rPr>
            <w:noProof/>
          </w:rPr>
          <w:fldChar w:fldCharType="end"/>
        </w:r>
      </w:p>
    </w:sdtContent>
  </w:sdt>
  <w:p w14:paraId="3F548AC5" w14:textId="77777777" w:rsidR="00672F19" w:rsidRDefault="0067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EDB8A" w14:textId="77777777" w:rsidR="00124C86" w:rsidRDefault="00124C86" w:rsidP="00AE3C18">
      <w:r>
        <w:separator/>
      </w:r>
    </w:p>
  </w:footnote>
  <w:footnote w:type="continuationSeparator" w:id="0">
    <w:p w14:paraId="7FDF1BFD" w14:textId="77777777" w:rsidR="00124C86" w:rsidRDefault="00124C86" w:rsidP="00AE3C18">
      <w:r>
        <w:continuationSeparator/>
      </w:r>
    </w:p>
  </w:footnote>
  <w:footnote w:id="1">
    <w:p w14:paraId="692E0B85" w14:textId="77777777" w:rsidR="00672F19" w:rsidRDefault="00672F19" w:rsidP="00AE3C18">
      <w:pPr>
        <w:pStyle w:val="FootnoteText"/>
        <w:rPr>
          <w:color w:val="000000"/>
          <w:lang w:val="lt-LT"/>
        </w:rPr>
      </w:pPr>
      <w:r>
        <w:rPr>
          <w:rStyle w:val="FootnoteReference"/>
          <w:color w:val="000000"/>
        </w:rPr>
        <w:footnoteRef/>
      </w:r>
      <w:r>
        <w:rPr>
          <w:color w:val="000000"/>
        </w:rPr>
        <w:t xml:space="preserve"> </w:t>
      </w:r>
      <w:r w:rsidR="00E74385">
        <w:rPr>
          <w:color w:val="000000"/>
        </w:rPr>
        <w:t>Šiame stulpelyje įvardijamos tik atsakingos institucijos</w:t>
      </w:r>
      <w:r w:rsidR="00FF1405">
        <w:rPr>
          <w:color w:val="000000"/>
        </w:rPr>
        <w:t xml:space="preserve"> abėcėlės tvarka</w:t>
      </w:r>
      <w:r w:rsidR="00E74385">
        <w:rPr>
          <w:color w:val="000000"/>
        </w:rPr>
        <w:t>, o d</w:t>
      </w:r>
      <w:r w:rsidR="00E74385">
        <w:rPr>
          <w:color w:val="000000"/>
          <w:lang w:val="lt-LT"/>
        </w:rPr>
        <w:t>alyvaujančios institucijos nėra įvardijamos. Atsakingų institucijų įvardijimas yra indikacinio pobūdžio – Europos Komisijai paskelbus konkrečią iniciatyvą, atsakingos ir dalyvaujančios institucijos priskiriamos įprasta tvarka įvertinus paskelbtos iniciatyvos turinį</w:t>
      </w:r>
      <w:r>
        <w:rPr>
          <w:color w:val="00000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F3BB0" w14:textId="77777777" w:rsidR="00B77818" w:rsidRDefault="00B77818" w:rsidP="00B77818">
    <w:pPr>
      <w:pStyle w:val="Header"/>
      <w:jc w:val="right"/>
    </w:pPr>
    <w:r>
      <w:t>Rengė URM ESD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EE5"/>
    <w:multiLevelType w:val="hybridMultilevel"/>
    <w:tmpl w:val="49E4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D0CDE"/>
    <w:multiLevelType w:val="multilevel"/>
    <w:tmpl w:val="8A46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B6C3D"/>
    <w:multiLevelType w:val="hybridMultilevel"/>
    <w:tmpl w:val="EFE493B2"/>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FA26504"/>
    <w:multiLevelType w:val="hybridMultilevel"/>
    <w:tmpl w:val="C430DA12"/>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67B215A"/>
    <w:multiLevelType w:val="hybridMultilevel"/>
    <w:tmpl w:val="5D5A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6C070F"/>
    <w:multiLevelType w:val="hybridMultilevel"/>
    <w:tmpl w:val="E3CC9EB8"/>
    <w:lvl w:ilvl="0" w:tplc="840ADC10">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 w15:restartNumberingAfterBreak="0">
    <w:nsid w:val="53E71B64"/>
    <w:multiLevelType w:val="hybridMultilevel"/>
    <w:tmpl w:val="DE62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0BC"/>
    <w:rsid w:val="00014092"/>
    <w:rsid w:val="00015C28"/>
    <w:rsid w:val="00024885"/>
    <w:rsid w:val="00026538"/>
    <w:rsid w:val="00027A03"/>
    <w:rsid w:val="0003004B"/>
    <w:rsid w:val="0003636D"/>
    <w:rsid w:val="00037E5F"/>
    <w:rsid w:val="00050712"/>
    <w:rsid w:val="00055801"/>
    <w:rsid w:val="0006017A"/>
    <w:rsid w:val="00060CF5"/>
    <w:rsid w:val="000656CE"/>
    <w:rsid w:val="00066E97"/>
    <w:rsid w:val="00066F24"/>
    <w:rsid w:val="0007147D"/>
    <w:rsid w:val="000755DC"/>
    <w:rsid w:val="00082332"/>
    <w:rsid w:val="0008612C"/>
    <w:rsid w:val="00087B67"/>
    <w:rsid w:val="00087F3A"/>
    <w:rsid w:val="00090395"/>
    <w:rsid w:val="00094FF0"/>
    <w:rsid w:val="0009604F"/>
    <w:rsid w:val="00096A17"/>
    <w:rsid w:val="00097AB2"/>
    <w:rsid w:val="000A05C7"/>
    <w:rsid w:val="000A0EB0"/>
    <w:rsid w:val="000A4112"/>
    <w:rsid w:val="000A41CF"/>
    <w:rsid w:val="000A4504"/>
    <w:rsid w:val="000A7B9B"/>
    <w:rsid w:val="000B34F0"/>
    <w:rsid w:val="000C06EE"/>
    <w:rsid w:val="000C6C93"/>
    <w:rsid w:val="000C744C"/>
    <w:rsid w:val="000D5A03"/>
    <w:rsid w:val="000E0BAC"/>
    <w:rsid w:val="000E2FBA"/>
    <w:rsid w:val="000F0638"/>
    <w:rsid w:val="000F36BA"/>
    <w:rsid w:val="00101C51"/>
    <w:rsid w:val="00104C21"/>
    <w:rsid w:val="00115854"/>
    <w:rsid w:val="00120AC7"/>
    <w:rsid w:val="001218C8"/>
    <w:rsid w:val="00124C86"/>
    <w:rsid w:val="00125C8D"/>
    <w:rsid w:val="00126865"/>
    <w:rsid w:val="001312E1"/>
    <w:rsid w:val="001362F8"/>
    <w:rsid w:val="001403C9"/>
    <w:rsid w:val="001455AB"/>
    <w:rsid w:val="001468D7"/>
    <w:rsid w:val="00147930"/>
    <w:rsid w:val="00150D8C"/>
    <w:rsid w:val="0015331F"/>
    <w:rsid w:val="001627C8"/>
    <w:rsid w:val="001629EE"/>
    <w:rsid w:val="0017372C"/>
    <w:rsid w:val="00177844"/>
    <w:rsid w:val="00181EF3"/>
    <w:rsid w:val="00182BAB"/>
    <w:rsid w:val="00191F04"/>
    <w:rsid w:val="00192E18"/>
    <w:rsid w:val="00195808"/>
    <w:rsid w:val="001A4301"/>
    <w:rsid w:val="001B1760"/>
    <w:rsid w:val="001C0D27"/>
    <w:rsid w:val="001C39CE"/>
    <w:rsid w:val="001C4F84"/>
    <w:rsid w:val="001D527A"/>
    <w:rsid w:val="001E361F"/>
    <w:rsid w:val="001F4288"/>
    <w:rsid w:val="001F6936"/>
    <w:rsid w:val="00203DF4"/>
    <w:rsid w:val="00205D65"/>
    <w:rsid w:val="00206F51"/>
    <w:rsid w:val="002120AB"/>
    <w:rsid w:val="0021564D"/>
    <w:rsid w:val="0022232D"/>
    <w:rsid w:val="00224E6A"/>
    <w:rsid w:val="00225189"/>
    <w:rsid w:val="00226DF5"/>
    <w:rsid w:val="00231657"/>
    <w:rsid w:val="0024588C"/>
    <w:rsid w:val="00260D7E"/>
    <w:rsid w:val="002639AE"/>
    <w:rsid w:val="00270D10"/>
    <w:rsid w:val="00272DB3"/>
    <w:rsid w:val="00282EF1"/>
    <w:rsid w:val="00287496"/>
    <w:rsid w:val="00290AB0"/>
    <w:rsid w:val="002916FB"/>
    <w:rsid w:val="002965BC"/>
    <w:rsid w:val="002A5F37"/>
    <w:rsid w:val="002A6B68"/>
    <w:rsid w:val="002A7A3D"/>
    <w:rsid w:val="002B008A"/>
    <w:rsid w:val="002B0F19"/>
    <w:rsid w:val="002C0DF9"/>
    <w:rsid w:val="002C1E48"/>
    <w:rsid w:val="002C24DC"/>
    <w:rsid w:val="002C4962"/>
    <w:rsid w:val="002C67B3"/>
    <w:rsid w:val="002D2222"/>
    <w:rsid w:val="002D379F"/>
    <w:rsid w:val="002D7BCF"/>
    <w:rsid w:val="002E226D"/>
    <w:rsid w:val="002E2D4D"/>
    <w:rsid w:val="002E4C19"/>
    <w:rsid w:val="002E6004"/>
    <w:rsid w:val="002F4FC1"/>
    <w:rsid w:val="002F79EC"/>
    <w:rsid w:val="00302EF6"/>
    <w:rsid w:val="003139A9"/>
    <w:rsid w:val="0031748E"/>
    <w:rsid w:val="00320FBD"/>
    <w:rsid w:val="00322CCB"/>
    <w:rsid w:val="00326FD1"/>
    <w:rsid w:val="003428FC"/>
    <w:rsid w:val="00342C15"/>
    <w:rsid w:val="0034696F"/>
    <w:rsid w:val="003477C5"/>
    <w:rsid w:val="00347F89"/>
    <w:rsid w:val="00355DC5"/>
    <w:rsid w:val="00356202"/>
    <w:rsid w:val="00357D9E"/>
    <w:rsid w:val="0036626C"/>
    <w:rsid w:val="00367390"/>
    <w:rsid w:val="0036782E"/>
    <w:rsid w:val="00371ABD"/>
    <w:rsid w:val="00373441"/>
    <w:rsid w:val="00374108"/>
    <w:rsid w:val="0038278E"/>
    <w:rsid w:val="0039029B"/>
    <w:rsid w:val="0039572A"/>
    <w:rsid w:val="003971BA"/>
    <w:rsid w:val="003A7F64"/>
    <w:rsid w:val="003B0F00"/>
    <w:rsid w:val="003B1F79"/>
    <w:rsid w:val="003B3DA3"/>
    <w:rsid w:val="003B4430"/>
    <w:rsid w:val="003B73B4"/>
    <w:rsid w:val="003C09EC"/>
    <w:rsid w:val="003C5885"/>
    <w:rsid w:val="003C772B"/>
    <w:rsid w:val="003D0319"/>
    <w:rsid w:val="003D0F62"/>
    <w:rsid w:val="003D407F"/>
    <w:rsid w:val="003D494D"/>
    <w:rsid w:val="003D590A"/>
    <w:rsid w:val="003E32B4"/>
    <w:rsid w:val="003F118F"/>
    <w:rsid w:val="003F374F"/>
    <w:rsid w:val="003F66B8"/>
    <w:rsid w:val="004112AC"/>
    <w:rsid w:val="00420287"/>
    <w:rsid w:val="00420EC4"/>
    <w:rsid w:val="004266A8"/>
    <w:rsid w:val="00433EBD"/>
    <w:rsid w:val="00437621"/>
    <w:rsid w:val="004422EC"/>
    <w:rsid w:val="00444B2C"/>
    <w:rsid w:val="004459BD"/>
    <w:rsid w:val="00445F9F"/>
    <w:rsid w:val="004504B4"/>
    <w:rsid w:val="00456A2C"/>
    <w:rsid w:val="00461EE2"/>
    <w:rsid w:val="00462670"/>
    <w:rsid w:val="0046368C"/>
    <w:rsid w:val="004651CC"/>
    <w:rsid w:val="00470B0F"/>
    <w:rsid w:val="00470CA0"/>
    <w:rsid w:val="004802F5"/>
    <w:rsid w:val="004879AE"/>
    <w:rsid w:val="00487FF1"/>
    <w:rsid w:val="0049169B"/>
    <w:rsid w:val="004976C6"/>
    <w:rsid w:val="004B0013"/>
    <w:rsid w:val="004C46BE"/>
    <w:rsid w:val="004C4C1E"/>
    <w:rsid w:val="004C61B4"/>
    <w:rsid w:val="004C61F1"/>
    <w:rsid w:val="004E6BEE"/>
    <w:rsid w:val="004F1618"/>
    <w:rsid w:val="004F17C6"/>
    <w:rsid w:val="004F2698"/>
    <w:rsid w:val="004F46A4"/>
    <w:rsid w:val="0050139A"/>
    <w:rsid w:val="00504000"/>
    <w:rsid w:val="0050533C"/>
    <w:rsid w:val="00506018"/>
    <w:rsid w:val="0050783F"/>
    <w:rsid w:val="00512338"/>
    <w:rsid w:val="00517617"/>
    <w:rsid w:val="00517857"/>
    <w:rsid w:val="005236B7"/>
    <w:rsid w:val="00524FF2"/>
    <w:rsid w:val="00527F01"/>
    <w:rsid w:val="00534526"/>
    <w:rsid w:val="00540DF3"/>
    <w:rsid w:val="0054486E"/>
    <w:rsid w:val="00557616"/>
    <w:rsid w:val="00574B62"/>
    <w:rsid w:val="005768E9"/>
    <w:rsid w:val="00577F23"/>
    <w:rsid w:val="00583B22"/>
    <w:rsid w:val="005847F1"/>
    <w:rsid w:val="00586736"/>
    <w:rsid w:val="00587BBA"/>
    <w:rsid w:val="00592843"/>
    <w:rsid w:val="00592F55"/>
    <w:rsid w:val="005C5E2E"/>
    <w:rsid w:val="005D7B4C"/>
    <w:rsid w:val="005E235E"/>
    <w:rsid w:val="005E3378"/>
    <w:rsid w:val="005E3986"/>
    <w:rsid w:val="005F02C5"/>
    <w:rsid w:val="005F077C"/>
    <w:rsid w:val="005F27DC"/>
    <w:rsid w:val="005F51C8"/>
    <w:rsid w:val="00601BD4"/>
    <w:rsid w:val="00611FEB"/>
    <w:rsid w:val="00614094"/>
    <w:rsid w:val="00616EB3"/>
    <w:rsid w:val="00625168"/>
    <w:rsid w:val="0063182E"/>
    <w:rsid w:val="00633C7E"/>
    <w:rsid w:val="00636D74"/>
    <w:rsid w:val="00640D49"/>
    <w:rsid w:val="00643499"/>
    <w:rsid w:val="00643971"/>
    <w:rsid w:val="00652D64"/>
    <w:rsid w:val="0065337A"/>
    <w:rsid w:val="00653DA6"/>
    <w:rsid w:val="00655CA9"/>
    <w:rsid w:val="00657FF6"/>
    <w:rsid w:val="00661B39"/>
    <w:rsid w:val="00667020"/>
    <w:rsid w:val="006723DC"/>
    <w:rsid w:val="00672EF4"/>
    <w:rsid w:val="00672F19"/>
    <w:rsid w:val="0067780C"/>
    <w:rsid w:val="00685297"/>
    <w:rsid w:val="006870C6"/>
    <w:rsid w:val="006A4BEE"/>
    <w:rsid w:val="006A7B79"/>
    <w:rsid w:val="006B1560"/>
    <w:rsid w:val="006C0D6F"/>
    <w:rsid w:val="006C73C6"/>
    <w:rsid w:val="006D403C"/>
    <w:rsid w:val="006D6C2C"/>
    <w:rsid w:val="006E3CC1"/>
    <w:rsid w:val="006E3DF7"/>
    <w:rsid w:val="006E6538"/>
    <w:rsid w:val="006E662F"/>
    <w:rsid w:val="006E68AD"/>
    <w:rsid w:val="0070231B"/>
    <w:rsid w:val="00711095"/>
    <w:rsid w:val="00711F18"/>
    <w:rsid w:val="00711FCF"/>
    <w:rsid w:val="007129DE"/>
    <w:rsid w:val="00713CEE"/>
    <w:rsid w:val="007266FA"/>
    <w:rsid w:val="00727375"/>
    <w:rsid w:val="00731F6D"/>
    <w:rsid w:val="00733A57"/>
    <w:rsid w:val="007434DE"/>
    <w:rsid w:val="00745573"/>
    <w:rsid w:val="0075054A"/>
    <w:rsid w:val="00753556"/>
    <w:rsid w:val="007550AA"/>
    <w:rsid w:val="00757AAF"/>
    <w:rsid w:val="00760DCE"/>
    <w:rsid w:val="007614C8"/>
    <w:rsid w:val="00767052"/>
    <w:rsid w:val="00767C4F"/>
    <w:rsid w:val="007702CF"/>
    <w:rsid w:val="00770E66"/>
    <w:rsid w:val="00781694"/>
    <w:rsid w:val="00783BA4"/>
    <w:rsid w:val="00784094"/>
    <w:rsid w:val="007851B7"/>
    <w:rsid w:val="0079710D"/>
    <w:rsid w:val="007A278C"/>
    <w:rsid w:val="007A5578"/>
    <w:rsid w:val="007B1870"/>
    <w:rsid w:val="007B52F5"/>
    <w:rsid w:val="007B53E2"/>
    <w:rsid w:val="007C08AB"/>
    <w:rsid w:val="007C180D"/>
    <w:rsid w:val="007C2AFD"/>
    <w:rsid w:val="007D0245"/>
    <w:rsid w:val="007D44B0"/>
    <w:rsid w:val="007D54D9"/>
    <w:rsid w:val="007D7F08"/>
    <w:rsid w:val="007E051C"/>
    <w:rsid w:val="007E40E0"/>
    <w:rsid w:val="007F042F"/>
    <w:rsid w:val="0080071B"/>
    <w:rsid w:val="00805E56"/>
    <w:rsid w:val="00806E49"/>
    <w:rsid w:val="0081020F"/>
    <w:rsid w:val="0081259E"/>
    <w:rsid w:val="00814536"/>
    <w:rsid w:val="0081529F"/>
    <w:rsid w:val="00816730"/>
    <w:rsid w:val="00822AC4"/>
    <w:rsid w:val="0082320B"/>
    <w:rsid w:val="0082346A"/>
    <w:rsid w:val="00824270"/>
    <w:rsid w:val="00827AA8"/>
    <w:rsid w:val="00834EA4"/>
    <w:rsid w:val="008422FC"/>
    <w:rsid w:val="00851B0E"/>
    <w:rsid w:val="00856A32"/>
    <w:rsid w:val="0086028B"/>
    <w:rsid w:val="00880E1F"/>
    <w:rsid w:val="0089155B"/>
    <w:rsid w:val="0089478D"/>
    <w:rsid w:val="008A1396"/>
    <w:rsid w:val="008A5AE7"/>
    <w:rsid w:val="008B1CDD"/>
    <w:rsid w:val="008B51DB"/>
    <w:rsid w:val="008B5C17"/>
    <w:rsid w:val="008C6CFF"/>
    <w:rsid w:val="008D05A3"/>
    <w:rsid w:val="008D397C"/>
    <w:rsid w:val="008D541C"/>
    <w:rsid w:val="008D64AF"/>
    <w:rsid w:val="008E27A5"/>
    <w:rsid w:val="008E36C8"/>
    <w:rsid w:val="008F1F9C"/>
    <w:rsid w:val="008F5F53"/>
    <w:rsid w:val="009052AE"/>
    <w:rsid w:val="009137A1"/>
    <w:rsid w:val="00913C4D"/>
    <w:rsid w:val="00915C4D"/>
    <w:rsid w:val="00916F37"/>
    <w:rsid w:val="00917368"/>
    <w:rsid w:val="009200AD"/>
    <w:rsid w:val="00923D3E"/>
    <w:rsid w:val="00930652"/>
    <w:rsid w:val="00932B3E"/>
    <w:rsid w:val="00936685"/>
    <w:rsid w:val="00940E53"/>
    <w:rsid w:val="009417AA"/>
    <w:rsid w:val="0094492F"/>
    <w:rsid w:val="009517EC"/>
    <w:rsid w:val="0095347D"/>
    <w:rsid w:val="00955F4C"/>
    <w:rsid w:val="009568C6"/>
    <w:rsid w:val="00977C92"/>
    <w:rsid w:val="00981793"/>
    <w:rsid w:val="00981A9E"/>
    <w:rsid w:val="00993688"/>
    <w:rsid w:val="009966C7"/>
    <w:rsid w:val="00997D9A"/>
    <w:rsid w:val="009B477D"/>
    <w:rsid w:val="009B7E9E"/>
    <w:rsid w:val="009C720E"/>
    <w:rsid w:val="009D0788"/>
    <w:rsid w:val="009D1A59"/>
    <w:rsid w:val="009E2793"/>
    <w:rsid w:val="009F0BF8"/>
    <w:rsid w:val="009F15A9"/>
    <w:rsid w:val="009F71DB"/>
    <w:rsid w:val="00A024CA"/>
    <w:rsid w:val="00A05BF9"/>
    <w:rsid w:val="00A05FDB"/>
    <w:rsid w:val="00A1070B"/>
    <w:rsid w:val="00A10DF7"/>
    <w:rsid w:val="00A20ACD"/>
    <w:rsid w:val="00A222A9"/>
    <w:rsid w:val="00A22751"/>
    <w:rsid w:val="00A269C2"/>
    <w:rsid w:val="00A303CA"/>
    <w:rsid w:val="00A32D76"/>
    <w:rsid w:val="00A34C7B"/>
    <w:rsid w:val="00A453F5"/>
    <w:rsid w:val="00A504FC"/>
    <w:rsid w:val="00A54F25"/>
    <w:rsid w:val="00A650B2"/>
    <w:rsid w:val="00A652D4"/>
    <w:rsid w:val="00A65494"/>
    <w:rsid w:val="00A7358C"/>
    <w:rsid w:val="00A73A58"/>
    <w:rsid w:val="00A73EC7"/>
    <w:rsid w:val="00A77973"/>
    <w:rsid w:val="00A82B06"/>
    <w:rsid w:val="00A844D8"/>
    <w:rsid w:val="00A908A8"/>
    <w:rsid w:val="00A92D6D"/>
    <w:rsid w:val="00A936CA"/>
    <w:rsid w:val="00A96510"/>
    <w:rsid w:val="00AB6D95"/>
    <w:rsid w:val="00AC5502"/>
    <w:rsid w:val="00AD1444"/>
    <w:rsid w:val="00AD1459"/>
    <w:rsid w:val="00AD4C04"/>
    <w:rsid w:val="00AD5AAF"/>
    <w:rsid w:val="00AE0E36"/>
    <w:rsid w:val="00AE3C18"/>
    <w:rsid w:val="00AE5B17"/>
    <w:rsid w:val="00AE657A"/>
    <w:rsid w:val="00AF0805"/>
    <w:rsid w:val="00AF1B38"/>
    <w:rsid w:val="00AF26C9"/>
    <w:rsid w:val="00B00B0E"/>
    <w:rsid w:val="00B064BD"/>
    <w:rsid w:val="00B07044"/>
    <w:rsid w:val="00B1335A"/>
    <w:rsid w:val="00B141CF"/>
    <w:rsid w:val="00B15B81"/>
    <w:rsid w:val="00B17CC8"/>
    <w:rsid w:val="00B20473"/>
    <w:rsid w:val="00B21004"/>
    <w:rsid w:val="00B26184"/>
    <w:rsid w:val="00B279F7"/>
    <w:rsid w:val="00B3333C"/>
    <w:rsid w:val="00B33CA2"/>
    <w:rsid w:val="00B3553D"/>
    <w:rsid w:val="00B437F6"/>
    <w:rsid w:val="00B504AA"/>
    <w:rsid w:val="00B564B8"/>
    <w:rsid w:val="00B620BC"/>
    <w:rsid w:val="00B645DD"/>
    <w:rsid w:val="00B71407"/>
    <w:rsid w:val="00B7303F"/>
    <w:rsid w:val="00B7345C"/>
    <w:rsid w:val="00B768BC"/>
    <w:rsid w:val="00B77818"/>
    <w:rsid w:val="00B829DD"/>
    <w:rsid w:val="00B84C7E"/>
    <w:rsid w:val="00B87DEA"/>
    <w:rsid w:val="00B90674"/>
    <w:rsid w:val="00B918F2"/>
    <w:rsid w:val="00BA5ED3"/>
    <w:rsid w:val="00BB0256"/>
    <w:rsid w:val="00BB4009"/>
    <w:rsid w:val="00BB6B5B"/>
    <w:rsid w:val="00BC2120"/>
    <w:rsid w:val="00BC2806"/>
    <w:rsid w:val="00BC2B1E"/>
    <w:rsid w:val="00BC450D"/>
    <w:rsid w:val="00BD0EB6"/>
    <w:rsid w:val="00BD18CC"/>
    <w:rsid w:val="00BD32D9"/>
    <w:rsid w:val="00BF1278"/>
    <w:rsid w:val="00BF1CD0"/>
    <w:rsid w:val="00BF3F2D"/>
    <w:rsid w:val="00BF4A47"/>
    <w:rsid w:val="00C0202F"/>
    <w:rsid w:val="00C02695"/>
    <w:rsid w:val="00C14AE0"/>
    <w:rsid w:val="00C17B3C"/>
    <w:rsid w:val="00C2220F"/>
    <w:rsid w:val="00C2471D"/>
    <w:rsid w:val="00C25259"/>
    <w:rsid w:val="00C3067A"/>
    <w:rsid w:val="00C31105"/>
    <w:rsid w:val="00C366D0"/>
    <w:rsid w:val="00C37A0B"/>
    <w:rsid w:val="00C40DD1"/>
    <w:rsid w:val="00C46B70"/>
    <w:rsid w:val="00C50A5D"/>
    <w:rsid w:val="00C50F6A"/>
    <w:rsid w:val="00C628A8"/>
    <w:rsid w:val="00C801AC"/>
    <w:rsid w:val="00C83202"/>
    <w:rsid w:val="00C8329C"/>
    <w:rsid w:val="00C93119"/>
    <w:rsid w:val="00CA0355"/>
    <w:rsid w:val="00CA49CF"/>
    <w:rsid w:val="00CA57D3"/>
    <w:rsid w:val="00CB20F8"/>
    <w:rsid w:val="00CB2682"/>
    <w:rsid w:val="00CD785B"/>
    <w:rsid w:val="00CE1427"/>
    <w:rsid w:val="00CE2CD3"/>
    <w:rsid w:val="00CE451D"/>
    <w:rsid w:val="00CF04E7"/>
    <w:rsid w:val="00CF15E2"/>
    <w:rsid w:val="00D02781"/>
    <w:rsid w:val="00D03E87"/>
    <w:rsid w:val="00D055E2"/>
    <w:rsid w:val="00D115B6"/>
    <w:rsid w:val="00D17159"/>
    <w:rsid w:val="00D23976"/>
    <w:rsid w:val="00D34DB5"/>
    <w:rsid w:val="00D36F36"/>
    <w:rsid w:val="00D4241D"/>
    <w:rsid w:val="00D4255A"/>
    <w:rsid w:val="00D4507C"/>
    <w:rsid w:val="00D4650C"/>
    <w:rsid w:val="00D55B29"/>
    <w:rsid w:val="00D56EE2"/>
    <w:rsid w:val="00D60428"/>
    <w:rsid w:val="00D63904"/>
    <w:rsid w:val="00D67A72"/>
    <w:rsid w:val="00D71038"/>
    <w:rsid w:val="00D74E1B"/>
    <w:rsid w:val="00D81216"/>
    <w:rsid w:val="00D838F5"/>
    <w:rsid w:val="00D869DA"/>
    <w:rsid w:val="00D92F16"/>
    <w:rsid w:val="00D94839"/>
    <w:rsid w:val="00DA1380"/>
    <w:rsid w:val="00DA2D6C"/>
    <w:rsid w:val="00DA38E7"/>
    <w:rsid w:val="00DA5C0A"/>
    <w:rsid w:val="00DB1832"/>
    <w:rsid w:val="00DB46FA"/>
    <w:rsid w:val="00DB553C"/>
    <w:rsid w:val="00DC3435"/>
    <w:rsid w:val="00DD2994"/>
    <w:rsid w:val="00DD380C"/>
    <w:rsid w:val="00DD391E"/>
    <w:rsid w:val="00DD627D"/>
    <w:rsid w:val="00DD757C"/>
    <w:rsid w:val="00DE6DE5"/>
    <w:rsid w:val="00DF05C4"/>
    <w:rsid w:val="00E041CA"/>
    <w:rsid w:val="00E069AE"/>
    <w:rsid w:val="00E1244C"/>
    <w:rsid w:val="00E13D79"/>
    <w:rsid w:val="00E16E52"/>
    <w:rsid w:val="00E20E87"/>
    <w:rsid w:val="00E21BE0"/>
    <w:rsid w:val="00E27274"/>
    <w:rsid w:val="00E34E70"/>
    <w:rsid w:val="00E409A4"/>
    <w:rsid w:val="00E40EF9"/>
    <w:rsid w:val="00E41C48"/>
    <w:rsid w:val="00E472E0"/>
    <w:rsid w:val="00E5678C"/>
    <w:rsid w:val="00E57660"/>
    <w:rsid w:val="00E659FA"/>
    <w:rsid w:val="00E74385"/>
    <w:rsid w:val="00E81F83"/>
    <w:rsid w:val="00E852F8"/>
    <w:rsid w:val="00E93DEC"/>
    <w:rsid w:val="00EA0D2D"/>
    <w:rsid w:val="00EA5893"/>
    <w:rsid w:val="00EB1EBE"/>
    <w:rsid w:val="00EB668E"/>
    <w:rsid w:val="00EC04BB"/>
    <w:rsid w:val="00EC4CF2"/>
    <w:rsid w:val="00EE258E"/>
    <w:rsid w:val="00EE360C"/>
    <w:rsid w:val="00EF4ED1"/>
    <w:rsid w:val="00EF5E3B"/>
    <w:rsid w:val="00F01702"/>
    <w:rsid w:val="00F14F27"/>
    <w:rsid w:val="00F22CB8"/>
    <w:rsid w:val="00F268D3"/>
    <w:rsid w:val="00F3002F"/>
    <w:rsid w:val="00F42526"/>
    <w:rsid w:val="00F44568"/>
    <w:rsid w:val="00F44B06"/>
    <w:rsid w:val="00F4591F"/>
    <w:rsid w:val="00F50E22"/>
    <w:rsid w:val="00F5258E"/>
    <w:rsid w:val="00F53607"/>
    <w:rsid w:val="00F53927"/>
    <w:rsid w:val="00F61EBC"/>
    <w:rsid w:val="00F63135"/>
    <w:rsid w:val="00F7127D"/>
    <w:rsid w:val="00F84DD8"/>
    <w:rsid w:val="00F8602D"/>
    <w:rsid w:val="00F87E8E"/>
    <w:rsid w:val="00FA0BD4"/>
    <w:rsid w:val="00FA2B89"/>
    <w:rsid w:val="00FB1CB9"/>
    <w:rsid w:val="00FB4B1E"/>
    <w:rsid w:val="00FB4BCA"/>
    <w:rsid w:val="00FB4E16"/>
    <w:rsid w:val="00FC26A0"/>
    <w:rsid w:val="00FC42FD"/>
    <w:rsid w:val="00FC4359"/>
    <w:rsid w:val="00FC438F"/>
    <w:rsid w:val="00FC65B4"/>
    <w:rsid w:val="00FC6A56"/>
    <w:rsid w:val="00FC76A8"/>
    <w:rsid w:val="00FD3F57"/>
    <w:rsid w:val="00FE2A95"/>
    <w:rsid w:val="00FE4ACB"/>
    <w:rsid w:val="00FF1405"/>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53A3E"/>
  <w15:chartTrackingRefBased/>
  <w15:docId w15:val="{2E64BB20-7AE7-4249-88A8-FEA611A3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18"/>
    <w:pPr>
      <w:spacing w:after="0" w:line="240" w:lineRule="auto"/>
    </w:pPr>
    <w:rPr>
      <w:rFonts w:ascii="Times New Roman" w:eastAsia="Times New Roman" w:hAnsi="Times New Roman" w:cs="Times New Roman"/>
      <w:sz w:val="24"/>
      <w:szCs w:val="24"/>
      <w:lang w:val="lt-LT"/>
    </w:rPr>
  </w:style>
  <w:style w:type="paragraph" w:styleId="Heading9">
    <w:name w:val="heading 9"/>
    <w:basedOn w:val="Normal"/>
    <w:next w:val="Normal"/>
    <w:link w:val="Heading9Char"/>
    <w:unhideWhenUsed/>
    <w:qFormat/>
    <w:rsid w:val="00AE3C18"/>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AE3C18"/>
    <w:rPr>
      <w:rFonts w:ascii="Times New Roman" w:eastAsia="Times New Roman" w:hAnsi="Times New Roman" w:cs="Times New Roman"/>
      <w:b/>
      <w:bCs/>
      <w:sz w:val="20"/>
      <w:szCs w:val="24"/>
      <w:lang w:val="lt-LT"/>
    </w:rPr>
  </w:style>
  <w:style w:type="paragraph" w:styleId="FootnoteText">
    <w:name w:val="footnote text"/>
    <w:basedOn w:val="Normal"/>
    <w:link w:val="FootnoteTextChar"/>
    <w:semiHidden/>
    <w:unhideWhenUsed/>
    <w:rsid w:val="00AE3C18"/>
    <w:rPr>
      <w:sz w:val="20"/>
      <w:szCs w:val="20"/>
      <w:lang w:val="en-GB"/>
    </w:rPr>
  </w:style>
  <w:style w:type="character" w:customStyle="1" w:styleId="FootnoteTextChar">
    <w:name w:val="Footnote Text Char"/>
    <w:basedOn w:val="DefaultParagraphFont"/>
    <w:link w:val="FootnoteText"/>
    <w:semiHidden/>
    <w:rsid w:val="00AE3C18"/>
    <w:rPr>
      <w:rFonts w:ascii="Times New Roman" w:eastAsia="Times New Roman" w:hAnsi="Times New Roman" w:cs="Times New Roman"/>
      <w:sz w:val="20"/>
      <w:szCs w:val="20"/>
      <w:lang w:val="en-GB"/>
    </w:rPr>
  </w:style>
  <w:style w:type="character" w:styleId="FootnoteReference">
    <w:name w:val="footnote reference"/>
    <w:semiHidden/>
    <w:unhideWhenUsed/>
    <w:rsid w:val="00AE3C18"/>
    <w:rPr>
      <w:vertAlign w:val="superscript"/>
    </w:rPr>
  </w:style>
  <w:style w:type="paragraph" w:customStyle="1" w:styleId="Default">
    <w:name w:val="Default"/>
    <w:rsid w:val="005040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4879AE"/>
    <w:pPr>
      <w:spacing w:after="0" w:line="240" w:lineRule="auto"/>
    </w:pPr>
    <w:rPr>
      <w:rFonts w:ascii="Calibri" w:eastAsia="Calibri" w:hAnsi="Calibri" w:cs="Times New Roman"/>
    </w:rPr>
  </w:style>
  <w:style w:type="character" w:customStyle="1" w:styleId="phrase">
    <w:name w:val="phrase"/>
    <w:rsid w:val="00851B0E"/>
  </w:style>
  <w:style w:type="character" w:customStyle="1" w:styleId="word">
    <w:name w:val="word"/>
    <w:rsid w:val="00851B0E"/>
  </w:style>
  <w:style w:type="character" w:customStyle="1" w:styleId="tlid-translation">
    <w:name w:val="tlid-translation"/>
    <w:rsid w:val="009052AE"/>
  </w:style>
  <w:style w:type="paragraph" w:styleId="BodyText">
    <w:name w:val="Body Text"/>
    <w:basedOn w:val="Normal"/>
    <w:link w:val="BodyTextChar"/>
    <w:rsid w:val="00540DF3"/>
    <w:pPr>
      <w:spacing w:line="360" w:lineRule="auto"/>
      <w:jc w:val="both"/>
    </w:pPr>
    <w:rPr>
      <w:rFonts w:ascii="TimesLT" w:hAnsi="TimesLT"/>
      <w:b/>
      <w:szCs w:val="20"/>
    </w:rPr>
  </w:style>
  <w:style w:type="character" w:customStyle="1" w:styleId="BodyTextChar">
    <w:name w:val="Body Text Char"/>
    <w:basedOn w:val="DefaultParagraphFont"/>
    <w:link w:val="BodyText"/>
    <w:rsid w:val="00540DF3"/>
    <w:rPr>
      <w:rFonts w:ascii="TimesLT" w:eastAsia="Times New Roman" w:hAnsi="TimesLT" w:cs="Times New Roman"/>
      <w:b/>
      <w:sz w:val="24"/>
      <w:szCs w:val="20"/>
      <w:lang w:val="lt-LT"/>
    </w:rPr>
  </w:style>
  <w:style w:type="character" w:styleId="Strong">
    <w:name w:val="Strong"/>
    <w:uiPriority w:val="22"/>
    <w:qFormat/>
    <w:rsid w:val="00AE0E36"/>
    <w:rPr>
      <w:b/>
      <w:bCs/>
    </w:rPr>
  </w:style>
  <w:style w:type="paragraph" w:styleId="NormalWeb">
    <w:name w:val="Normal (Web)"/>
    <w:basedOn w:val="Normal"/>
    <w:uiPriority w:val="99"/>
    <w:unhideWhenUsed/>
    <w:rsid w:val="00AE0E36"/>
    <w:pPr>
      <w:spacing w:before="100" w:beforeAutospacing="1" w:after="100" w:afterAutospacing="1"/>
    </w:pPr>
    <w:rPr>
      <w:lang w:eastAsia="lt-LT"/>
    </w:rPr>
  </w:style>
  <w:style w:type="paragraph" w:styleId="Header">
    <w:name w:val="header"/>
    <w:basedOn w:val="Normal"/>
    <w:link w:val="HeaderChar"/>
    <w:uiPriority w:val="99"/>
    <w:unhideWhenUsed/>
    <w:rsid w:val="00915C4D"/>
    <w:pPr>
      <w:tabs>
        <w:tab w:val="center" w:pos="4819"/>
        <w:tab w:val="right" w:pos="9638"/>
      </w:tabs>
    </w:pPr>
  </w:style>
  <w:style w:type="character" w:customStyle="1" w:styleId="HeaderChar">
    <w:name w:val="Header Char"/>
    <w:basedOn w:val="DefaultParagraphFont"/>
    <w:link w:val="Header"/>
    <w:uiPriority w:val="99"/>
    <w:rsid w:val="00915C4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915C4D"/>
    <w:pPr>
      <w:tabs>
        <w:tab w:val="center" w:pos="4819"/>
        <w:tab w:val="right" w:pos="9638"/>
      </w:tabs>
    </w:pPr>
  </w:style>
  <w:style w:type="character" w:customStyle="1" w:styleId="FooterChar">
    <w:name w:val="Footer Char"/>
    <w:basedOn w:val="DefaultParagraphFont"/>
    <w:link w:val="Footer"/>
    <w:uiPriority w:val="99"/>
    <w:rsid w:val="00915C4D"/>
    <w:rPr>
      <w:rFonts w:ascii="Times New Roman" w:eastAsia="Times New Roman" w:hAnsi="Times New Roman" w:cs="Times New Roman"/>
      <w:sz w:val="24"/>
      <w:szCs w:val="24"/>
      <w:lang w:val="lt-LT"/>
    </w:rPr>
  </w:style>
  <w:style w:type="character" w:customStyle="1" w:styleId="NoSpacingChar">
    <w:name w:val="No Spacing Char"/>
    <w:link w:val="NoSpacing"/>
    <w:uiPriority w:val="1"/>
    <w:rsid w:val="00805E56"/>
    <w:rPr>
      <w:rFonts w:ascii="Calibri" w:eastAsia="Calibri" w:hAnsi="Calibri" w:cs="Times New Roman"/>
    </w:rPr>
  </w:style>
  <w:style w:type="paragraph" w:styleId="BalloonText">
    <w:name w:val="Balloon Text"/>
    <w:basedOn w:val="Normal"/>
    <w:link w:val="BalloonTextChar"/>
    <w:uiPriority w:val="99"/>
    <w:semiHidden/>
    <w:unhideWhenUsed/>
    <w:rsid w:val="00C80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1AC"/>
    <w:rPr>
      <w:rFonts w:ascii="Segoe UI" w:eastAsia="Times New Roman" w:hAnsi="Segoe UI" w:cs="Segoe UI"/>
      <w:sz w:val="18"/>
      <w:szCs w:val="18"/>
      <w:lang w:val="lt-LT"/>
    </w:rPr>
  </w:style>
  <w:style w:type="paragraph" w:styleId="ListParagraph">
    <w:name w:val="List Paragraph"/>
    <w:basedOn w:val="Normal"/>
    <w:uiPriority w:val="34"/>
    <w:qFormat/>
    <w:rsid w:val="00BF4A47"/>
    <w:pPr>
      <w:ind w:left="720"/>
      <w:contextualSpacing/>
    </w:pPr>
  </w:style>
  <w:style w:type="paragraph" w:styleId="CommentText">
    <w:name w:val="annotation text"/>
    <w:basedOn w:val="Normal"/>
    <w:link w:val="CommentTextChar"/>
    <w:uiPriority w:val="99"/>
    <w:semiHidden/>
    <w:unhideWhenUsed/>
    <w:rsid w:val="006A7B7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7B79"/>
    <w:rPr>
      <w:sz w:val="20"/>
      <w:szCs w:val="20"/>
      <w:lang w:val="lt-LT"/>
    </w:rPr>
  </w:style>
  <w:style w:type="character" w:styleId="CommentReference">
    <w:name w:val="annotation reference"/>
    <w:basedOn w:val="DefaultParagraphFont"/>
    <w:uiPriority w:val="99"/>
    <w:semiHidden/>
    <w:unhideWhenUsed/>
    <w:rsid w:val="00026538"/>
    <w:rPr>
      <w:sz w:val="16"/>
      <w:szCs w:val="16"/>
    </w:rPr>
  </w:style>
  <w:style w:type="paragraph" w:styleId="CommentSubject">
    <w:name w:val="annotation subject"/>
    <w:basedOn w:val="CommentText"/>
    <w:next w:val="CommentText"/>
    <w:link w:val="CommentSubjectChar"/>
    <w:uiPriority w:val="99"/>
    <w:semiHidden/>
    <w:unhideWhenUsed/>
    <w:rsid w:val="005236B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236B7"/>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7109">
      <w:bodyDiv w:val="1"/>
      <w:marLeft w:val="0"/>
      <w:marRight w:val="0"/>
      <w:marTop w:val="0"/>
      <w:marBottom w:val="0"/>
      <w:divBdr>
        <w:top w:val="none" w:sz="0" w:space="0" w:color="auto"/>
        <w:left w:val="none" w:sz="0" w:space="0" w:color="auto"/>
        <w:bottom w:val="none" w:sz="0" w:space="0" w:color="auto"/>
        <w:right w:val="none" w:sz="0" w:space="0" w:color="auto"/>
      </w:divBdr>
    </w:div>
    <w:div w:id="30036853">
      <w:bodyDiv w:val="1"/>
      <w:marLeft w:val="0"/>
      <w:marRight w:val="0"/>
      <w:marTop w:val="0"/>
      <w:marBottom w:val="0"/>
      <w:divBdr>
        <w:top w:val="none" w:sz="0" w:space="0" w:color="auto"/>
        <w:left w:val="none" w:sz="0" w:space="0" w:color="auto"/>
        <w:bottom w:val="none" w:sz="0" w:space="0" w:color="auto"/>
        <w:right w:val="none" w:sz="0" w:space="0" w:color="auto"/>
      </w:divBdr>
    </w:div>
    <w:div w:id="51730846">
      <w:bodyDiv w:val="1"/>
      <w:marLeft w:val="0"/>
      <w:marRight w:val="0"/>
      <w:marTop w:val="0"/>
      <w:marBottom w:val="0"/>
      <w:divBdr>
        <w:top w:val="none" w:sz="0" w:space="0" w:color="auto"/>
        <w:left w:val="none" w:sz="0" w:space="0" w:color="auto"/>
        <w:bottom w:val="none" w:sz="0" w:space="0" w:color="auto"/>
        <w:right w:val="none" w:sz="0" w:space="0" w:color="auto"/>
      </w:divBdr>
    </w:div>
    <w:div w:id="90667940">
      <w:bodyDiv w:val="1"/>
      <w:marLeft w:val="0"/>
      <w:marRight w:val="0"/>
      <w:marTop w:val="0"/>
      <w:marBottom w:val="0"/>
      <w:divBdr>
        <w:top w:val="none" w:sz="0" w:space="0" w:color="auto"/>
        <w:left w:val="none" w:sz="0" w:space="0" w:color="auto"/>
        <w:bottom w:val="none" w:sz="0" w:space="0" w:color="auto"/>
        <w:right w:val="none" w:sz="0" w:space="0" w:color="auto"/>
      </w:divBdr>
    </w:div>
    <w:div w:id="137116157">
      <w:bodyDiv w:val="1"/>
      <w:marLeft w:val="0"/>
      <w:marRight w:val="0"/>
      <w:marTop w:val="0"/>
      <w:marBottom w:val="0"/>
      <w:divBdr>
        <w:top w:val="none" w:sz="0" w:space="0" w:color="auto"/>
        <w:left w:val="none" w:sz="0" w:space="0" w:color="auto"/>
        <w:bottom w:val="none" w:sz="0" w:space="0" w:color="auto"/>
        <w:right w:val="none" w:sz="0" w:space="0" w:color="auto"/>
      </w:divBdr>
    </w:div>
    <w:div w:id="216208726">
      <w:bodyDiv w:val="1"/>
      <w:marLeft w:val="0"/>
      <w:marRight w:val="0"/>
      <w:marTop w:val="0"/>
      <w:marBottom w:val="0"/>
      <w:divBdr>
        <w:top w:val="none" w:sz="0" w:space="0" w:color="auto"/>
        <w:left w:val="none" w:sz="0" w:space="0" w:color="auto"/>
        <w:bottom w:val="none" w:sz="0" w:space="0" w:color="auto"/>
        <w:right w:val="none" w:sz="0" w:space="0" w:color="auto"/>
      </w:divBdr>
    </w:div>
    <w:div w:id="370231872">
      <w:bodyDiv w:val="1"/>
      <w:marLeft w:val="0"/>
      <w:marRight w:val="0"/>
      <w:marTop w:val="0"/>
      <w:marBottom w:val="0"/>
      <w:divBdr>
        <w:top w:val="none" w:sz="0" w:space="0" w:color="auto"/>
        <w:left w:val="none" w:sz="0" w:space="0" w:color="auto"/>
        <w:bottom w:val="none" w:sz="0" w:space="0" w:color="auto"/>
        <w:right w:val="none" w:sz="0" w:space="0" w:color="auto"/>
      </w:divBdr>
    </w:div>
    <w:div w:id="586495975">
      <w:bodyDiv w:val="1"/>
      <w:marLeft w:val="0"/>
      <w:marRight w:val="0"/>
      <w:marTop w:val="0"/>
      <w:marBottom w:val="0"/>
      <w:divBdr>
        <w:top w:val="none" w:sz="0" w:space="0" w:color="auto"/>
        <w:left w:val="none" w:sz="0" w:space="0" w:color="auto"/>
        <w:bottom w:val="none" w:sz="0" w:space="0" w:color="auto"/>
        <w:right w:val="none" w:sz="0" w:space="0" w:color="auto"/>
      </w:divBdr>
    </w:div>
    <w:div w:id="648485142">
      <w:bodyDiv w:val="1"/>
      <w:marLeft w:val="0"/>
      <w:marRight w:val="0"/>
      <w:marTop w:val="0"/>
      <w:marBottom w:val="0"/>
      <w:divBdr>
        <w:top w:val="none" w:sz="0" w:space="0" w:color="auto"/>
        <w:left w:val="none" w:sz="0" w:space="0" w:color="auto"/>
        <w:bottom w:val="none" w:sz="0" w:space="0" w:color="auto"/>
        <w:right w:val="none" w:sz="0" w:space="0" w:color="auto"/>
      </w:divBdr>
    </w:div>
    <w:div w:id="660474357">
      <w:bodyDiv w:val="1"/>
      <w:marLeft w:val="0"/>
      <w:marRight w:val="0"/>
      <w:marTop w:val="0"/>
      <w:marBottom w:val="0"/>
      <w:divBdr>
        <w:top w:val="none" w:sz="0" w:space="0" w:color="auto"/>
        <w:left w:val="none" w:sz="0" w:space="0" w:color="auto"/>
        <w:bottom w:val="none" w:sz="0" w:space="0" w:color="auto"/>
        <w:right w:val="none" w:sz="0" w:space="0" w:color="auto"/>
      </w:divBdr>
    </w:div>
    <w:div w:id="674190985">
      <w:bodyDiv w:val="1"/>
      <w:marLeft w:val="0"/>
      <w:marRight w:val="0"/>
      <w:marTop w:val="0"/>
      <w:marBottom w:val="0"/>
      <w:divBdr>
        <w:top w:val="none" w:sz="0" w:space="0" w:color="auto"/>
        <w:left w:val="none" w:sz="0" w:space="0" w:color="auto"/>
        <w:bottom w:val="none" w:sz="0" w:space="0" w:color="auto"/>
        <w:right w:val="none" w:sz="0" w:space="0" w:color="auto"/>
      </w:divBdr>
    </w:div>
    <w:div w:id="924798655">
      <w:bodyDiv w:val="1"/>
      <w:marLeft w:val="0"/>
      <w:marRight w:val="0"/>
      <w:marTop w:val="0"/>
      <w:marBottom w:val="0"/>
      <w:divBdr>
        <w:top w:val="none" w:sz="0" w:space="0" w:color="auto"/>
        <w:left w:val="none" w:sz="0" w:space="0" w:color="auto"/>
        <w:bottom w:val="none" w:sz="0" w:space="0" w:color="auto"/>
        <w:right w:val="none" w:sz="0" w:space="0" w:color="auto"/>
      </w:divBdr>
    </w:div>
    <w:div w:id="1356230596">
      <w:bodyDiv w:val="1"/>
      <w:marLeft w:val="0"/>
      <w:marRight w:val="0"/>
      <w:marTop w:val="0"/>
      <w:marBottom w:val="0"/>
      <w:divBdr>
        <w:top w:val="none" w:sz="0" w:space="0" w:color="auto"/>
        <w:left w:val="none" w:sz="0" w:space="0" w:color="auto"/>
        <w:bottom w:val="none" w:sz="0" w:space="0" w:color="auto"/>
        <w:right w:val="none" w:sz="0" w:space="0" w:color="auto"/>
      </w:divBdr>
    </w:div>
    <w:div w:id="1547255662">
      <w:bodyDiv w:val="1"/>
      <w:marLeft w:val="0"/>
      <w:marRight w:val="0"/>
      <w:marTop w:val="0"/>
      <w:marBottom w:val="0"/>
      <w:divBdr>
        <w:top w:val="none" w:sz="0" w:space="0" w:color="auto"/>
        <w:left w:val="none" w:sz="0" w:space="0" w:color="auto"/>
        <w:bottom w:val="none" w:sz="0" w:space="0" w:color="auto"/>
        <w:right w:val="none" w:sz="0" w:space="0" w:color="auto"/>
      </w:divBdr>
    </w:div>
    <w:div w:id="1974289369">
      <w:bodyDiv w:val="1"/>
      <w:marLeft w:val="0"/>
      <w:marRight w:val="0"/>
      <w:marTop w:val="0"/>
      <w:marBottom w:val="0"/>
      <w:divBdr>
        <w:top w:val="none" w:sz="0" w:space="0" w:color="auto"/>
        <w:left w:val="none" w:sz="0" w:space="0" w:color="auto"/>
        <w:bottom w:val="none" w:sz="0" w:space="0" w:color="auto"/>
        <w:right w:val="none" w:sz="0" w:space="0" w:color="auto"/>
      </w:divBdr>
    </w:div>
    <w:div w:id="2040276044">
      <w:bodyDiv w:val="1"/>
      <w:marLeft w:val="0"/>
      <w:marRight w:val="0"/>
      <w:marTop w:val="0"/>
      <w:marBottom w:val="0"/>
      <w:divBdr>
        <w:top w:val="none" w:sz="0" w:space="0" w:color="auto"/>
        <w:left w:val="none" w:sz="0" w:space="0" w:color="auto"/>
        <w:bottom w:val="none" w:sz="0" w:space="0" w:color="auto"/>
        <w:right w:val="none" w:sz="0" w:space="0" w:color="auto"/>
      </w:divBdr>
    </w:div>
    <w:div w:id="2084646523">
      <w:bodyDiv w:val="1"/>
      <w:marLeft w:val="0"/>
      <w:marRight w:val="0"/>
      <w:marTop w:val="0"/>
      <w:marBottom w:val="0"/>
      <w:divBdr>
        <w:top w:val="none" w:sz="0" w:space="0" w:color="auto"/>
        <w:left w:val="none" w:sz="0" w:space="0" w:color="auto"/>
        <w:bottom w:val="none" w:sz="0" w:space="0" w:color="auto"/>
        <w:right w:val="none" w:sz="0" w:space="0" w:color="auto"/>
      </w:divBdr>
    </w:div>
    <w:div w:id="21081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32AF1-E086-4555-B662-FE0D1C7D4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26317</Words>
  <Characters>15001</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41236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2021-11-24T12:00:00Z</dcterms:created>
  <dc:creator>Vitalijus Gailius</dc:creator>
  <cp:lastModifiedBy>Tomas KUPRYS</cp:lastModifiedBy>
  <dcterms:modified xsi:type="dcterms:W3CDTF">2021-11-26T06:11:00Z</dcterms:modified>
  <cp:revision>29</cp:revision>
</cp:coreProperties>
</file>