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CD6E9" w14:textId="77777777" w:rsidR="0028168E" w:rsidRDefault="00A86537">
      <w:pPr>
        <w:jc w:val="center"/>
        <w:rPr>
          <w:b/>
          <w:bCs/>
          <w:lang w:eastAsia="lt-LT"/>
        </w:rPr>
      </w:pPr>
      <w:r>
        <w:rPr>
          <w:b/>
          <w:bCs/>
          <w:lang w:eastAsia="lt-LT"/>
        </w:rPr>
        <w:t xml:space="preserve">LIETUVOS RESPUBLIKOS VYRIAUSYBĖS NUTARIMO </w:t>
      </w:r>
    </w:p>
    <w:p w14:paraId="641D6748" w14:textId="6A1A8D34" w:rsidR="0028168E" w:rsidRDefault="00A86537">
      <w:pPr>
        <w:jc w:val="center"/>
        <w:rPr>
          <w:b/>
          <w:bCs/>
          <w:lang w:eastAsia="lt-LT"/>
        </w:rPr>
      </w:pPr>
      <w:r>
        <w:rPr>
          <w:b/>
          <w:bCs/>
          <w:lang w:eastAsia="lt-LT"/>
        </w:rPr>
        <w:t>„DĖL SPECIALI</w:t>
      </w:r>
      <w:r w:rsidR="00FD0572">
        <w:rPr>
          <w:b/>
          <w:bCs/>
          <w:lang w:eastAsia="lt-LT"/>
        </w:rPr>
        <w:t>OJO</w:t>
      </w:r>
      <w:r>
        <w:rPr>
          <w:b/>
          <w:bCs/>
          <w:lang w:eastAsia="lt-LT"/>
        </w:rPr>
        <w:t xml:space="preserve"> ĮPAREIGOJIM</w:t>
      </w:r>
      <w:r w:rsidR="00FD0572">
        <w:rPr>
          <w:b/>
          <w:bCs/>
          <w:lang w:eastAsia="lt-LT"/>
        </w:rPr>
        <w:t>O</w:t>
      </w:r>
      <w:r>
        <w:rPr>
          <w:b/>
          <w:bCs/>
          <w:lang w:eastAsia="lt-LT"/>
        </w:rPr>
        <w:t xml:space="preserve"> VALSTYBĖS ĮMONEI KLAIPĖDOS VALSTYBINIO JŪRŲ UOSTO DIREKCIJAI NUSTATYMO“</w:t>
      </w:r>
    </w:p>
    <w:p w14:paraId="57102FAA" w14:textId="77777777" w:rsidR="0028168E" w:rsidRDefault="00A86537">
      <w:pPr>
        <w:jc w:val="center"/>
        <w:rPr>
          <w:b/>
          <w:color w:val="000000" w:themeColor="text1"/>
          <w:lang w:eastAsia="lt-LT"/>
        </w:rPr>
      </w:pPr>
      <w:r>
        <w:rPr>
          <w:b/>
          <w:bCs/>
          <w:color w:val="000000" w:themeColor="text1"/>
          <w:lang w:eastAsia="lt-LT"/>
        </w:rPr>
        <w:t xml:space="preserve"> PROJEKTO</w:t>
      </w:r>
      <w:r>
        <w:rPr>
          <w:rFonts w:eastAsia="Calibri"/>
          <w:b/>
          <w:color w:val="000000" w:themeColor="text1"/>
          <w:lang w:eastAsia="lt-LT"/>
        </w:rPr>
        <w:t xml:space="preserve"> </w:t>
      </w:r>
      <w:r>
        <w:rPr>
          <w:b/>
          <w:color w:val="000000" w:themeColor="text1"/>
        </w:rPr>
        <w:t>DERINIMO PAŽYMA</w:t>
      </w:r>
    </w:p>
    <w:p w14:paraId="230165ED" w14:textId="77777777" w:rsidR="0028168E" w:rsidRDefault="0028168E">
      <w:pPr>
        <w:jc w:val="center"/>
        <w:rPr>
          <w:rFonts w:eastAsia="Calibri"/>
          <w:b/>
          <w:lang w:eastAsia="lt-LT"/>
        </w:rPr>
      </w:pPr>
    </w:p>
    <w:p w14:paraId="07AFEE6C" w14:textId="77777777" w:rsidR="0028168E" w:rsidRDefault="0028168E">
      <w:pPr>
        <w:ind w:firstLine="709"/>
        <w:jc w:val="center"/>
        <w:rPr>
          <w:b/>
          <w:color w:val="000000" w:themeColor="text1"/>
        </w:rPr>
      </w:pPr>
    </w:p>
    <w:tbl>
      <w:tblPr>
        <w:tblW w:w="15134" w:type="dxa"/>
        <w:tblLook w:val="0000" w:firstRow="0" w:lastRow="0" w:firstColumn="0" w:lastColumn="0" w:noHBand="0" w:noVBand="0"/>
      </w:tblPr>
      <w:tblGrid>
        <w:gridCol w:w="1837"/>
        <w:gridCol w:w="6635"/>
        <w:gridCol w:w="6662"/>
      </w:tblGrid>
      <w:tr w:rsidR="0028168E" w14:paraId="20149BCD" w14:textId="77777777">
        <w:tc>
          <w:tcPr>
            <w:tcW w:w="1837" w:type="dxa"/>
            <w:tcBorders>
              <w:top w:val="single" w:sz="4" w:space="0" w:color="000000"/>
              <w:left w:val="single" w:sz="4" w:space="0" w:color="000000"/>
              <w:bottom w:val="single" w:sz="4" w:space="0" w:color="000000"/>
              <w:right w:val="single" w:sz="4" w:space="0" w:color="000000"/>
            </w:tcBorders>
          </w:tcPr>
          <w:p w14:paraId="035A56FE" w14:textId="77777777" w:rsidR="0028168E" w:rsidRDefault="00A86537">
            <w:pPr>
              <w:jc w:val="center"/>
              <w:rPr>
                <w:color w:val="000000" w:themeColor="text1"/>
              </w:rPr>
            </w:pPr>
            <w:r>
              <w:rPr>
                <w:color w:val="000000" w:themeColor="text1"/>
              </w:rPr>
              <w:t>Institucijos pavadinimas,</w:t>
            </w:r>
          </w:p>
          <w:p w14:paraId="3BC7F2C4" w14:textId="77777777" w:rsidR="0028168E" w:rsidRDefault="00A86537">
            <w:pPr>
              <w:jc w:val="center"/>
              <w:rPr>
                <w:color w:val="000000" w:themeColor="text1"/>
              </w:rPr>
            </w:pPr>
            <w:r>
              <w:rPr>
                <w:color w:val="000000" w:themeColor="text1"/>
              </w:rPr>
              <w:t>rašto data ir numeris</w:t>
            </w:r>
          </w:p>
        </w:tc>
        <w:tc>
          <w:tcPr>
            <w:tcW w:w="6635" w:type="dxa"/>
            <w:tcBorders>
              <w:top w:val="single" w:sz="4" w:space="0" w:color="000000"/>
              <w:left w:val="single" w:sz="4" w:space="0" w:color="000000"/>
              <w:bottom w:val="single" w:sz="4" w:space="0" w:color="000000"/>
              <w:right w:val="single" w:sz="4" w:space="0" w:color="000000"/>
            </w:tcBorders>
          </w:tcPr>
          <w:p w14:paraId="00B90E4B" w14:textId="77777777" w:rsidR="0028168E" w:rsidRDefault="00A86537">
            <w:pPr>
              <w:jc w:val="center"/>
              <w:rPr>
                <w:color w:val="000000" w:themeColor="text1"/>
              </w:rPr>
            </w:pPr>
            <w:r>
              <w:rPr>
                <w:color w:val="000000" w:themeColor="text1"/>
              </w:rPr>
              <w:t>Pastabos ir pasiūlymai</w:t>
            </w:r>
          </w:p>
        </w:tc>
        <w:tc>
          <w:tcPr>
            <w:tcW w:w="6662" w:type="dxa"/>
            <w:tcBorders>
              <w:top w:val="single" w:sz="4" w:space="0" w:color="000000"/>
              <w:left w:val="single" w:sz="4" w:space="0" w:color="000000"/>
              <w:bottom w:val="single" w:sz="4" w:space="0" w:color="000000"/>
              <w:right w:val="single" w:sz="4" w:space="0" w:color="000000"/>
            </w:tcBorders>
          </w:tcPr>
          <w:p w14:paraId="5665F27D" w14:textId="77777777" w:rsidR="0028168E" w:rsidRDefault="00A86537">
            <w:pPr>
              <w:jc w:val="center"/>
              <w:rPr>
                <w:color w:val="000000" w:themeColor="text1"/>
              </w:rPr>
            </w:pPr>
            <w:r>
              <w:rPr>
                <w:color w:val="000000" w:themeColor="text1"/>
              </w:rPr>
              <w:t>Argumentai, kodėl neatsižvelgta arba atsižvelgta iš dalies į pastabas ir pasiūlymus</w:t>
            </w:r>
          </w:p>
        </w:tc>
      </w:tr>
      <w:tr w:rsidR="0028168E" w14:paraId="11A0CDCF" w14:textId="77777777">
        <w:tc>
          <w:tcPr>
            <w:tcW w:w="1837" w:type="dxa"/>
            <w:tcBorders>
              <w:top w:val="single" w:sz="4" w:space="0" w:color="000000"/>
              <w:left w:val="single" w:sz="4" w:space="0" w:color="000000"/>
              <w:bottom w:val="single" w:sz="4" w:space="0" w:color="000000"/>
              <w:right w:val="single" w:sz="4" w:space="0" w:color="000000"/>
            </w:tcBorders>
          </w:tcPr>
          <w:p w14:paraId="51A9C61D" w14:textId="4B332259" w:rsidR="0028168E" w:rsidRPr="00B901B6" w:rsidRDefault="00841550">
            <w:pPr>
              <w:pStyle w:val="Default"/>
              <w:rPr>
                <w:color w:val="000000" w:themeColor="text1"/>
                <w:lang w:val="en-US"/>
              </w:rPr>
            </w:pPr>
            <w:r>
              <w:rPr>
                <w:color w:val="000000" w:themeColor="text1"/>
              </w:rPr>
              <w:t xml:space="preserve">Lietuvos Respublikos Vyriausybės kanceliarijos </w:t>
            </w:r>
            <w:r>
              <w:rPr>
                <w:color w:val="000000" w:themeColor="text1"/>
                <w:lang w:val="en-US"/>
              </w:rPr>
              <w:t>2020-11-13 Nr. NV-3107</w:t>
            </w:r>
          </w:p>
        </w:tc>
        <w:tc>
          <w:tcPr>
            <w:tcW w:w="6635" w:type="dxa"/>
            <w:tcBorders>
              <w:top w:val="single" w:sz="4" w:space="0" w:color="000000"/>
              <w:left w:val="single" w:sz="4" w:space="0" w:color="000000"/>
              <w:bottom w:val="single" w:sz="4" w:space="0" w:color="000000"/>
              <w:right w:val="single" w:sz="4" w:space="0" w:color="000000"/>
            </w:tcBorders>
          </w:tcPr>
          <w:p w14:paraId="2422FD28" w14:textId="05AED751" w:rsidR="00841550" w:rsidRPr="00841550" w:rsidRDefault="00841550" w:rsidP="00841550">
            <w:pPr>
              <w:rPr>
                <w:lang w:eastAsia="lt-LT"/>
              </w:rPr>
            </w:pPr>
            <w:r w:rsidRPr="00841550">
              <w:rPr>
                <w:lang w:eastAsia="lt-LT"/>
              </w:rPr>
              <w:t>3.2. Šiame punkte įtvirtintas siekis sudaryti sąlygas, kad Uosto direkcijos vidutinė metinė nuosavo kapitalo grąža iš uosto infrastruktūros ir žemės, naudojamos Projekto 1 punkte nurodytai veiklai, būtų ne mažesnė kaip 2 procentai, yra susijęs su teisiniu reguliavimu, įtvirtintu Valstybės turtinių ir neturtinių teisių įgyvendinimo valstybės valdomose įmonėse tvarkos apraše (toliau – Aprašas), patvirtintame Vyriausybės 2012 m. birželio 6 d. nutarimu Nr. 665 „Dėl Valstybės turtinių ir neturtinių teisių įgyvendinimo valstybės valdomose įmonėse tvarkos aprašo patvirtinimo“, kuris numato konkrečią valstybės valdomų įmonių ir dukterinių bendrovių siektinų vidutinių metinių nuosavo kapitalo kainų nustatymo procedūrą. Aprašo 16 ir 16</w:t>
            </w:r>
            <w:r w:rsidRPr="00FE281F">
              <w:rPr>
                <w:vertAlign w:val="superscript"/>
                <w:lang w:eastAsia="lt-LT"/>
              </w:rPr>
              <w:t>1</w:t>
            </w:r>
            <w:r w:rsidRPr="00841550">
              <w:rPr>
                <w:lang w:eastAsia="lt-LT"/>
              </w:rPr>
              <w:t xml:space="preserve"> p. nustato, kad valdomų įmonių ir dukterinių bendrovių siektinas vidutines metines nuosavo kapitalo kainas (toliau – pelningumo rodikliai) 3 metų laikotarpiui tvirtina Vyriausybė ekonomikos ir inovacijų ministro teikimu. Pelningumo rodikliai skaičiuojami nuo valstybės valdomų įmonių ir dukterinių bendrovių ūkinės komercinės veiklos. Tais atvejais, kai valstybės valdomos įmonės ir dukterinės bendrovės nevykdo ūkinės komercinės veiklos arba jų vykdoma ūkinė komercinė veikla nėra laikoma reikšminga vadovaujantis ekonomikos ir inovacijų ministro patvirtintomis valstybės valdomų įmonių specialiųjų įpareigojimų nustatymo ir informacijos pateikimo rekomendacijomis, pelningumo rodikliai neskaičiuojami ir Vyriausybei tvirtinti neteikiami. Viešoji įstaiga Valdymo koordinavimo centras, likus ne mažiau kaip 6 mėnesiams iki laikotarpio, kuriam nustatomi nauji pelningumo rodikliai, pateikia Ekonomikos ir inovacijų ministerijai pagal Aprašo 3 priedą ir atsižvelgdamas į įmonės individualų vertinimą, kaip jis apibrėžtas Valstybės ir savivaldybių turto valdymo, naudojimo ir disponavimo </w:t>
            </w:r>
            <w:r w:rsidRPr="00841550">
              <w:rPr>
                <w:lang w:eastAsia="lt-LT"/>
              </w:rPr>
              <w:lastRenderedPageBreak/>
              <w:t>juo įstatyme (toliau -</w:t>
            </w:r>
            <w:r w:rsidR="00F1026D">
              <w:rPr>
                <w:lang w:eastAsia="lt-LT"/>
              </w:rPr>
              <w:t xml:space="preserve"> </w:t>
            </w:r>
            <w:r w:rsidRPr="00841550">
              <w:rPr>
                <w:lang w:eastAsia="lt-LT"/>
              </w:rPr>
              <w:t xml:space="preserve">Disponavimo įstatymas), pelningumo rodiklius naujam 3 metų laikotarpiui, prieš tai juos suderinusi su atitinkamomis valstybei atstovaujančiomis institucijomis ir atitinkamais valstybės valdomų bendrovių valdymo organais, kai pelningumo rodikliai nustatomi dukterinėms bendrovėms. Atsižvelgiant į tai, Projekto 2 p. įtvirtintas siekis ir juo nustatytos niekaip nepagrįstos procentinės vertės (ne mažiau nei 2 proc.) yra sudėtinė Apraše įtvirtintos valstybės valdomų įmonių siektinų vidutinių metinių nuosavo kapitalo kainų nustatymo procedūros dalis, ir vertintinos sistemiškai vykdant minėtą procedūrą, todėl yra ne šio Projekto reguliavimo dalykas. </w:t>
            </w:r>
          </w:p>
          <w:p w14:paraId="66366F77" w14:textId="77777777" w:rsidR="00841550" w:rsidRPr="00841550" w:rsidRDefault="00841550" w:rsidP="00841550">
            <w:pPr>
              <w:rPr>
                <w:lang w:eastAsia="lt-LT"/>
              </w:rPr>
            </w:pPr>
          </w:p>
          <w:p w14:paraId="79221AAD" w14:textId="67ADC092" w:rsidR="0028168E" w:rsidRDefault="0028168E">
            <w:pPr>
              <w:ind w:firstLine="720"/>
              <w:rPr>
                <w:lang w:eastAsia="lt-LT"/>
              </w:rPr>
            </w:pPr>
          </w:p>
        </w:tc>
        <w:tc>
          <w:tcPr>
            <w:tcW w:w="6662" w:type="dxa"/>
            <w:tcBorders>
              <w:top w:val="single" w:sz="4" w:space="0" w:color="000000"/>
              <w:left w:val="single" w:sz="4" w:space="0" w:color="000000"/>
              <w:bottom w:val="single" w:sz="4" w:space="0" w:color="000000"/>
              <w:right w:val="single" w:sz="4" w:space="0" w:color="000000"/>
            </w:tcBorders>
          </w:tcPr>
          <w:p w14:paraId="0F614EA6" w14:textId="77777777" w:rsidR="00841550" w:rsidRPr="00B901B6" w:rsidRDefault="00841550">
            <w:pPr>
              <w:rPr>
                <w:b/>
                <w:bCs/>
                <w:color w:val="000000" w:themeColor="text1"/>
              </w:rPr>
            </w:pPr>
            <w:r w:rsidRPr="00B901B6">
              <w:rPr>
                <w:b/>
                <w:bCs/>
                <w:color w:val="000000" w:themeColor="text1"/>
              </w:rPr>
              <w:lastRenderedPageBreak/>
              <w:t>Neatsižvelgta</w:t>
            </w:r>
          </w:p>
          <w:p w14:paraId="27B30039" w14:textId="0313B86A" w:rsidR="00841550" w:rsidRPr="00841550" w:rsidRDefault="00841550" w:rsidP="00841550">
            <w:pPr>
              <w:rPr>
                <w:color w:val="000000" w:themeColor="text1"/>
              </w:rPr>
            </w:pPr>
            <w:r w:rsidRPr="00841550">
              <w:rPr>
                <w:color w:val="000000" w:themeColor="text1"/>
              </w:rPr>
              <w:t>Siūlomas reguliavimas ne</w:t>
            </w:r>
            <w:r w:rsidR="00F1026D">
              <w:rPr>
                <w:color w:val="000000" w:themeColor="text1"/>
              </w:rPr>
              <w:t xml:space="preserve"> </w:t>
            </w:r>
            <w:r w:rsidRPr="00841550">
              <w:rPr>
                <w:color w:val="000000" w:themeColor="text1"/>
              </w:rPr>
              <w:t>prieštarauja, o papildo bendrąjį reguliavimą, įtvirtintą Valstybės turtinių ir neturtinių teisių įgyvendinimo valstybės valdomose įmonėse tvarkos apraše.</w:t>
            </w:r>
            <w:r w:rsidR="008A3FA4">
              <w:rPr>
                <w:color w:val="000000" w:themeColor="text1"/>
              </w:rPr>
              <w:t xml:space="preserve"> </w:t>
            </w:r>
            <w:r w:rsidRPr="00841550">
              <w:rPr>
                <w:color w:val="000000" w:themeColor="text1"/>
              </w:rPr>
              <w:t>Valstybės valdomų įmonių siektinas vidutines metines nuosavo kapitalo kainas 3 metų laikotarpiui tvirtina Lietuvos Respublikos Vyriausybė Lietuvos Respublikos ekonomikos ir inovacijų ministro teikimu. Lietuvos Respublikos Vyriausybės 2019 m. sausio 9 d. nutarimu Nr. 12 „Dėl valstybės valdomų įmonių siektinų pelningumo rodiklių 2019–2021 metams nustatymo“</w:t>
            </w:r>
            <w:r w:rsidR="008A3FA4">
              <w:rPr>
                <w:color w:val="000000" w:themeColor="text1"/>
              </w:rPr>
              <w:t xml:space="preserve"> </w:t>
            </w:r>
            <w:r w:rsidRPr="00841550">
              <w:rPr>
                <w:color w:val="000000" w:themeColor="text1"/>
              </w:rPr>
              <w:t>(toliau – Nutarimas dėl pelningumo rodiklių) Uosto direkcijai yra nustatyta siektina vidutinė metinė nuosavo kapitalo kaina 2019–2021 metų laikotarpiu – 6. Šiame nutarime nurodyti siektini pelningumo rodikliai yra nustatyti bendrai visoms vienos įmonės vykdomoms komercinėms veikloms, jie nėra skirstomi pagal atskiras veiklas, o specialiesiems įpareigojimams pelningumo rodikliai nėra nustatomi. Nutarimo projekto parengiamajame etape Ekonomikos ir inovacijų ministerija išreiškė nepritarimą galimam Nutarimo dėl pelningumo rodiklių keitimui, keičiant šio nutarimo dėstymo principus</w:t>
            </w:r>
            <w:r w:rsidR="00F1026D">
              <w:rPr>
                <w:color w:val="000000" w:themeColor="text1"/>
              </w:rPr>
              <w:t xml:space="preserve"> </w:t>
            </w:r>
            <w:r w:rsidRPr="00841550">
              <w:rPr>
                <w:color w:val="000000" w:themeColor="text1"/>
              </w:rPr>
              <w:t>/</w:t>
            </w:r>
            <w:r w:rsidR="00F1026D">
              <w:rPr>
                <w:color w:val="000000" w:themeColor="text1"/>
              </w:rPr>
              <w:t xml:space="preserve"> </w:t>
            </w:r>
            <w:r w:rsidRPr="00841550">
              <w:rPr>
                <w:color w:val="000000" w:themeColor="text1"/>
              </w:rPr>
              <w:t xml:space="preserve">struktūrą. </w:t>
            </w:r>
          </w:p>
          <w:p w14:paraId="6E3F68B5" w14:textId="04392C67" w:rsidR="00841550" w:rsidRDefault="00841550" w:rsidP="005D3CC8">
            <w:pPr>
              <w:rPr>
                <w:color w:val="000000" w:themeColor="text1"/>
              </w:rPr>
            </w:pPr>
            <w:r w:rsidRPr="00841550">
              <w:rPr>
                <w:color w:val="000000" w:themeColor="text1"/>
              </w:rPr>
              <w:t>Nutarimo projekte siektino rodiklio nustatymas svarbus dėl keleto priežasčių. Nutarim</w:t>
            </w:r>
            <w:r w:rsidR="00F1026D">
              <w:rPr>
                <w:color w:val="000000" w:themeColor="text1"/>
              </w:rPr>
              <w:t>o</w:t>
            </w:r>
            <w:r w:rsidRPr="00841550">
              <w:rPr>
                <w:color w:val="000000" w:themeColor="text1"/>
              </w:rPr>
              <w:t xml:space="preserve"> projektu yra siekiama nustatyti įpareigojimą Uosto direkcijai vy</w:t>
            </w:r>
            <w:r w:rsidR="00F1026D">
              <w:rPr>
                <w:color w:val="000000" w:themeColor="text1"/>
              </w:rPr>
              <w:t>kd</w:t>
            </w:r>
            <w:r w:rsidRPr="00841550">
              <w:rPr>
                <w:color w:val="000000" w:themeColor="text1"/>
              </w:rPr>
              <w:t>yti Nutarimo projekte nurodytas veiklas, kurios</w:t>
            </w:r>
            <w:r w:rsidR="00F1026D">
              <w:rPr>
                <w:color w:val="000000" w:themeColor="text1"/>
              </w:rPr>
              <w:t>,</w:t>
            </w:r>
            <w:r w:rsidRPr="00841550">
              <w:rPr>
                <w:color w:val="000000" w:themeColor="text1"/>
              </w:rPr>
              <w:t xml:space="preserve"> būdamos specialiuoju įpareigojimu, t.</w:t>
            </w:r>
            <w:r w:rsidR="00F1026D">
              <w:rPr>
                <w:color w:val="000000" w:themeColor="text1"/>
              </w:rPr>
              <w:t xml:space="preserve"> </w:t>
            </w:r>
            <w:r w:rsidRPr="00841550">
              <w:rPr>
                <w:color w:val="000000" w:themeColor="text1"/>
              </w:rPr>
              <w:t xml:space="preserve">y. </w:t>
            </w:r>
            <w:r w:rsidRPr="00B901B6">
              <w:rPr>
                <w:i/>
                <w:iCs/>
                <w:color w:val="000000" w:themeColor="text1"/>
              </w:rPr>
              <w:t xml:space="preserve">per </w:t>
            </w:r>
            <w:proofErr w:type="spellStart"/>
            <w:r w:rsidRPr="00B901B6">
              <w:rPr>
                <w:i/>
                <w:iCs/>
                <w:color w:val="000000" w:themeColor="text1"/>
              </w:rPr>
              <w:t>se</w:t>
            </w:r>
            <w:proofErr w:type="spellEnd"/>
            <w:r w:rsidRPr="00841550">
              <w:rPr>
                <w:color w:val="000000" w:themeColor="text1"/>
              </w:rPr>
              <w:t xml:space="preserve"> nuostolingos ar mažiau pelningos, turės neigiam</w:t>
            </w:r>
            <w:r w:rsidR="00F1026D">
              <w:rPr>
                <w:color w:val="000000" w:themeColor="text1"/>
              </w:rPr>
              <w:t>ą</w:t>
            </w:r>
            <w:r w:rsidRPr="00841550">
              <w:rPr>
                <w:color w:val="000000" w:themeColor="text1"/>
              </w:rPr>
              <w:t xml:space="preserve"> poveik</w:t>
            </w:r>
            <w:r w:rsidR="00F1026D">
              <w:rPr>
                <w:color w:val="000000" w:themeColor="text1"/>
              </w:rPr>
              <w:t>į</w:t>
            </w:r>
            <w:r w:rsidRPr="00841550">
              <w:rPr>
                <w:color w:val="000000" w:themeColor="text1"/>
              </w:rPr>
              <w:t xml:space="preserve"> Uosto direkcijos veiklos rezultatams. Vyriausybė, nustatydama įpareigojimą, turi teisę pasisakyti ir dėl šio įpareigojimo apimties – kokiomis sąlygomis ir kokia apimtimi šis įpareigojimas turėtų būti vykdomas (pvz., įpareigojimas galėtų būti absoliutus, t</w:t>
            </w:r>
            <w:r w:rsidR="00F1026D">
              <w:rPr>
                <w:color w:val="000000" w:themeColor="text1"/>
              </w:rPr>
              <w:t xml:space="preserve">. </w:t>
            </w:r>
            <w:r w:rsidRPr="00841550">
              <w:rPr>
                <w:color w:val="000000" w:themeColor="text1"/>
              </w:rPr>
              <w:t xml:space="preserve">y. nepaisant to, koks </w:t>
            </w:r>
            <w:r w:rsidRPr="00841550">
              <w:rPr>
                <w:color w:val="000000" w:themeColor="text1"/>
              </w:rPr>
              <w:lastRenderedPageBreak/>
              <w:t>jis būtų nuostolingas, jį būtų privalu vykdyti).</w:t>
            </w:r>
            <w:r w:rsidR="005D3CC8">
              <w:rPr>
                <w:color w:val="000000" w:themeColor="text1"/>
              </w:rPr>
              <w:t xml:space="preserve"> </w:t>
            </w:r>
            <w:r w:rsidRPr="00841550">
              <w:rPr>
                <w:color w:val="000000" w:themeColor="text1"/>
              </w:rPr>
              <w:t>Įtvirtinimas</w:t>
            </w:r>
            <w:r w:rsidR="008E4745">
              <w:rPr>
                <w:color w:val="000000" w:themeColor="text1"/>
              </w:rPr>
              <w:t xml:space="preserve"> siektinos ne mažesnės kaip</w:t>
            </w:r>
            <w:r w:rsidRPr="00841550">
              <w:rPr>
                <w:color w:val="000000" w:themeColor="text1"/>
              </w:rPr>
              <w:t xml:space="preserve"> 2 procentų</w:t>
            </w:r>
            <w:r w:rsidR="008E4745">
              <w:rPr>
                <w:color w:val="000000" w:themeColor="text1"/>
              </w:rPr>
              <w:t xml:space="preserve"> Uosto direkcijos nuosavo</w:t>
            </w:r>
            <w:r w:rsidRPr="00841550">
              <w:rPr>
                <w:color w:val="000000" w:themeColor="text1"/>
              </w:rPr>
              <w:t xml:space="preserve"> kapitalo</w:t>
            </w:r>
            <w:r w:rsidR="008E4745">
              <w:rPr>
                <w:color w:val="000000" w:themeColor="text1"/>
              </w:rPr>
              <w:t xml:space="preserve">, </w:t>
            </w:r>
            <w:r w:rsidR="008E4745" w:rsidRPr="008E4745">
              <w:rPr>
                <w:color w:val="000000" w:themeColor="text1"/>
              </w:rPr>
              <w:t xml:space="preserve">investuoto į žemę ir infrastruktūrą, naudojamą </w:t>
            </w:r>
            <w:r w:rsidR="008E4745">
              <w:rPr>
                <w:color w:val="000000" w:themeColor="text1"/>
              </w:rPr>
              <w:t>Nutarimo projekte</w:t>
            </w:r>
            <w:r w:rsidR="008E4745" w:rsidRPr="008E4745">
              <w:rPr>
                <w:color w:val="000000" w:themeColor="text1"/>
              </w:rPr>
              <w:t xml:space="preserve"> nurodytoms veikloms</w:t>
            </w:r>
            <w:r w:rsidR="008E4745">
              <w:rPr>
                <w:color w:val="000000" w:themeColor="text1"/>
              </w:rPr>
              <w:t>, vidutinės metinės kainos</w:t>
            </w:r>
            <w:r w:rsidRPr="00841550">
              <w:rPr>
                <w:color w:val="000000" w:themeColor="text1"/>
              </w:rPr>
              <w:t xml:space="preserve"> (konkretus rodiklis pasirinktas ir pasiūlytas po alternatyvų vertinimo atlikimo, informacija apie kurį yra pateikta Nutarimo projekto teikime)</w:t>
            </w:r>
            <w:r w:rsidR="008E4745">
              <w:rPr>
                <w:color w:val="000000" w:themeColor="text1"/>
              </w:rPr>
              <w:t xml:space="preserve">, </w:t>
            </w:r>
            <w:r w:rsidRPr="00841550">
              <w:rPr>
                <w:color w:val="000000" w:themeColor="text1"/>
              </w:rPr>
              <w:t>indikuoja Uosto direkcijai šio Vyriausybės nustatomo įpareigojimo apimt</w:t>
            </w:r>
            <w:r w:rsidR="008E4745">
              <w:rPr>
                <w:color w:val="000000" w:themeColor="text1"/>
              </w:rPr>
              <w:t>į</w:t>
            </w:r>
            <w:r w:rsidRPr="00841550">
              <w:rPr>
                <w:color w:val="000000" w:themeColor="text1"/>
              </w:rPr>
              <w:t xml:space="preserve"> – t.</w:t>
            </w:r>
            <w:r w:rsidR="00F1026D">
              <w:rPr>
                <w:color w:val="000000" w:themeColor="text1"/>
              </w:rPr>
              <w:t xml:space="preserve"> </w:t>
            </w:r>
            <w:r w:rsidRPr="00841550">
              <w:rPr>
                <w:color w:val="000000" w:themeColor="text1"/>
              </w:rPr>
              <w:t xml:space="preserve">y. kad Uosto direkcijos pareiga vystyti tokio pobūdžio infrastruktūrą turi būti vykdoma tik iki tokios ribos, kad pelningumo rodiklis iš šios veiklos būtų </w:t>
            </w:r>
            <w:r w:rsidR="001401DC">
              <w:rPr>
                <w:color w:val="000000" w:themeColor="text1"/>
              </w:rPr>
              <w:t xml:space="preserve">ne </w:t>
            </w:r>
            <w:r w:rsidRPr="00841550">
              <w:rPr>
                <w:color w:val="000000" w:themeColor="text1"/>
              </w:rPr>
              <w:t xml:space="preserve">mažesnis </w:t>
            </w:r>
            <w:r w:rsidR="006F2488">
              <w:rPr>
                <w:color w:val="000000" w:themeColor="text1"/>
              </w:rPr>
              <w:t>kaip</w:t>
            </w:r>
            <w:r w:rsidR="006F2488" w:rsidRPr="00841550">
              <w:rPr>
                <w:color w:val="000000" w:themeColor="text1"/>
              </w:rPr>
              <w:t xml:space="preserve"> </w:t>
            </w:r>
            <w:r w:rsidRPr="00841550">
              <w:rPr>
                <w:color w:val="000000" w:themeColor="text1"/>
              </w:rPr>
              <w:t xml:space="preserve">2 proc. </w:t>
            </w:r>
            <w:r w:rsidR="005D3CC8">
              <w:rPr>
                <w:color w:val="000000" w:themeColor="text1"/>
              </w:rPr>
              <w:t xml:space="preserve">Atsižvelgus į Nutarimo projekto teikime nurodytą alternatyvų analizę, manytina, kad minėtas specialusis įpareigojimas atitinka valstybės interesus tik tuo atveju, jei siektina kapitalo nauda bus ne mažesnė nei nurodytoji. </w:t>
            </w:r>
            <w:r w:rsidRPr="00841550">
              <w:rPr>
                <w:color w:val="000000" w:themeColor="text1"/>
              </w:rPr>
              <w:t xml:space="preserve">Nutarimo projektu nustatyti siektini </w:t>
            </w:r>
            <w:r w:rsidR="001401DC" w:rsidRPr="00841550">
              <w:rPr>
                <w:color w:val="000000" w:themeColor="text1"/>
              </w:rPr>
              <w:t>konkreči</w:t>
            </w:r>
            <w:r w:rsidR="001401DC">
              <w:rPr>
                <w:color w:val="000000" w:themeColor="text1"/>
              </w:rPr>
              <w:t>ų</w:t>
            </w:r>
            <w:r w:rsidR="001401DC" w:rsidRPr="00841550">
              <w:rPr>
                <w:color w:val="000000" w:themeColor="text1"/>
              </w:rPr>
              <w:t xml:space="preserve"> Uosto direkcijos veikl</w:t>
            </w:r>
            <w:r w:rsidR="001401DC">
              <w:rPr>
                <w:color w:val="000000" w:themeColor="text1"/>
              </w:rPr>
              <w:t>ų</w:t>
            </w:r>
            <w:r w:rsidR="001401DC" w:rsidRPr="00841550">
              <w:rPr>
                <w:color w:val="000000" w:themeColor="text1"/>
              </w:rPr>
              <w:t xml:space="preserve"> </w:t>
            </w:r>
            <w:r w:rsidRPr="00841550">
              <w:rPr>
                <w:color w:val="000000" w:themeColor="text1"/>
              </w:rPr>
              <w:t>rodikliai neturi tiesioginio poveikio bendrajam teisiniam reguliavimui ir Uosto direkcijai Nutarimu dėl pelningumo rodiklių nustatytai vertei – 6, nes pelningumo rodikliai yra skaičiuojami nuo valstybės valdomų įmonių ūkinės komercinės veiklos, iš pastarosios eliminavus nekomercines veiklas, t. y. specialiuosius įpareigojimus. Vadinasi</w:t>
            </w:r>
            <w:r w:rsidR="001401DC">
              <w:rPr>
                <w:color w:val="000000" w:themeColor="text1"/>
              </w:rPr>
              <w:t>,</w:t>
            </w:r>
            <w:r w:rsidRPr="00841550">
              <w:rPr>
                <w:color w:val="000000" w:themeColor="text1"/>
              </w:rPr>
              <w:t xml:space="preserve"> </w:t>
            </w:r>
            <w:r w:rsidR="00B77418">
              <w:rPr>
                <w:color w:val="000000" w:themeColor="text1"/>
              </w:rPr>
              <w:t>a</w:t>
            </w:r>
            <w:r w:rsidRPr="00841550">
              <w:rPr>
                <w:color w:val="000000" w:themeColor="text1"/>
              </w:rPr>
              <w:t>pskaičiuojant Uosto direkcijos pelningumo rodiklius, Nutarimo projekte nurodyta veikla, kaip specialusis įpareigojimas, bus eliminuota.</w:t>
            </w:r>
          </w:p>
        </w:tc>
      </w:tr>
      <w:tr w:rsidR="0028168E" w14:paraId="08EE6F78" w14:textId="77777777">
        <w:tc>
          <w:tcPr>
            <w:tcW w:w="1837" w:type="dxa"/>
            <w:tcBorders>
              <w:top w:val="single" w:sz="4" w:space="0" w:color="000000"/>
              <w:left w:val="single" w:sz="4" w:space="0" w:color="000000"/>
              <w:bottom w:val="single" w:sz="4" w:space="0" w:color="000000"/>
              <w:right w:val="single" w:sz="4" w:space="0" w:color="000000"/>
            </w:tcBorders>
          </w:tcPr>
          <w:p w14:paraId="610440F5" w14:textId="77777777" w:rsidR="0028168E" w:rsidRDefault="00A86537">
            <w:pPr>
              <w:pStyle w:val="Default"/>
            </w:pPr>
            <w:r>
              <w:rPr>
                <w:color w:val="000000" w:themeColor="text1"/>
              </w:rPr>
              <w:lastRenderedPageBreak/>
              <w:t>Lietuvos jūrų krovos kompanijų asociacijos  2020-</w:t>
            </w:r>
            <w:r>
              <w:rPr>
                <w:color w:val="000000" w:themeColor="text1"/>
                <w:lang w:val="en-US"/>
              </w:rPr>
              <w:t>10</w:t>
            </w:r>
            <w:r>
              <w:rPr>
                <w:color w:val="000000" w:themeColor="text1"/>
              </w:rPr>
              <w:t xml:space="preserve">-16 raštas </w:t>
            </w:r>
            <w:r>
              <w:rPr>
                <w:color w:val="000000" w:themeColor="text1"/>
              </w:rPr>
              <w:br/>
              <w:t xml:space="preserve">Nr. </w:t>
            </w:r>
            <w:r>
              <w:t>018</w:t>
            </w:r>
          </w:p>
        </w:tc>
        <w:tc>
          <w:tcPr>
            <w:tcW w:w="6635" w:type="dxa"/>
            <w:tcBorders>
              <w:top w:val="single" w:sz="4" w:space="0" w:color="000000"/>
              <w:left w:val="single" w:sz="4" w:space="0" w:color="000000"/>
              <w:bottom w:val="single" w:sz="4" w:space="0" w:color="000000"/>
              <w:right w:val="single" w:sz="4" w:space="0" w:color="000000"/>
            </w:tcBorders>
          </w:tcPr>
          <w:p w14:paraId="7B3CF122" w14:textId="77777777" w:rsidR="0028168E" w:rsidRDefault="00A86537">
            <w:pPr>
              <w:ind w:firstLine="720"/>
              <w:rPr>
                <w:lang w:eastAsia="lt-LT"/>
              </w:rPr>
            </w:pPr>
            <w:r>
              <w:rPr>
                <w:lang w:eastAsia="lt-LT"/>
              </w:rPr>
              <w:t xml:space="preserve">„Siūlome kartu su visomis suinteresuotomis šalimis apsvarstyti šią Nutarimo projekto </w:t>
            </w:r>
            <w:r>
              <w:rPr>
                <w:lang w:val="en-US" w:eastAsia="lt-LT"/>
              </w:rPr>
              <w:t xml:space="preserve">2 </w:t>
            </w:r>
            <w:r>
              <w:rPr>
                <w:lang w:eastAsia="lt-LT"/>
              </w:rPr>
              <w:t>punkto redakciją (Asociacijos siūlomi papildymai paryškinti</w:t>
            </w:r>
            <w:r>
              <w:rPr>
                <w:lang w:val="en-US" w:eastAsia="lt-LT"/>
              </w:rPr>
              <w:t>):</w:t>
            </w:r>
          </w:p>
          <w:p w14:paraId="6BFBA866" w14:textId="77777777" w:rsidR="0028168E" w:rsidRDefault="00A86537">
            <w:pPr>
              <w:ind w:firstLine="720"/>
              <w:rPr>
                <w:lang w:eastAsia="lt-LT"/>
              </w:rPr>
            </w:pPr>
            <w:r>
              <w:rPr>
                <w:lang w:eastAsia="lt-LT"/>
              </w:rPr>
              <w:t xml:space="preserve">2. Pavesti </w:t>
            </w:r>
            <w:bookmarkStart w:id="0" w:name="_Hlk49206979"/>
            <w:r>
              <w:rPr>
                <w:lang w:eastAsia="lt-LT"/>
              </w:rPr>
              <w:t>Susisiekimo ministerijai kartu su VĮ Klaipėdos valstybinio jūrų uosto direkcija:</w:t>
            </w:r>
          </w:p>
          <w:p w14:paraId="3078456B" w14:textId="77777777" w:rsidR="0028168E" w:rsidRDefault="00A86537">
            <w:pPr>
              <w:ind w:firstLine="720"/>
              <w:rPr>
                <w:lang w:eastAsia="lt-LT"/>
              </w:rPr>
            </w:pPr>
            <w:r>
              <w:rPr>
                <w:lang w:val="en-US" w:eastAsia="lt-LT"/>
              </w:rPr>
              <w:t>2.1.</w:t>
            </w:r>
            <w:r>
              <w:rPr>
                <w:lang w:eastAsia="lt-LT"/>
              </w:rPr>
              <w:t xml:space="preserve"> </w:t>
            </w:r>
            <w:bookmarkEnd w:id="0"/>
            <w:r>
              <w:rPr>
                <w:lang w:eastAsia="lt-LT"/>
              </w:rPr>
              <w:t xml:space="preserve">peržiūrėti </w:t>
            </w:r>
            <w:r>
              <w:rPr>
                <w:spacing w:val="-4"/>
              </w:rPr>
              <w:t>Klaipėdos valstybinio jūrų uosto žemės nuomos mokesčio apskaičiavimo tvarkos aprašą, Klaipėdos valstybinio jūrų uosto žemės nuomos mokesčio dydžius ir</w:t>
            </w:r>
            <w:r>
              <w:rPr>
                <w:lang w:eastAsia="lt-LT"/>
              </w:rPr>
              <w:t xml:space="preserve"> laivų savininkų (valdytojų) mokamų uosto rinkliavų rūšis, jų maksimalius dydžius, rinkliavų taikymo principus, </w:t>
            </w:r>
            <w:r>
              <w:rPr>
                <w:b/>
                <w:bCs/>
                <w:lang w:eastAsia="lt-LT"/>
              </w:rPr>
              <w:t xml:space="preserve">paraiškų infrastruktūros objektų sukūrimui ar pagerinimui vertinimo tvarką ir paraiškų vertinimo kriterijus, </w:t>
            </w:r>
            <w:r>
              <w:rPr>
                <w:lang w:eastAsia="lt-LT"/>
              </w:rPr>
              <w:t xml:space="preserve">siekiant, kad VĮ Klaipėdos valstybinio jūrų uosto direkcijos vidutinė metinė nuosavo kapitalo grąža iš uosto infrastruktūros ir žemės, </w:t>
            </w:r>
            <w:r>
              <w:rPr>
                <w:lang w:eastAsia="lt-LT"/>
              </w:rPr>
              <w:lastRenderedPageBreak/>
              <w:t>naudojamos šio nutarimo 1 punkte nurodytai veiklai, būtų ne mažesnė nei 2 procentai.</w:t>
            </w:r>
          </w:p>
          <w:p w14:paraId="110BF729" w14:textId="77777777" w:rsidR="0028168E" w:rsidRDefault="00A86537">
            <w:pPr>
              <w:ind w:firstLine="720"/>
              <w:rPr>
                <w:lang w:eastAsia="lt-LT"/>
              </w:rPr>
            </w:pPr>
            <w:r>
              <w:rPr>
                <w:b/>
                <w:bCs/>
                <w:lang w:eastAsia="lt-LT"/>
              </w:rPr>
              <w:t>2.2. įvertinti naujų specialiųjų įpareigojimų įtaką Uosto direkcijos finansinei padėčiai ir nustatytų Uosto direkcijos nuosavo kapitalo grąžos rodiklių peržiūrėjimo poreikį, užtikrinant uosto konkurencingumą</w:t>
            </w:r>
            <w:r>
              <w:rPr>
                <w:lang w:eastAsia="lt-LT"/>
              </w:rPr>
              <w:t>.“</w:t>
            </w:r>
          </w:p>
          <w:p w14:paraId="131598D8" w14:textId="77777777" w:rsidR="0028168E" w:rsidRDefault="0028168E">
            <w:pPr>
              <w:tabs>
                <w:tab w:val="left" w:pos="360"/>
                <w:tab w:val="left" w:pos="603"/>
              </w:tabs>
              <w:rPr>
                <w:color w:val="000000" w:themeColor="text1"/>
              </w:rPr>
            </w:pPr>
          </w:p>
        </w:tc>
        <w:tc>
          <w:tcPr>
            <w:tcW w:w="6662" w:type="dxa"/>
            <w:tcBorders>
              <w:top w:val="single" w:sz="4" w:space="0" w:color="000000"/>
              <w:left w:val="single" w:sz="4" w:space="0" w:color="000000"/>
              <w:bottom w:val="single" w:sz="4" w:space="0" w:color="000000"/>
              <w:right w:val="single" w:sz="4" w:space="0" w:color="000000"/>
            </w:tcBorders>
          </w:tcPr>
          <w:p w14:paraId="3E954BBE" w14:textId="3B4D7B52" w:rsidR="0028168E" w:rsidRDefault="007123DB">
            <w:pPr>
              <w:rPr>
                <w:b/>
                <w:bCs/>
                <w:color w:val="000000" w:themeColor="text1"/>
              </w:rPr>
            </w:pPr>
            <w:r>
              <w:rPr>
                <w:b/>
                <w:bCs/>
                <w:color w:val="000000" w:themeColor="text1"/>
              </w:rPr>
              <w:lastRenderedPageBreak/>
              <w:t>Neatsižvelgta</w:t>
            </w:r>
          </w:p>
          <w:p w14:paraId="0087977C" w14:textId="74C28D69" w:rsidR="0028168E" w:rsidRDefault="00A86537">
            <w:pPr>
              <w:rPr>
                <w:color w:val="000000" w:themeColor="text1"/>
              </w:rPr>
            </w:pPr>
            <w:r>
              <w:rPr>
                <w:color w:val="000000" w:themeColor="text1"/>
              </w:rPr>
              <w:t xml:space="preserve">Dėl </w:t>
            </w:r>
            <w:r>
              <w:rPr>
                <w:color w:val="000000" w:themeColor="text1"/>
                <w:lang w:val="en-US"/>
              </w:rPr>
              <w:t>2.1 pa</w:t>
            </w:r>
            <w:proofErr w:type="spellStart"/>
            <w:r>
              <w:rPr>
                <w:color w:val="000000" w:themeColor="text1"/>
              </w:rPr>
              <w:t>punkčio</w:t>
            </w:r>
            <w:proofErr w:type="spellEnd"/>
            <w:r>
              <w:rPr>
                <w:color w:val="000000" w:themeColor="text1"/>
              </w:rPr>
              <w:t xml:space="preserve"> pildymo: </w:t>
            </w:r>
          </w:p>
          <w:p w14:paraId="6CCB3341" w14:textId="56B29635" w:rsidR="0028168E" w:rsidRDefault="00A86537">
            <w:pPr>
              <w:rPr>
                <w:color w:val="000000" w:themeColor="text1"/>
              </w:rPr>
            </w:pPr>
            <w:r>
              <w:rPr>
                <w:color w:val="000000" w:themeColor="text1"/>
              </w:rPr>
              <w:t xml:space="preserve">Lietuvos Respublikos Vyriausybei priėmus Nutarimo projektą, Uosto direkcija turės peržiūrėti paraiškų </w:t>
            </w:r>
            <w:r w:rsidR="00FE281F">
              <w:rPr>
                <w:color w:val="000000" w:themeColor="text1"/>
              </w:rPr>
              <w:t xml:space="preserve">sukurti ir pagerinti </w:t>
            </w:r>
            <w:r>
              <w:rPr>
                <w:color w:val="000000" w:themeColor="text1"/>
              </w:rPr>
              <w:t>infrastruktūros objekt</w:t>
            </w:r>
            <w:r w:rsidR="00FE281F">
              <w:rPr>
                <w:color w:val="000000" w:themeColor="text1"/>
              </w:rPr>
              <w:t>us</w:t>
            </w:r>
            <w:r>
              <w:rPr>
                <w:color w:val="000000" w:themeColor="text1"/>
              </w:rPr>
              <w:t xml:space="preserve"> vertinimo tvarką ir paraiškų vertinimo kriterijus, kaip ir siūloma Lietuvos jūrų krovos kompanijų asociacijos (toliau – Asociacija) rašte, siekdama, kad būtų užtikrinta atitiktis Uosto direkcijai nustatytų specialiųjų įpareigojimų reguliavimo srityje. P</w:t>
            </w:r>
            <w:r>
              <w:rPr>
                <w:lang w:eastAsia="lt-LT"/>
              </w:rPr>
              <w:t>araiškų infrastruktūros objektų sukūrimui ar pagerinimui vertinimo tvarką ir paraiškų vertinimo kriterijus tvirtina Uosto direkcija, todėl siūlymas Nutarimo projekte nurodyti Susisiekimo ministerijai kartu su Uosto direkcija peržiūrėti minėtuosius teisės aktus ir (ar) kriterijus neatitinka institucijų kompetencijų pasiskirstymo ir yra perteklinis.</w:t>
            </w:r>
            <w:r>
              <w:rPr>
                <w:b/>
                <w:bCs/>
                <w:lang w:eastAsia="lt-LT"/>
              </w:rPr>
              <w:t xml:space="preserve"> </w:t>
            </w:r>
          </w:p>
          <w:p w14:paraId="4F4A47AA" w14:textId="77777777" w:rsidR="0028168E" w:rsidRDefault="0028168E">
            <w:pPr>
              <w:rPr>
                <w:color w:val="000000" w:themeColor="text1"/>
              </w:rPr>
            </w:pPr>
          </w:p>
          <w:p w14:paraId="6FAC13E1" w14:textId="7A73549A" w:rsidR="0028168E" w:rsidRDefault="0028168E">
            <w:pPr>
              <w:rPr>
                <w:color w:val="000000" w:themeColor="text1"/>
              </w:rPr>
            </w:pPr>
          </w:p>
          <w:p w14:paraId="35818378" w14:textId="77777777" w:rsidR="004F2F41" w:rsidRDefault="004F2F41">
            <w:pPr>
              <w:rPr>
                <w:color w:val="000000" w:themeColor="text1"/>
              </w:rPr>
            </w:pPr>
          </w:p>
          <w:p w14:paraId="378397C0" w14:textId="4A107EC1" w:rsidR="0028168E" w:rsidRDefault="00A86537">
            <w:pPr>
              <w:rPr>
                <w:color w:val="000000" w:themeColor="text1"/>
              </w:rPr>
            </w:pPr>
            <w:r>
              <w:rPr>
                <w:color w:val="000000" w:themeColor="text1"/>
              </w:rPr>
              <w:t xml:space="preserve">Dėl </w:t>
            </w:r>
            <w:r>
              <w:rPr>
                <w:color w:val="000000" w:themeColor="text1"/>
                <w:lang w:val="en-US"/>
              </w:rPr>
              <w:t>2.</w:t>
            </w:r>
            <w:r w:rsidR="007123DB">
              <w:rPr>
                <w:color w:val="000000" w:themeColor="text1"/>
                <w:lang w:val="en-US"/>
              </w:rPr>
              <w:t>2</w:t>
            </w:r>
            <w:r>
              <w:rPr>
                <w:color w:val="000000" w:themeColor="text1"/>
                <w:lang w:val="en-US"/>
              </w:rPr>
              <w:t xml:space="preserve"> pa</w:t>
            </w:r>
            <w:proofErr w:type="spellStart"/>
            <w:r>
              <w:rPr>
                <w:color w:val="000000" w:themeColor="text1"/>
              </w:rPr>
              <w:t>punkčio</w:t>
            </w:r>
            <w:proofErr w:type="spellEnd"/>
            <w:r>
              <w:rPr>
                <w:color w:val="000000" w:themeColor="text1"/>
              </w:rPr>
              <w:t xml:space="preserve"> pildymo: </w:t>
            </w:r>
          </w:p>
          <w:p w14:paraId="4E6161B6" w14:textId="03033069" w:rsidR="0028168E" w:rsidRDefault="00A86537">
            <w:pPr>
              <w:rPr>
                <w:color w:val="000000" w:themeColor="text1"/>
              </w:rPr>
            </w:pPr>
            <w:r>
              <w:rPr>
                <w:color w:val="000000" w:themeColor="text1"/>
              </w:rPr>
              <w:t>Pavedimas Susisiekimo ministerijai kartu su Uosto direkcija įvertinti naujų specialiųjų įpareigojimų įtaką Uosto direkcijos finansinei padėčiai ir nustatyt</w:t>
            </w:r>
            <w:r w:rsidR="00B77418">
              <w:rPr>
                <w:color w:val="000000" w:themeColor="text1"/>
              </w:rPr>
              <w:t>os</w:t>
            </w:r>
            <w:r>
              <w:rPr>
                <w:color w:val="000000" w:themeColor="text1"/>
              </w:rPr>
              <w:t xml:space="preserve"> Uosto direkcijos nuosavo kapitalo </w:t>
            </w:r>
            <w:r w:rsidR="00B77418">
              <w:rPr>
                <w:color w:val="000000" w:themeColor="text1"/>
              </w:rPr>
              <w:t>kainos</w:t>
            </w:r>
            <w:r>
              <w:rPr>
                <w:color w:val="000000" w:themeColor="text1"/>
              </w:rPr>
              <w:t xml:space="preserve"> peržiūrėjimo poreikį prieštarautų teisiniam reguliavimui ir institucijų kompetencijos paskirstymui šioje srityje. Valstybės valdomų įmonių siektinas vidutines metines nuosavo kapitalo kainas 3 metų laikotarpiui tvirtina Lietuvos Respublikos Vyriausybė Lietuvos Respublikos ekonomikos ir inovacijų ministro teikimu, o Uosto direkcijos</w:t>
            </w:r>
            <w:r w:rsidR="00B77418">
              <w:rPr>
                <w:color w:val="000000" w:themeColor="text1"/>
              </w:rPr>
              <w:t xml:space="preserve"> nuosavo</w:t>
            </w:r>
            <w:r>
              <w:rPr>
                <w:color w:val="000000" w:themeColor="text1"/>
              </w:rPr>
              <w:t xml:space="preserve"> kapitalo </w:t>
            </w:r>
            <w:r w:rsidR="00B77418">
              <w:rPr>
                <w:color w:val="000000" w:themeColor="text1"/>
              </w:rPr>
              <w:t>kaina</w:t>
            </w:r>
            <w:r>
              <w:rPr>
                <w:color w:val="000000" w:themeColor="text1"/>
              </w:rPr>
              <w:t xml:space="preserve"> yra nustatyt</w:t>
            </w:r>
            <w:r w:rsidR="00B77418">
              <w:rPr>
                <w:color w:val="000000" w:themeColor="text1"/>
              </w:rPr>
              <w:t>a</w:t>
            </w:r>
            <w:r>
              <w:rPr>
                <w:color w:val="000000" w:themeColor="text1"/>
              </w:rPr>
              <w:t xml:space="preserve"> Lietuvos Respublikos Vyriausybės 2019 m. sausio 9 d. nutarimu Nr. 12 „Dėl valstybės valdomų įmonių siektinų pelningumo rodiklių 2019–2021 metams nustatymo“.</w:t>
            </w:r>
          </w:p>
        </w:tc>
      </w:tr>
    </w:tbl>
    <w:p w14:paraId="438C5A8B" w14:textId="77777777" w:rsidR="0028168E" w:rsidRDefault="00A86537">
      <w:pPr>
        <w:ind w:left="5040" w:firstLine="720"/>
      </w:pPr>
      <w:r>
        <w:rPr>
          <w:color w:val="000000" w:themeColor="text1"/>
        </w:rPr>
        <w:lastRenderedPageBreak/>
        <w:t>_____________________________</w:t>
      </w:r>
    </w:p>
    <w:sectPr w:rsidR="0028168E">
      <w:headerReference w:type="default" r:id="rId7"/>
      <w:pgSz w:w="16838" w:h="11906" w:orient="landscape"/>
      <w:pgMar w:top="624" w:right="567" w:bottom="567"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99D14" w14:textId="77777777" w:rsidR="00461ADE" w:rsidRDefault="00461ADE">
      <w:r>
        <w:separator/>
      </w:r>
    </w:p>
  </w:endnote>
  <w:endnote w:type="continuationSeparator" w:id="0">
    <w:p w14:paraId="50AF772B" w14:textId="77777777" w:rsidR="00461ADE" w:rsidRDefault="0046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693C5" w14:textId="77777777" w:rsidR="00461ADE" w:rsidRDefault="00461ADE">
      <w:r>
        <w:separator/>
      </w:r>
    </w:p>
  </w:footnote>
  <w:footnote w:type="continuationSeparator" w:id="0">
    <w:p w14:paraId="4F8EF218" w14:textId="77777777" w:rsidR="00461ADE" w:rsidRDefault="0046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3028" w14:textId="77777777" w:rsidR="0028168E" w:rsidRDefault="00A86537">
    <w:pPr>
      <w:pStyle w:val="Header"/>
    </w:pPr>
    <w:r>
      <w:rPr>
        <w:noProof/>
      </w:rPr>
      <mc:AlternateContent>
        <mc:Choice Requires="wps">
          <w:drawing>
            <wp:anchor distT="0" distB="0" distL="0" distR="0" simplePos="0" relativeHeight="3" behindDoc="0" locked="0" layoutInCell="1" allowOverlap="1" wp14:anchorId="78AD4170" wp14:editId="29B468AA">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92008B8" w14:textId="77777777" w:rsidR="0028168E" w:rsidRDefault="00A86537">
                          <w:pPr>
                            <w:pStyle w:val="Header"/>
                          </w:pPr>
                          <w:r>
                            <w:rPr>
                              <w:rStyle w:val="PageNumber"/>
                            </w:rPr>
                            <w:fldChar w:fldCharType="begin"/>
                          </w:r>
                          <w:r>
                            <w:rPr>
                              <w:rStyle w:val="PageNumber"/>
                            </w:rPr>
                            <w:instrText>PAGE</w:instrText>
                          </w:r>
                          <w:r>
                            <w:rPr>
                              <w:rStyle w:val="PageNumber"/>
                            </w:rPr>
                            <w:fldChar w:fldCharType="separate"/>
                          </w:r>
                          <w:r>
                            <w:rPr>
                              <w:rStyle w:val="PageNumber"/>
                            </w:rPr>
                            <w:t>3</w:t>
                          </w:r>
                          <w:r>
                            <w:rPr>
                              <w:rStyle w:val="PageNumber"/>
                            </w:rPr>
                            <w:fldChar w:fldCharType="end"/>
                          </w:r>
                        </w:p>
                      </w:txbxContent>
                    </wps:txbx>
                    <wps:bodyPr lIns="0" tIns="0" rIns="0" bIns="0" anchor="t">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375.4pt;mso-position-horizontal:center;mso-position-horizontal-relative:margin">
              <v:fill opacity="0f"/>
              <v:textbox inset="0in,0in,0in,0in">
                <w:txbxContent>
                  <w:p>
                    <w:pPr>
                      <w:pStyle w:val="Head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E"/>
    <w:rsid w:val="000215F8"/>
    <w:rsid w:val="000D06FA"/>
    <w:rsid w:val="001121B2"/>
    <w:rsid w:val="001401DC"/>
    <w:rsid w:val="001A3482"/>
    <w:rsid w:val="00234850"/>
    <w:rsid w:val="00240739"/>
    <w:rsid w:val="0028168E"/>
    <w:rsid w:val="002B7E44"/>
    <w:rsid w:val="00461ADE"/>
    <w:rsid w:val="004F2F41"/>
    <w:rsid w:val="0053470A"/>
    <w:rsid w:val="005D3CC8"/>
    <w:rsid w:val="0060439D"/>
    <w:rsid w:val="006371F9"/>
    <w:rsid w:val="006F2488"/>
    <w:rsid w:val="007123DB"/>
    <w:rsid w:val="007B1DBA"/>
    <w:rsid w:val="00841550"/>
    <w:rsid w:val="008A3FA4"/>
    <w:rsid w:val="008E0B25"/>
    <w:rsid w:val="008E4745"/>
    <w:rsid w:val="008F41F6"/>
    <w:rsid w:val="008F51F4"/>
    <w:rsid w:val="009207C7"/>
    <w:rsid w:val="009D6736"/>
    <w:rsid w:val="00A44941"/>
    <w:rsid w:val="00A86537"/>
    <w:rsid w:val="00B77418"/>
    <w:rsid w:val="00B85D80"/>
    <w:rsid w:val="00B901B6"/>
    <w:rsid w:val="00BA3B52"/>
    <w:rsid w:val="00C15492"/>
    <w:rsid w:val="00D141E7"/>
    <w:rsid w:val="00F1026D"/>
    <w:rsid w:val="00F26DD1"/>
    <w:rsid w:val="00FD0572"/>
    <w:rsid w:val="00FE28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64A0"/>
  <w15:docId w15:val="{9977D0E5-D532-4281-A5F0-501DA501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4D"/>
    <w:pPr>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C1694D"/>
    <w:rPr>
      <w:rFonts w:ascii="Times New Roman" w:eastAsia="Times New Roman" w:hAnsi="Times New Roman" w:cs="Times New Roman"/>
      <w:sz w:val="24"/>
      <w:szCs w:val="24"/>
    </w:rPr>
  </w:style>
  <w:style w:type="character" w:styleId="PageNumber">
    <w:name w:val="page number"/>
    <w:basedOn w:val="DefaultParagraphFont"/>
    <w:qFormat/>
    <w:rsid w:val="00C1694D"/>
  </w:style>
  <w:style w:type="character" w:customStyle="1" w:styleId="BalloonTextChar">
    <w:name w:val="Balloon Text Char"/>
    <w:basedOn w:val="DefaultParagraphFont"/>
    <w:link w:val="BalloonText"/>
    <w:uiPriority w:val="99"/>
    <w:semiHidden/>
    <w:qFormat/>
    <w:rsid w:val="00593E03"/>
    <w:rPr>
      <w:rFonts w:ascii="Segoe UI" w:eastAsia="Times New Roman" w:hAnsi="Segoe UI" w:cs="Segoe UI"/>
      <w:sz w:val="18"/>
      <w:szCs w:val="18"/>
    </w:rPr>
  </w:style>
  <w:style w:type="character" w:styleId="CommentReference">
    <w:name w:val="annotation reference"/>
    <w:basedOn w:val="DefaultParagraphFont"/>
    <w:uiPriority w:val="99"/>
    <w:semiHidden/>
    <w:unhideWhenUsed/>
    <w:qFormat/>
    <w:rsid w:val="00593E03"/>
    <w:rPr>
      <w:sz w:val="16"/>
      <w:szCs w:val="16"/>
    </w:rPr>
  </w:style>
  <w:style w:type="character" w:customStyle="1" w:styleId="CommentTextChar">
    <w:name w:val="Comment Text Char"/>
    <w:basedOn w:val="DefaultParagraphFont"/>
    <w:link w:val="CommentText"/>
    <w:uiPriority w:val="99"/>
    <w:qFormat/>
    <w:rsid w:val="00593E03"/>
    <w:rPr>
      <w:rFonts w:ascii="Times New Roman" w:eastAsia="Times New Roman" w:hAnsi="Times New Roman" w:cs="Times New Roman"/>
      <w:sz w:val="20"/>
      <w:szCs w:val="20"/>
      <w:lang w:eastAsia="ar-SA"/>
    </w:rPr>
  </w:style>
  <w:style w:type="character" w:styleId="Hyperlink">
    <w:name w:val="Hyperlink"/>
    <w:basedOn w:val="DefaultParagraphFont"/>
    <w:rsid w:val="00E614BF"/>
    <w:rPr>
      <w:color w:val="0000FF"/>
      <w:u w:val="single"/>
    </w:rPr>
  </w:style>
  <w:style w:type="character" w:customStyle="1" w:styleId="BodyTextChar">
    <w:name w:val="Body Text Char"/>
    <w:basedOn w:val="DefaultParagraphFont"/>
    <w:link w:val="BodyText"/>
    <w:qFormat/>
    <w:rsid w:val="005227F3"/>
    <w:rPr>
      <w:rFonts w:ascii="Times New Roman" w:eastAsia="Andale Sans UI" w:hAnsi="Times New Roman" w:cs="Tahoma"/>
      <w:sz w:val="24"/>
      <w:szCs w:val="24"/>
      <w:lang w:bidi="en-US"/>
    </w:rPr>
  </w:style>
  <w:style w:type="character" w:customStyle="1" w:styleId="FootnoteTextChar">
    <w:name w:val="Footnote Text Char"/>
    <w:basedOn w:val="DefaultParagraphFont"/>
    <w:link w:val="FootnoteText"/>
    <w:uiPriority w:val="99"/>
    <w:qFormat/>
    <w:rsid w:val="005227F3"/>
    <w:rPr>
      <w:rFonts w:ascii="Times New Roman" w:eastAsia="Andale Sans UI" w:hAnsi="Times New Roman" w:cs="Tahoma"/>
      <w:sz w:val="20"/>
      <w:szCs w:val="20"/>
      <w:lang w:bidi="en-US"/>
    </w:rPr>
  </w:style>
  <w:style w:type="character" w:customStyle="1" w:styleId="FootnoteCharacters">
    <w:name w:val="Footnote Characters"/>
    <w:basedOn w:val="DefaultParagraphFont"/>
    <w:uiPriority w:val="99"/>
    <w:semiHidden/>
    <w:unhideWhenUsed/>
    <w:qFormat/>
    <w:rsid w:val="005227F3"/>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C26C44"/>
    <w:rPr>
      <w:rFonts w:ascii="Times New Roman" w:eastAsia="Times New Roman" w:hAnsi="Times New Roman" w:cs="Times New Roman"/>
      <w:b/>
      <w:bCs/>
      <w:sz w:val="20"/>
      <w:szCs w:val="20"/>
      <w:lang w:eastAsia="ar-SA"/>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5227F3"/>
    <w:pPr>
      <w:widowControl w:val="0"/>
      <w:ind w:firstLine="567"/>
    </w:pPr>
    <w:rPr>
      <w:rFonts w:eastAsia="Andale Sans UI" w:cs="Tahoma"/>
      <w:lang w:bidi="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rsid w:val="00C1694D"/>
    <w:pPr>
      <w:tabs>
        <w:tab w:val="center" w:pos="4819"/>
        <w:tab w:val="right" w:pos="9638"/>
      </w:tabs>
    </w:pPr>
  </w:style>
  <w:style w:type="paragraph" w:customStyle="1" w:styleId="Default">
    <w:name w:val="Default"/>
    <w:qFormat/>
    <w:rsid w:val="00EB7185"/>
    <w:rPr>
      <w:rFonts w:ascii="Times New Roman" w:eastAsia="Calibri" w:hAnsi="Times New Roman" w:cs="Times New Roman"/>
      <w:color w:val="000000"/>
      <w:sz w:val="24"/>
      <w:szCs w:val="24"/>
    </w:rPr>
  </w:style>
  <w:style w:type="paragraph" w:styleId="ListParagraph">
    <w:name w:val="List Paragraph"/>
    <w:basedOn w:val="Normal"/>
    <w:uiPriority w:val="34"/>
    <w:qFormat/>
    <w:rsid w:val="00465A67"/>
    <w:pPr>
      <w:ind w:left="720"/>
      <w:contextualSpacing/>
    </w:pPr>
  </w:style>
  <w:style w:type="paragraph" w:styleId="BalloonText">
    <w:name w:val="Balloon Text"/>
    <w:basedOn w:val="Normal"/>
    <w:link w:val="BalloonTextChar"/>
    <w:uiPriority w:val="99"/>
    <w:semiHidden/>
    <w:unhideWhenUsed/>
    <w:qFormat/>
    <w:rsid w:val="00593E03"/>
    <w:rPr>
      <w:rFonts w:ascii="Segoe UI" w:hAnsi="Segoe UI" w:cs="Segoe UI"/>
      <w:sz w:val="18"/>
      <w:szCs w:val="18"/>
    </w:rPr>
  </w:style>
  <w:style w:type="paragraph" w:styleId="CommentText">
    <w:name w:val="annotation text"/>
    <w:basedOn w:val="Normal"/>
    <w:link w:val="CommentTextChar"/>
    <w:uiPriority w:val="99"/>
    <w:unhideWhenUsed/>
    <w:qFormat/>
    <w:rsid w:val="00593E03"/>
    <w:pPr>
      <w:jc w:val="left"/>
    </w:pPr>
    <w:rPr>
      <w:sz w:val="20"/>
      <w:szCs w:val="20"/>
      <w:lang w:eastAsia="ar-SA"/>
    </w:rPr>
  </w:style>
  <w:style w:type="paragraph" w:styleId="FootnoteText">
    <w:name w:val="footnote text"/>
    <w:basedOn w:val="Normal"/>
    <w:link w:val="FootnoteTextChar"/>
    <w:uiPriority w:val="99"/>
    <w:unhideWhenUsed/>
    <w:rsid w:val="005227F3"/>
    <w:pPr>
      <w:widowControl w:val="0"/>
      <w:jc w:val="left"/>
    </w:pPr>
    <w:rPr>
      <w:rFonts w:eastAsia="Andale Sans UI" w:cs="Tahoma"/>
      <w:sz w:val="20"/>
      <w:szCs w:val="20"/>
      <w:lang w:bidi="en-US"/>
    </w:rPr>
  </w:style>
  <w:style w:type="paragraph" w:styleId="CommentSubject">
    <w:name w:val="annotation subject"/>
    <w:basedOn w:val="CommentText"/>
    <w:next w:val="CommentText"/>
    <w:link w:val="CommentSubjectChar"/>
    <w:uiPriority w:val="99"/>
    <w:semiHidden/>
    <w:unhideWhenUsed/>
    <w:qFormat/>
    <w:rsid w:val="00C26C44"/>
    <w:pPr>
      <w:suppressAutoHyphens w:val="0"/>
      <w:jc w:val="both"/>
    </w:pPr>
    <w:rPr>
      <w:b/>
      <w:bCs/>
      <w:lang w:eastAsia="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0E5B-B5BE-4EB0-99D4-3921B5DC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5580</Words>
  <Characters>3182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2020-11-26T22:28:00Z</dcterms:created>
  <dc:creator>Virginija Šomkienė</dc:creator>
  <dc:language>lt-LT</dc:language>
  <cp:lastModifiedBy>Eglė Vyšniauskaitė</cp:lastModifiedBy>
  <dcterms:modified xsi:type="dcterms:W3CDTF">2020-11-30T13:39:00Z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