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F96264" w14:textId="77777777" w:rsidR="00E756C4" w:rsidRPr="002359AF" w:rsidRDefault="00E756C4" w:rsidP="00026B90">
      <w:pPr>
        <w:pStyle w:val="Preformatted"/>
        <w:jc w:val="center"/>
        <w:rPr>
          <w:rFonts w:ascii="Times New Roman" w:hAnsi="Times New Roman"/>
          <w:b/>
          <w:sz w:val="24"/>
          <w:szCs w:val="24"/>
        </w:rPr>
      </w:pPr>
      <w:r w:rsidRPr="002359AF">
        <w:rPr>
          <w:rFonts w:ascii="Times New Roman" w:hAnsi="Times New Roman"/>
          <w:b/>
          <w:sz w:val="24"/>
          <w:szCs w:val="24"/>
        </w:rPr>
        <w:t>LIETUVOS RESPUBLIKOS VYRIAUSYBĖS KANCELIARIJA</w:t>
      </w:r>
    </w:p>
    <w:p w14:paraId="41409CC0" w14:textId="5F021677" w:rsidR="00E756C4" w:rsidRPr="002359AF" w:rsidRDefault="0029213E" w:rsidP="00E756C4">
      <w:pPr>
        <w:pStyle w:val="Preformatted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STRATEGINI</w:t>
      </w:r>
      <w:r w:rsidR="00CD315D">
        <w:rPr>
          <w:rFonts w:ascii="Times New Roman" w:hAnsi="Times New Roman"/>
          <w:b/>
          <w:sz w:val="24"/>
          <w:szCs w:val="24"/>
        </w:rPr>
        <w:t xml:space="preserve">O PLANAVIMO IR STEBĖSENOS </w:t>
      </w:r>
      <w:r>
        <w:rPr>
          <w:rFonts w:ascii="Times New Roman" w:hAnsi="Times New Roman"/>
          <w:b/>
          <w:sz w:val="24"/>
          <w:szCs w:val="24"/>
        </w:rPr>
        <w:t>GRUPĖ</w:t>
      </w:r>
    </w:p>
    <w:p w14:paraId="2DB02B84" w14:textId="77777777" w:rsidR="007C448C" w:rsidRDefault="007C448C" w:rsidP="00E756C4">
      <w:pPr>
        <w:pStyle w:val="Antraste"/>
        <w:rPr>
          <w:szCs w:val="24"/>
        </w:rPr>
      </w:pPr>
    </w:p>
    <w:p w14:paraId="66CA467E" w14:textId="6C5C5830" w:rsidR="00E756C4" w:rsidRDefault="007C448C" w:rsidP="00E756C4">
      <w:pPr>
        <w:pStyle w:val="Antraste"/>
        <w:rPr>
          <w:szCs w:val="24"/>
        </w:rPr>
      </w:pPr>
      <w:r>
        <w:rPr>
          <w:szCs w:val="24"/>
        </w:rPr>
        <w:t>PAŽYMA</w:t>
      </w:r>
    </w:p>
    <w:p w14:paraId="1435BB3A" w14:textId="77777777" w:rsidR="007C448C" w:rsidRPr="002359AF" w:rsidRDefault="007C448C" w:rsidP="00E756C4">
      <w:pPr>
        <w:pStyle w:val="Antraste"/>
        <w:rPr>
          <w:szCs w:val="24"/>
        </w:rPr>
      </w:pPr>
    </w:p>
    <w:p w14:paraId="726D40DD" w14:textId="2103284E" w:rsidR="00026B90" w:rsidRPr="002359AF" w:rsidRDefault="00E756C4" w:rsidP="00026B90">
      <w:pPr>
        <w:ind w:firstLine="357"/>
        <w:jc w:val="center"/>
        <w:rPr>
          <w:b/>
          <w:szCs w:val="24"/>
        </w:rPr>
      </w:pPr>
      <w:r w:rsidRPr="002359AF">
        <w:rPr>
          <w:b/>
          <w:szCs w:val="24"/>
        </w:rPr>
        <w:t>DĖL</w:t>
      </w:r>
      <w:r w:rsidRPr="002359AF">
        <w:rPr>
          <w:b/>
          <w:caps/>
          <w:szCs w:val="24"/>
        </w:rPr>
        <w:t xml:space="preserve"> </w:t>
      </w:r>
      <w:r w:rsidR="00026B90" w:rsidRPr="002359AF">
        <w:rPr>
          <w:b/>
          <w:caps/>
          <w:szCs w:val="24"/>
        </w:rPr>
        <w:t xml:space="preserve">LIETUVOS RESPUBLIKOS </w:t>
      </w:r>
      <w:r w:rsidR="00494061">
        <w:rPr>
          <w:b/>
          <w:caps/>
          <w:szCs w:val="24"/>
        </w:rPr>
        <w:t>VYRIAUSYBĖS 20</w:t>
      </w:r>
      <w:r w:rsidR="008F0B5F">
        <w:rPr>
          <w:b/>
          <w:caps/>
          <w:szCs w:val="24"/>
        </w:rPr>
        <w:t xml:space="preserve">20 </w:t>
      </w:r>
      <w:r w:rsidRPr="002359AF">
        <w:rPr>
          <w:b/>
          <w:caps/>
          <w:szCs w:val="24"/>
        </w:rPr>
        <w:t xml:space="preserve">METŲ veiklos </w:t>
      </w:r>
    </w:p>
    <w:p w14:paraId="645E5FD6" w14:textId="1A140096" w:rsidR="00553DF3" w:rsidRDefault="00E756C4" w:rsidP="00E756C4">
      <w:pPr>
        <w:overflowPunct w:val="0"/>
        <w:autoSpaceDE w:val="0"/>
        <w:autoSpaceDN w:val="0"/>
        <w:adjustRightInd w:val="0"/>
        <w:spacing w:line="360" w:lineRule="auto"/>
        <w:jc w:val="center"/>
        <w:rPr>
          <w:b/>
          <w:szCs w:val="24"/>
        </w:rPr>
      </w:pPr>
      <w:r w:rsidRPr="002359AF">
        <w:rPr>
          <w:b/>
          <w:szCs w:val="24"/>
        </w:rPr>
        <w:t>ATASKAITOS</w:t>
      </w:r>
      <w:r w:rsidR="00026B90" w:rsidRPr="002359AF">
        <w:rPr>
          <w:b/>
          <w:szCs w:val="24"/>
        </w:rPr>
        <w:t xml:space="preserve"> PATEIKIMO LIETUVOS RESPUBLIKOS SEIMUI</w:t>
      </w:r>
      <w:r w:rsidR="00043B31">
        <w:rPr>
          <w:b/>
          <w:szCs w:val="24"/>
        </w:rPr>
        <w:t xml:space="preserve"> </w:t>
      </w:r>
    </w:p>
    <w:p w14:paraId="4A1F3298" w14:textId="30918E8F" w:rsidR="00026B90" w:rsidRPr="000F3A4D" w:rsidRDefault="000F3A4D" w:rsidP="00CD315D">
      <w:pPr>
        <w:ind w:firstLine="720"/>
        <w:rPr>
          <w:szCs w:val="24"/>
        </w:rPr>
      </w:pPr>
      <w:r>
        <w:rPr>
          <w:b/>
          <w:szCs w:val="24"/>
        </w:rPr>
        <w:t xml:space="preserve">1. </w:t>
      </w:r>
      <w:r w:rsidR="00026B90" w:rsidRPr="000F3A4D">
        <w:rPr>
          <w:b/>
          <w:szCs w:val="24"/>
        </w:rPr>
        <w:t xml:space="preserve">Projekto rengėja – </w:t>
      </w:r>
      <w:r w:rsidR="00026B90" w:rsidRPr="000F3A4D">
        <w:rPr>
          <w:szCs w:val="24"/>
        </w:rPr>
        <w:t>Lietuvos Respublikos</w:t>
      </w:r>
      <w:r w:rsidR="00026B90" w:rsidRPr="000F3A4D">
        <w:rPr>
          <w:b/>
          <w:szCs w:val="24"/>
        </w:rPr>
        <w:t xml:space="preserve"> </w:t>
      </w:r>
      <w:r w:rsidR="00026B90" w:rsidRPr="000F3A4D">
        <w:rPr>
          <w:szCs w:val="24"/>
        </w:rPr>
        <w:t>Vyriausybės kanceliarija.</w:t>
      </w:r>
    </w:p>
    <w:p w14:paraId="7926E2FF" w14:textId="12F09AE2" w:rsidR="00DB220E" w:rsidRDefault="00026B90" w:rsidP="00CD315D">
      <w:pPr>
        <w:pStyle w:val="Sraopastraipa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359AF">
        <w:rPr>
          <w:rFonts w:ascii="Times New Roman" w:hAnsi="Times New Roman"/>
          <w:b/>
          <w:sz w:val="24"/>
          <w:szCs w:val="24"/>
        </w:rPr>
        <w:t xml:space="preserve">2. Projekto tikslas, </w:t>
      </w:r>
      <w:r w:rsidRPr="00756E2C">
        <w:rPr>
          <w:rFonts w:ascii="Times New Roman" w:hAnsi="Times New Roman"/>
          <w:b/>
          <w:sz w:val="24"/>
          <w:szCs w:val="24"/>
        </w:rPr>
        <w:t xml:space="preserve">esmė </w:t>
      </w:r>
      <w:r w:rsidRPr="00756E2C">
        <w:rPr>
          <w:rFonts w:ascii="Times New Roman" w:hAnsi="Times New Roman"/>
          <w:sz w:val="24"/>
          <w:szCs w:val="24"/>
        </w:rPr>
        <w:t>– vadovaudamasi Seimo statutu ir Vyriausybės įstatym</w:t>
      </w:r>
      <w:r w:rsidR="00494061">
        <w:rPr>
          <w:rFonts w:ascii="Times New Roman" w:hAnsi="Times New Roman"/>
          <w:sz w:val="24"/>
          <w:szCs w:val="24"/>
        </w:rPr>
        <w:t>u</w:t>
      </w:r>
      <w:r w:rsidRPr="00756E2C">
        <w:rPr>
          <w:rFonts w:ascii="Times New Roman" w:hAnsi="Times New Roman"/>
          <w:sz w:val="24"/>
          <w:szCs w:val="24"/>
        </w:rPr>
        <w:t xml:space="preserve"> Vyriausybė </w:t>
      </w:r>
      <w:r w:rsidR="00494061">
        <w:rPr>
          <w:rFonts w:ascii="Times New Roman" w:hAnsi="Times New Roman"/>
          <w:sz w:val="24"/>
          <w:szCs w:val="24"/>
        </w:rPr>
        <w:t xml:space="preserve">kasmet iki kovo 31 dienos turi pateikti Seimui praėjusių metų veiklos ataskaitą. Šiuo nutarimu </w:t>
      </w:r>
      <w:r w:rsidRPr="00756E2C">
        <w:rPr>
          <w:rFonts w:ascii="Times New Roman" w:hAnsi="Times New Roman"/>
          <w:sz w:val="24"/>
          <w:szCs w:val="24"/>
        </w:rPr>
        <w:t>teikia</w:t>
      </w:r>
      <w:r w:rsidR="00494061">
        <w:rPr>
          <w:rFonts w:ascii="Times New Roman" w:hAnsi="Times New Roman"/>
          <w:sz w:val="24"/>
          <w:szCs w:val="24"/>
        </w:rPr>
        <w:t>ma</w:t>
      </w:r>
      <w:r w:rsidRPr="00756E2C">
        <w:rPr>
          <w:rFonts w:ascii="Times New Roman" w:hAnsi="Times New Roman"/>
          <w:sz w:val="24"/>
          <w:szCs w:val="24"/>
        </w:rPr>
        <w:t xml:space="preserve"> </w:t>
      </w:r>
      <w:r w:rsidR="00494061">
        <w:rPr>
          <w:rFonts w:ascii="Times New Roman" w:hAnsi="Times New Roman"/>
          <w:sz w:val="24"/>
          <w:szCs w:val="24"/>
        </w:rPr>
        <w:t xml:space="preserve">Vyriausybės </w:t>
      </w:r>
      <w:r w:rsidRPr="00756E2C">
        <w:rPr>
          <w:rFonts w:ascii="Times New Roman" w:hAnsi="Times New Roman"/>
          <w:sz w:val="24"/>
          <w:szCs w:val="24"/>
        </w:rPr>
        <w:t>20</w:t>
      </w:r>
      <w:r w:rsidR="008F0B5F">
        <w:rPr>
          <w:rFonts w:ascii="Times New Roman" w:hAnsi="Times New Roman"/>
          <w:sz w:val="24"/>
          <w:szCs w:val="24"/>
        </w:rPr>
        <w:t>20</w:t>
      </w:r>
      <w:r w:rsidRPr="00756E2C">
        <w:rPr>
          <w:rFonts w:ascii="Times New Roman" w:hAnsi="Times New Roman"/>
          <w:sz w:val="24"/>
          <w:szCs w:val="24"/>
        </w:rPr>
        <w:t xml:space="preserve"> metų veiklos ataskait</w:t>
      </w:r>
      <w:r w:rsidR="00494061">
        <w:rPr>
          <w:rFonts w:ascii="Times New Roman" w:hAnsi="Times New Roman"/>
          <w:sz w:val="24"/>
          <w:szCs w:val="24"/>
        </w:rPr>
        <w:t>a</w:t>
      </w:r>
      <w:r w:rsidR="00DB220E">
        <w:rPr>
          <w:rFonts w:ascii="Times New Roman" w:hAnsi="Times New Roman"/>
          <w:sz w:val="24"/>
          <w:szCs w:val="24"/>
        </w:rPr>
        <w:t xml:space="preserve"> Seimui.</w:t>
      </w:r>
    </w:p>
    <w:p w14:paraId="3AD3E083" w14:textId="2B080E2E" w:rsidR="00BD4A27" w:rsidRPr="008B23BF" w:rsidRDefault="00CD315D" w:rsidP="008B23BF">
      <w:pPr>
        <w:ind w:firstLine="709"/>
        <w:rPr>
          <w:b/>
          <w:bCs/>
          <w:i/>
          <w:szCs w:val="24"/>
        </w:rPr>
      </w:pPr>
      <w:r w:rsidRPr="008B23BF">
        <w:rPr>
          <w:b/>
          <w:bCs/>
          <w:szCs w:val="24"/>
        </w:rPr>
        <w:t>Ataskait</w:t>
      </w:r>
      <w:r w:rsidR="00173E59" w:rsidRPr="008B23BF">
        <w:rPr>
          <w:b/>
          <w:bCs/>
          <w:szCs w:val="24"/>
        </w:rPr>
        <w:t xml:space="preserve">ą </w:t>
      </w:r>
      <w:r w:rsidRPr="008B23BF">
        <w:rPr>
          <w:b/>
          <w:bCs/>
          <w:szCs w:val="24"/>
        </w:rPr>
        <w:t xml:space="preserve">sudaro </w:t>
      </w:r>
      <w:r w:rsidR="00C01FCE" w:rsidRPr="008B23BF">
        <w:rPr>
          <w:b/>
          <w:bCs/>
          <w:szCs w:val="24"/>
        </w:rPr>
        <w:t>3</w:t>
      </w:r>
      <w:r w:rsidRPr="008B23BF">
        <w:rPr>
          <w:b/>
          <w:bCs/>
          <w:szCs w:val="24"/>
        </w:rPr>
        <w:t xml:space="preserve"> pagrindinės dalys</w:t>
      </w:r>
      <w:r w:rsidR="008B23BF">
        <w:rPr>
          <w:b/>
          <w:bCs/>
          <w:i/>
          <w:szCs w:val="24"/>
        </w:rPr>
        <w:t xml:space="preserve">. </w:t>
      </w:r>
      <w:r w:rsidR="00147800" w:rsidRPr="00147800">
        <w:rPr>
          <w:iCs/>
          <w:szCs w:val="24"/>
        </w:rPr>
        <w:t>Pirmojoje ataskaitos dalyje pateikiama COVID-19 valdymo apžvalga. Antrojoje dalyje trumpai apžvelgiama makroekonomikos situacija</w:t>
      </w:r>
      <w:r w:rsidR="00BD4A27">
        <w:rPr>
          <w:iCs/>
          <w:szCs w:val="24"/>
        </w:rPr>
        <w:t>.</w:t>
      </w:r>
    </w:p>
    <w:p w14:paraId="685798A1" w14:textId="21FCE9FA" w:rsidR="0048748C" w:rsidRPr="00BD4A27" w:rsidRDefault="00BD4A27" w:rsidP="00BD4A27">
      <w:pPr>
        <w:ind w:firstLine="709"/>
        <w:rPr>
          <w:iCs/>
          <w:szCs w:val="24"/>
        </w:rPr>
      </w:pPr>
      <w:r>
        <w:rPr>
          <w:iCs/>
          <w:szCs w:val="24"/>
        </w:rPr>
        <w:t>T</w:t>
      </w:r>
      <w:r w:rsidR="00147800" w:rsidRPr="00147800">
        <w:rPr>
          <w:iCs/>
          <w:szCs w:val="24"/>
        </w:rPr>
        <w:t>rečiojoje ataskaitos dalyje pristatomi Vyriausybės artimiausio laikotarpio veiklos prioritetai</w:t>
      </w:r>
      <w:r w:rsidR="00AC611E">
        <w:rPr>
          <w:iCs/>
          <w:szCs w:val="24"/>
        </w:rPr>
        <w:t xml:space="preserve"> ir svarbiausi darbai juos įgyvendinant.</w:t>
      </w:r>
      <w:r w:rsidR="008C77DA">
        <w:rPr>
          <w:iCs/>
          <w:szCs w:val="24"/>
        </w:rPr>
        <w:t xml:space="preserve"> </w:t>
      </w:r>
      <w:r w:rsidR="0048748C">
        <w:rPr>
          <w:szCs w:val="24"/>
        </w:rPr>
        <w:t xml:space="preserve">Didžiausias dėmesys bus skiriamas penkioms </w:t>
      </w:r>
      <w:r w:rsidR="0048748C" w:rsidRPr="00666029">
        <w:rPr>
          <w:szCs w:val="24"/>
        </w:rPr>
        <w:t>Vyriausybės kadencijos reformoms</w:t>
      </w:r>
      <w:r w:rsidR="0048748C">
        <w:rPr>
          <w:szCs w:val="24"/>
        </w:rPr>
        <w:t xml:space="preserve">: </w:t>
      </w:r>
      <w:r w:rsidR="0048748C" w:rsidRPr="00666029">
        <w:rPr>
          <w:szCs w:val="24"/>
        </w:rPr>
        <w:t xml:space="preserve">a) valstybės tarnybos pertvarka; b) pažangos programa „Tūkstantmečio mokyklos“; c) </w:t>
      </w:r>
      <w:proofErr w:type="spellStart"/>
      <w:r w:rsidR="0048748C" w:rsidRPr="00666029">
        <w:rPr>
          <w:szCs w:val="24"/>
        </w:rPr>
        <w:t>EDtech</w:t>
      </w:r>
      <w:proofErr w:type="spellEnd"/>
      <w:r w:rsidR="0048748C" w:rsidRPr="00666029">
        <w:rPr>
          <w:szCs w:val="24"/>
        </w:rPr>
        <w:t xml:space="preserve"> skaitmeninė švietimo transformacija; d) inovacijų ekosistemų mokslo centruose, inovacijų agentūros ir misijomis grįstų mokslo ir verslo inovacijų programų sukūrimas; e) ilgalaikės priežiūros paslaugų teikimo modelio sukūrimas.</w:t>
      </w:r>
    </w:p>
    <w:p w14:paraId="006FC731" w14:textId="77777777" w:rsidR="008C77DA" w:rsidRDefault="008C77DA" w:rsidP="0048748C">
      <w:pPr>
        <w:spacing w:line="276" w:lineRule="auto"/>
        <w:ind w:right="-1" w:firstLine="709"/>
        <w:rPr>
          <w:szCs w:val="24"/>
        </w:rPr>
      </w:pPr>
      <w:r>
        <w:rPr>
          <w:szCs w:val="24"/>
        </w:rPr>
        <w:t xml:space="preserve">Be to, išskiriami svarbiausi strateginiai darbai: </w:t>
      </w:r>
    </w:p>
    <w:p w14:paraId="5D1E6C77" w14:textId="77777777" w:rsidR="008C77DA" w:rsidRDefault="008C77DA" w:rsidP="0048748C">
      <w:pPr>
        <w:spacing w:line="276" w:lineRule="auto"/>
        <w:ind w:right="-1" w:firstLine="709"/>
        <w:rPr>
          <w:szCs w:val="24"/>
        </w:rPr>
      </w:pPr>
      <w:r>
        <w:rPr>
          <w:szCs w:val="24"/>
        </w:rPr>
        <w:t xml:space="preserve">- </w:t>
      </w:r>
      <w:r w:rsidR="0048748C" w:rsidRPr="00A07577">
        <w:rPr>
          <w:szCs w:val="24"/>
        </w:rPr>
        <w:t>Valstybės pažangos strategij</w:t>
      </w:r>
      <w:r>
        <w:rPr>
          <w:szCs w:val="24"/>
        </w:rPr>
        <w:t xml:space="preserve">os </w:t>
      </w:r>
      <w:r w:rsidR="0048748C" w:rsidRPr="00A07577">
        <w:rPr>
          <w:szCs w:val="24"/>
        </w:rPr>
        <w:t xml:space="preserve">„Lietuva 2050“ </w:t>
      </w:r>
      <w:r>
        <w:rPr>
          <w:szCs w:val="24"/>
        </w:rPr>
        <w:t xml:space="preserve"> parengimas</w:t>
      </w:r>
    </w:p>
    <w:p w14:paraId="3B6FF879" w14:textId="77777777" w:rsidR="008C77DA" w:rsidRDefault="008C77DA" w:rsidP="0048748C">
      <w:pPr>
        <w:spacing w:line="276" w:lineRule="auto"/>
        <w:ind w:right="-1" w:firstLine="709"/>
        <w:rPr>
          <w:szCs w:val="24"/>
        </w:rPr>
      </w:pPr>
      <w:r>
        <w:rPr>
          <w:szCs w:val="24"/>
        </w:rPr>
        <w:t xml:space="preserve">-  </w:t>
      </w:r>
      <w:r w:rsidR="0048748C" w:rsidRPr="00F3127A">
        <w:rPr>
          <w:szCs w:val="24"/>
        </w:rPr>
        <w:t>Funkcijų peržiūra ir optimalus institucijų tinklas (</w:t>
      </w:r>
      <w:r w:rsidR="0048748C" w:rsidRPr="00F3127A">
        <w:rPr>
          <w:i/>
          <w:iCs/>
          <w:szCs w:val="24"/>
        </w:rPr>
        <w:t>Viešojo valdymo sąranga</w:t>
      </w:r>
      <w:r w:rsidR="0048748C" w:rsidRPr="00F3127A">
        <w:rPr>
          <w:szCs w:val="24"/>
        </w:rPr>
        <w:t>)</w:t>
      </w:r>
      <w:r w:rsidR="0048748C">
        <w:rPr>
          <w:szCs w:val="24"/>
        </w:rPr>
        <w:t xml:space="preserve">; </w:t>
      </w:r>
    </w:p>
    <w:p w14:paraId="38290876" w14:textId="77777777" w:rsidR="008C77DA" w:rsidRDefault="008C77DA" w:rsidP="008C77DA">
      <w:pPr>
        <w:spacing w:line="276" w:lineRule="auto"/>
        <w:ind w:right="-1" w:firstLine="709"/>
        <w:rPr>
          <w:szCs w:val="24"/>
        </w:rPr>
      </w:pPr>
      <w:r>
        <w:rPr>
          <w:szCs w:val="24"/>
        </w:rPr>
        <w:t>-</w:t>
      </w:r>
      <w:r w:rsidR="0048748C">
        <w:rPr>
          <w:szCs w:val="24"/>
        </w:rPr>
        <w:t xml:space="preserve"> </w:t>
      </w:r>
      <w:r w:rsidR="0048748C" w:rsidRPr="00F3127A">
        <w:rPr>
          <w:szCs w:val="24"/>
        </w:rPr>
        <w:t>Viešosios ir administracinės paslaugos (</w:t>
      </w:r>
      <w:r w:rsidR="0048748C" w:rsidRPr="00F3127A">
        <w:rPr>
          <w:i/>
          <w:iCs/>
          <w:szCs w:val="24"/>
        </w:rPr>
        <w:t>įskaitant jų kokybės užtikrinimą regionuose</w:t>
      </w:r>
      <w:r w:rsidR="0048748C" w:rsidRPr="00F3127A">
        <w:rPr>
          <w:szCs w:val="24"/>
        </w:rPr>
        <w:t>)</w:t>
      </w:r>
      <w:r>
        <w:rPr>
          <w:szCs w:val="24"/>
        </w:rPr>
        <w:t>;</w:t>
      </w:r>
    </w:p>
    <w:p w14:paraId="7D1A7438" w14:textId="77777777" w:rsidR="008C77DA" w:rsidRDefault="008C77DA" w:rsidP="008C77DA">
      <w:pPr>
        <w:spacing w:line="276" w:lineRule="auto"/>
        <w:ind w:right="-1" w:firstLine="709"/>
        <w:rPr>
          <w:szCs w:val="24"/>
        </w:rPr>
      </w:pPr>
      <w:r>
        <w:rPr>
          <w:szCs w:val="24"/>
        </w:rPr>
        <w:t xml:space="preserve">- </w:t>
      </w:r>
      <w:r w:rsidR="0048748C">
        <w:rPr>
          <w:szCs w:val="24"/>
        </w:rPr>
        <w:t>Į</w:t>
      </w:r>
      <w:r w:rsidR="0048748C" w:rsidRPr="00F3127A">
        <w:rPr>
          <w:szCs w:val="24"/>
        </w:rPr>
        <w:t xml:space="preserve"> strateginius tikslus orientuotas valdžios sektoriaus finansų planavimas (Finansų ministerija)</w:t>
      </w:r>
      <w:r w:rsidR="0048748C">
        <w:rPr>
          <w:szCs w:val="24"/>
        </w:rPr>
        <w:t xml:space="preserve">; </w:t>
      </w:r>
    </w:p>
    <w:p w14:paraId="2A2D2F82" w14:textId="77777777" w:rsidR="008C77DA" w:rsidRDefault="008C77DA" w:rsidP="008C77DA">
      <w:pPr>
        <w:spacing w:line="276" w:lineRule="auto"/>
        <w:ind w:right="-1" w:firstLine="709"/>
        <w:rPr>
          <w:szCs w:val="24"/>
        </w:rPr>
      </w:pPr>
      <w:r>
        <w:rPr>
          <w:szCs w:val="24"/>
        </w:rPr>
        <w:t xml:space="preserve">- </w:t>
      </w:r>
      <w:r w:rsidR="0048748C" w:rsidRPr="00F3127A">
        <w:rPr>
          <w:szCs w:val="24"/>
        </w:rPr>
        <w:t>Tvari kultūros ir švietimo sąveika (</w:t>
      </w:r>
      <w:r w:rsidR="0048748C" w:rsidRPr="00F3127A">
        <w:rPr>
          <w:i/>
          <w:iCs/>
          <w:szCs w:val="24"/>
        </w:rPr>
        <w:t>kultūros ir kūrybiškumo integravimas į švietimą</w:t>
      </w:r>
      <w:r w:rsidR="0048748C" w:rsidRPr="00F3127A">
        <w:rPr>
          <w:szCs w:val="24"/>
        </w:rPr>
        <w:t>)</w:t>
      </w:r>
      <w:r w:rsidR="0048748C">
        <w:rPr>
          <w:szCs w:val="24"/>
        </w:rPr>
        <w:t xml:space="preserve">; </w:t>
      </w:r>
    </w:p>
    <w:p w14:paraId="4AE71960" w14:textId="4F015FAF" w:rsidR="008C77DA" w:rsidRDefault="008C77DA" w:rsidP="008C77DA">
      <w:pPr>
        <w:spacing w:line="276" w:lineRule="auto"/>
        <w:ind w:right="-1" w:firstLine="709"/>
        <w:rPr>
          <w:szCs w:val="24"/>
        </w:rPr>
      </w:pPr>
      <w:r>
        <w:rPr>
          <w:szCs w:val="24"/>
        </w:rPr>
        <w:t xml:space="preserve">- </w:t>
      </w:r>
      <w:r w:rsidR="0048748C" w:rsidRPr="00F3127A">
        <w:rPr>
          <w:szCs w:val="24"/>
        </w:rPr>
        <w:t>Veiksminga atsparumo grėsmėms didinimo, krizių ir ekstremaliųjų situacijų valdymo sistema</w:t>
      </w:r>
      <w:r w:rsidR="0048748C">
        <w:rPr>
          <w:szCs w:val="24"/>
        </w:rPr>
        <w:t>;</w:t>
      </w:r>
    </w:p>
    <w:p w14:paraId="14103D51" w14:textId="05889CE3" w:rsidR="008C77DA" w:rsidRDefault="008C77DA" w:rsidP="008C77DA">
      <w:pPr>
        <w:spacing w:line="276" w:lineRule="auto"/>
        <w:ind w:right="-1" w:firstLine="709"/>
        <w:rPr>
          <w:szCs w:val="24"/>
        </w:rPr>
      </w:pPr>
      <w:r>
        <w:rPr>
          <w:szCs w:val="24"/>
        </w:rPr>
        <w:t xml:space="preserve">- </w:t>
      </w:r>
      <w:r w:rsidR="0048748C" w:rsidRPr="00F3127A">
        <w:rPr>
          <w:szCs w:val="24"/>
        </w:rPr>
        <w:t>Saugi elektros energetikos sistema (</w:t>
      </w:r>
      <w:r w:rsidR="0048748C" w:rsidRPr="00F3127A">
        <w:rPr>
          <w:i/>
          <w:iCs/>
          <w:szCs w:val="24"/>
        </w:rPr>
        <w:t>Elektros energijos sistemos sinchronizavimas su Vakarais ir Astravo atominės elektrinės blokada</w:t>
      </w:r>
      <w:r w:rsidR="0048748C" w:rsidRPr="00F3127A">
        <w:rPr>
          <w:szCs w:val="24"/>
        </w:rPr>
        <w:t>)</w:t>
      </w:r>
      <w:r w:rsidR="0048748C">
        <w:rPr>
          <w:szCs w:val="24"/>
        </w:rPr>
        <w:t xml:space="preserve">; </w:t>
      </w:r>
    </w:p>
    <w:p w14:paraId="2B91D27B" w14:textId="5D93CB3C" w:rsidR="00C90D9C" w:rsidRDefault="008C77DA" w:rsidP="00931C56">
      <w:pPr>
        <w:spacing w:line="276" w:lineRule="auto"/>
        <w:ind w:right="-1" w:firstLine="709"/>
        <w:rPr>
          <w:szCs w:val="24"/>
        </w:rPr>
      </w:pPr>
      <w:r>
        <w:rPr>
          <w:szCs w:val="24"/>
        </w:rPr>
        <w:t xml:space="preserve">- </w:t>
      </w:r>
      <w:r w:rsidR="0048748C" w:rsidRPr="00F3127A">
        <w:rPr>
          <w:szCs w:val="24"/>
        </w:rPr>
        <w:t>Strateginių geležinkelio ir kelių transporto jungčių plėtra</w:t>
      </w:r>
      <w:r w:rsidR="0048748C">
        <w:rPr>
          <w:szCs w:val="24"/>
        </w:rPr>
        <w:t>.</w:t>
      </w:r>
    </w:p>
    <w:p w14:paraId="09E8A6C0" w14:textId="77777777" w:rsidR="00931C56" w:rsidRPr="00C90D9C" w:rsidRDefault="00931C56" w:rsidP="00931C56">
      <w:pPr>
        <w:spacing w:line="276" w:lineRule="auto"/>
        <w:ind w:right="-1" w:firstLine="709"/>
        <w:rPr>
          <w:szCs w:val="24"/>
        </w:rPr>
      </w:pPr>
    </w:p>
    <w:p w14:paraId="73C3B2ED" w14:textId="481FC136" w:rsidR="008F0B5F" w:rsidRPr="008B23BF" w:rsidRDefault="00BE2F15" w:rsidP="008F0B5F">
      <w:pPr>
        <w:ind w:firstLine="709"/>
        <w:rPr>
          <w:b/>
          <w:bCs/>
          <w:szCs w:val="24"/>
        </w:rPr>
      </w:pPr>
      <w:bookmarkStart w:id="0" w:name="_Hlk67639499"/>
      <w:r w:rsidRPr="008B23BF">
        <w:rPr>
          <w:b/>
          <w:bCs/>
          <w:szCs w:val="24"/>
        </w:rPr>
        <w:t xml:space="preserve">Prie </w:t>
      </w:r>
      <w:r w:rsidR="00CD315D" w:rsidRPr="008B23BF">
        <w:rPr>
          <w:b/>
          <w:bCs/>
          <w:szCs w:val="24"/>
        </w:rPr>
        <w:t xml:space="preserve">Ataskaitos </w:t>
      </w:r>
      <w:r w:rsidRPr="008B23BF">
        <w:rPr>
          <w:b/>
          <w:bCs/>
          <w:szCs w:val="24"/>
        </w:rPr>
        <w:t xml:space="preserve">pridedami </w:t>
      </w:r>
      <w:r w:rsidR="008F0B5F" w:rsidRPr="008B23BF">
        <w:rPr>
          <w:b/>
          <w:bCs/>
          <w:szCs w:val="24"/>
        </w:rPr>
        <w:t xml:space="preserve">4 </w:t>
      </w:r>
      <w:r w:rsidR="00CD315D" w:rsidRPr="008B23BF">
        <w:rPr>
          <w:b/>
          <w:bCs/>
          <w:szCs w:val="24"/>
        </w:rPr>
        <w:t>pried</w:t>
      </w:r>
      <w:r w:rsidRPr="008B23BF">
        <w:rPr>
          <w:b/>
          <w:bCs/>
          <w:szCs w:val="24"/>
        </w:rPr>
        <w:t>ai:</w:t>
      </w:r>
    </w:p>
    <w:p w14:paraId="7D13AF18" w14:textId="73AA9CCB" w:rsidR="008F0B5F" w:rsidRDefault="00BE2F15" w:rsidP="008F0B5F">
      <w:pPr>
        <w:ind w:firstLine="709"/>
        <w:rPr>
          <w:szCs w:val="24"/>
        </w:rPr>
      </w:pPr>
      <w:r w:rsidRPr="00CD315D">
        <w:rPr>
          <w:szCs w:val="24"/>
        </w:rPr>
        <w:t>–</w:t>
      </w:r>
      <w:r>
        <w:rPr>
          <w:szCs w:val="24"/>
        </w:rPr>
        <w:t xml:space="preserve"> </w:t>
      </w:r>
      <w:r w:rsidR="008F0B5F">
        <w:rPr>
          <w:szCs w:val="24"/>
        </w:rPr>
        <w:t xml:space="preserve">pirmajame priede </w:t>
      </w:r>
      <w:r w:rsidR="00046EBE">
        <w:rPr>
          <w:szCs w:val="24"/>
        </w:rPr>
        <w:t xml:space="preserve">pateikiama </w:t>
      </w:r>
      <w:r w:rsidR="00B21A98">
        <w:rPr>
          <w:szCs w:val="24"/>
        </w:rPr>
        <w:t>C</w:t>
      </w:r>
      <w:r w:rsidR="00C31ADF">
        <w:rPr>
          <w:szCs w:val="24"/>
        </w:rPr>
        <w:t>OVID</w:t>
      </w:r>
      <w:r w:rsidR="00B21A98" w:rsidRPr="00B21A98">
        <w:rPr>
          <w:szCs w:val="24"/>
        </w:rPr>
        <w:t xml:space="preserve">-19 valdymo įvykių </w:t>
      </w:r>
      <w:r w:rsidR="00D65217">
        <w:rPr>
          <w:szCs w:val="24"/>
        </w:rPr>
        <w:t>L</w:t>
      </w:r>
      <w:r w:rsidR="00B21A98" w:rsidRPr="00B21A98">
        <w:rPr>
          <w:szCs w:val="24"/>
        </w:rPr>
        <w:t>ietuvoje laiko juosta</w:t>
      </w:r>
      <w:r w:rsidR="00046EBE">
        <w:rPr>
          <w:szCs w:val="24"/>
        </w:rPr>
        <w:t>, kurioje užfiksuot</w:t>
      </w:r>
      <w:r w:rsidR="00C31ADF">
        <w:rPr>
          <w:szCs w:val="24"/>
        </w:rPr>
        <w:t xml:space="preserve">os </w:t>
      </w:r>
      <w:r w:rsidR="00046EBE">
        <w:rPr>
          <w:szCs w:val="24"/>
        </w:rPr>
        <w:t>svarbiausi</w:t>
      </w:r>
      <w:r w:rsidR="00C31ADF">
        <w:rPr>
          <w:szCs w:val="24"/>
        </w:rPr>
        <w:t>os datos ir veiksmai,</w:t>
      </w:r>
    </w:p>
    <w:p w14:paraId="4180FDC7" w14:textId="1DF4A51B" w:rsidR="0089102D" w:rsidRDefault="008F0B5F" w:rsidP="0089102D">
      <w:pPr>
        <w:spacing w:line="360" w:lineRule="auto"/>
        <w:ind w:firstLine="709"/>
        <w:rPr>
          <w:szCs w:val="24"/>
        </w:rPr>
      </w:pPr>
      <w:r w:rsidRPr="00CD315D">
        <w:rPr>
          <w:szCs w:val="24"/>
        </w:rPr>
        <w:t>–</w:t>
      </w:r>
      <w:r w:rsidR="0089102D">
        <w:rPr>
          <w:szCs w:val="24"/>
        </w:rPr>
        <w:t xml:space="preserve"> a</w:t>
      </w:r>
      <w:r w:rsidR="0089102D">
        <w:rPr>
          <w:szCs w:val="24"/>
        </w:rPr>
        <w:t xml:space="preserve">ntrajame priede pateikiama </w:t>
      </w:r>
      <w:r w:rsidR="0089102D" w:rsidRPr="00B96E9A">
        <w:t>Lietuvos pažangos strategij</w:t>
      </w:r>
      <w:r w:rsidR="0089102D">
        <w:t xml:space="preserve">os </w:t>
      </w:r>
      <w:r w:rsidR="0089102D" w:rsidRPr="00B96E9A">
        <w:t>„Lietuva 2030“ įgyvendinimo rodiklių apžvalga</w:t>
      </w:r>
      <w:r w:rsidR="0089102D" w:rsidRPr="00B96E9A">
        <w:rPr>
          <w:szCs w:val="24"/>
        </w:rPr>
        <w:t xml:space="preserve"> </w:t>
      </w:r>
      <w:r w:rsidR="0089102D">
        <w:rPr>
          <w:szCs w:val="24"/>
        </w:rPr>
        <w:t xml:space="preserve">ir </w:t>
      </w:r>
      <w:r w:rsidR="0089102D" w:rsidRPr="00B96E9A">
        <w:t xml:space="preserve">svarbiausių rodiklių pagal valstybės veiklos sritis </w:t>
      </w:r>
      <w:r w:rsidR="0089102D" w:rsidRPr="00B96E9A">
        <w:rPr>
          <w:szCs w:val="24"/>
        </w:rPr>
        <w:t>reikšmės</w:t>
      </w:r>
      <w:r w:rsidR="0089102D">
        <w:rPr>
          <w:szCs w:val="24"/>
        </w:rPr>
        <w:t>.</w:t>
      </w:r>
    </w:p>
    <w:p w14:paraId="78A5E89A" w14:textId="0C948BB2" w:rsidR="00CD315D" w:rsidRPr="00CD315D" w:rsidRDefault="008F0B5F" w:rsidP="008F0B5F">
      <w:pPr>
        <w:ind w:firstLine="709"/>
        <w:rPr>
          <w:szCs w:val="24"/>
        </w:rPr>
      </w:pPr>
      <w:r w:rsidRPr="00CD315D">
        <w:rPr>
          <w:szCs w:val="24"/>
        </w:rPr>
        <w:t>–</w:t>
      </w:r>
      <w:r>
        <w:rPr>
          <w:szCs w:val="24"/>
        </w:rPr>
        <w:t xml:space="preserve"> trečiajame </w:t>
      </w:r>
      <w:r w:rsidR="00BE2F15" w:rsidRPr="00643E8F">
        <w:rPr>
          <w:szCs w:val="24"/>
        </w:rPr>
        <w:t xml:space="preserve">priede, </w:t>
      </w:r>
      <w:r w:rsidR="00CD315D" w:rsidRPr="00CD315D">
        <w:rPr>
          <w:szCs w:val="24"/>
        </w:rPr>
        <w:t xml:space="preserve">Seimo Europos reikalų komiteto </w:t>
      </w:r>
      <w:r w:rsidR="00C31ADF">
        <w:rPr>
          <w:szCs w:val="24"/>
        </w:rPr>
        <w:t>siūlymu</w:t>
      </w:r>
      <w:r w:rsidR="00CD315D" w:rsidRPr="00CD315D">
        <w:rPr>
          <w:szCs w:val="24"/>
        </w:rPr>
        <w:t xml:space="preserve">, apžvelgiama </w:t>
      </w:r>
      <w:r w:rsidR="00C31ADF" w:rsidRPr="00C31ADF">
        <w:rPr>
          <w:b/>
          <w:bCs/>
          <w:iCs/>
          <w:szCs w:val="24"/>
        </w:rPr>
        <w:t xml:space="preserve">2020–2021 metų </w:t>
      </w:r>
      <w:r w:rsidR="00C31ADF">
        <w:rPr>
          <w:b/>
          <w:bCs/>
          <w:iCs/>
          <w:szCs w:val="24"/>
        </w:rPr>
        <w:t>T</w:t>
      </w:r>
      <w:r w:rsidR="00C31ADF" w:rsidRPr="00C31ADF">
        <w:rPr>
          <w:b/>
          <w:bCs/>
          <w:iCs/>
          <w:szCs w:val="24"/>
        </w:rPr>
        <w:t xml:space="preserve">arybos rekomendacijų </w:t>
      </w:r>
      <w:r w:rsidR="00C31ADF">
        <w:rPr>
          <w:b/>
          <w:bCs/>
          <w:iCs/>
          <w:szCs w:val="24"/>
        </w:rPr>
        <w:t>L</w:t>
      </w:r>
      <w:r w:rsidR="00C31ADF" w:rsidRPr="00C31ADF">
        <w:rPr>
          <w:b/>
          <w:bCs/>
          <w:iCs/>
          <w:szCs w:val="24"/>
        </w:rPr>
        <w:t>ietuvai įgyvendinimo priemonių plano vykdymo apžvalga</w:t>
      </w:r>
      <w:r w:rsidR="00C31ADF">
        <w:rPr>
          <w:szCs w:val="24"/>
        </w:rPr>
        <w:t>,</w:t>
      </w:r>
    </w:p>
    <w:p w14:paraId="38286D05" w14:textId="2F49B823" w:rsidR="00CD315D" w:rsidRDefault="00BE2F15" w:rsidP="00CD315D">
      <w:pPr>
        <w:pStyle w:val="Sraopastraipa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D315D">
        <w:rPr>
          <w:szCs w:val="24"/>
        </w:rPr>
        <w:t>–</w:t>
      </w:r>
      <w:r>
        <w:rPr>
          <w:szCs w:val="24"/>
        </w:rPr>
        <w:t xml:space="preserve"> </w:t>
      </w:r>
      <w:r w:rsidR="008F0B5F">
        <w:rPr>
          <w:rFonts w:ascii="Times New Roman" w:hAnsi="Times New Roman"/>
          <w:sz w:val="24"/>
          <w:szCs w:val="24"/>
        </w:rPr>
        <w:t>ketvirtaj</w:t>
      </w:r>
      <w:r w:rsidRPr="00643E8F">
        <w:rPr>
          <w:rFonts w:ascii="Times New Roman" w:hAnsi="Times New Roman"/>
          <w:sz w:val="24"/>
          <w:szCs w:val="24"/>
        </w:rPr>
        <w:t>ame priede,</w:t>
      </w:r>
      <w:r>
        <w:rPr>
          <w:rFonts w:ascii="Times New Roman" w:hAnsi="Times New Roman"/>
          <w:sz w:val="24"/>
          <w:szCs w:val="24"/>
        </w:rPr>
        <w:t xml:space="preserve"> v</w:t>
      </w:r>
      <w:r w:rsidR="00CD315D" w:rsidRPr="00CD315D">
        <w:rPr>
          <w:rFonts w:ascii="Times New Roman" w:hAnsi="Times New Roman"/>
          <w:sz w:val="24"/>
          <w:szCs w:val="24"/>
        </w:rPr>
        <w:t xml:space="preserve">adovaujantis Nacionalinio saugumo pagrindų įstatymo 6 straipsniu, pateikiama </w:t>
      </w:r>
      <w:r w:rsidR="003F5E5A" w:rsidRPr="00B5685B">
        <w:rPr>
          <w:rFonts w:ascii="Times New Roman" w:hAnsi="Times New Roman"/>
          <w:b/>
          <w:bCs/>
          <w:iCs/>
          <w:sz w:val="24"/>
          <w:szCs w:val="24"/>
        </w:rPr>
        <w:t>N</w:t>
      </w:r>
      <w:r w:rsidR="00CD315D" w:rsidRPr="00B5685B">
        <w:rPr>
          <w:rFonts w:ascii="Times New Roman" w:hAnsi="Times New Roman"/>
          <w:b/>
          <w:bCs/>
          <w:iCs/>
          <w:sz w:val="24"/>
          <w:szCs w:val="24"/>
        </w:rPr>
        <w:t>acionalinio saugumo būklės ir plėtros 20</w:t>
      </w:r>
      <w:r w:rsidR="008F0B5F">
        <w:rPr>
          <w:rFonts w:ascii="Times New Roman" w:hAnsi="Times New Roman"/>
          <w:b/>
          <w:bCs/>
          <w:iCs/>
          <w:sz w:val="24"/>
          <w:szCs w:val="24"/>
          <w:lang w:val="en-GB"/>
        </w:rPr>
        <w:t>20</w:t>
      </w:r>
      <w:r w:rsidR="00CD315D" w:rsidRPr="00B5685B">
        <w:rPr>
          <w:rFonts w:ascii="Times New Roman" w:hAnsi="Times New Roman"/>
          <w:b/>
          <w:bCs/>
          <w:iCs/>
          <w:sz w:val="24"/>
          <w:szCs w:val="24"/>
        </w:rPr>
        <w:t xml:space="preserve"> m. ataskaita</w:t>
      </w:r>
      <w:r w:rsidR="00E247D3" w:rsidRPr="00B5685B">
        <w:rPr>
          <w:rFonts w:ascii="Times New Roman" w:hAnsi="Times New Roman"/>
          <w:iCs/>
          <w:sz w:val="24"/>
          <w:szCs w:val="24"/>
        </w:rPr>
        <w:t>.</w:t>
      </w:r>
    </w:p>
    <w:bookmarkEnd w:id="0"/>
    <w:p w14:paraId="4082678F" w14:textId="77777777" w:rsidR="00CD315D" w:rsidRDefault="00CD315D" w:rsidP="00CD315D">
      <w:pPr>
        <w:ind w:firstLine="709"/>
        <w:rPr>
          <w:b/>
          <w:szCs w:val="24"/>
        </w:rPr>
      </w:pPr>
    </w:p>
    <w:p w14:paraId="4F8BC41A" w14:textId="520F0F3B" w:rsidR="00CD315D" w:rsidRPr="00B5685B" w:rsidRDefault="00026B90" w:rsidP="00B5685B">
      <w:pPr>
        <w:ind w:firstLine="709"/>
        <w:rPr>
          <w:bCs/>
          <w:szCs w:val="24"/>
          <w:lang w:eastAsia="ar-SA"/>
        </w:rPr>
      </w:pPr>
      <w:r w:rsidRPr="002359AF">
        <w:rPr>
          <w:b/>
          <w:szCs w:val="24"/>
        </w:rPr>
        <w:t xml:space="preserve">3. Derinimas. </w:t>
      </w:r>
      <w:r w:rsidR="004C5B2A" w:rsidRPr="004C5B2A">
        <w:rPr>
          <w:szCs w:val="24"/>
        </w:rPr>
        <w:t>Ataskaita parengta apibendrinus ministerijų pateiktas 20</w:t>
      </w:r>
      <w:r w:rsidR="008F59F6">
        <w:rPr>
          <w:szCs w:val="24"/>
        </w:rPr>
        <w:t>20</w:t>
      </w:r>
      <w:r w:rsidR="004C5B2A" w:rsidRPr="004C5B2A">
        <w:rPr>
          <w:szCs w:val="24"/>
        </w:rPr>
        <w:t xml:space="preserve"> m. veiklos ataskaitas ir kitą informaciją, kuri svarbi analizuojant praėjusių metų veiklos rezultatus</w:t>
      </w:r>
      <w:r w:rsidRPr="002359AF">
        <w:rPr>
          <w:bCs/>
          <w:szCs w:val="24"/>
          <w:lang w:eastAsia="ar-SA"/>
        </w:rPr>
        <w:t>.</w:t>
      </w:r>
      <w:r w:rsidR="0029213E">
        <w:rPr>
          <w:bCs/>
          <w:szCs w:val="24"/>
          <w:lang w:eastAsia="ar-SA"/>
        </w:rPr>
        <w:t xml:space="preserve"> </w:t>
      </w:r>
    </w:p>
    <w:p w14:paraId="7CDCCD42" w14:textId="69F5E2A3" w:rsidR="00026B90" w:rsidRDefault="00026B90" w:rsidP="00CD315D">
      <w:pPr>
        <w:ind w:firstLine="709"/>
        <w:rPr>
          <w:szCs w:val="24"/>
        </w:rPr>
      </w:pPr>
      <w:r w:rsidRPr="002359AF">
        <w:rPr>
          <w:b/>
          <w:szCs w:val="24"/>
        </w:rPr>
        <w:t>4. Dalykinio vertinimo išvada.</w:t>
      </w:r>
      <w:r w:rsidRPr="002359AF">
        <w:rPr>
          <w:szCs w:val="24"/>
        </w:rPr>
        <w:t xml:space="preserve"> </w:t>
      </w:r>
      <w:r w:rsidR="00DB220E">
        <w:rPr>
          <w:szCs w:val="24"/>
        </w:rPr>
        <w:t xml:space="preserve">Siūlome svarstyti </w:t>
      </w:r>
      <w:r w:rsidR="00553735">
        <w:rPr>
          <w:szCs w:val="24"/>
        </w:rPr>
        <w:t xml:space="preserve">Vyriausybės posėdžio </w:t>
      </w:r>
      <w:r w:rsidR="00F35912">
        <w:rPr>
          <w:szCs w:val="24"/>
        </w:rPr>
        <w:t>A</w:t>
      </w:r>
      <w:r w:rsidR="00553735">
        <w:rPr>
          <w:szCs w:val="24"/>
        </w:rPr>
        <w:t xml:space="preserve"> dalyje</w:t>
      </w:r>
      <w:r w:rsidR="007D722D">
        <w:rPr>
          <w:szCs w:val="24"/>
        </w:rPr>
        <w:t>. A</w:t>
      </w:r>
      <w:r w:rsidR="00546972">
        <w:rPr>
          <w:szCs w:val="24"/>
        </w:rPr>
        <w:t>taskaita Seimui turi būti pateikta iki kovo 31 dienos</w:t>
      </w:r>
      <w:r w:rsidRPr="002359AF">
        <w:rPr>
          <w:szCs w:val="24"/>
        </w:rPr>
        <w:t>.</w:t>
      </w:r>
    </w:p>
    <w:p w14:paraId="407EAE1D" w14:textId="56EA6287" w:rsidR="008B64B2" w:rsidRDefault="008B64B2" w:rsidP="00CD315D">
      <w:pPr>
        <w:ind w:firstLine="709"/>
        <w:rPr>
          <w:szCs w:val="24"/>
        </w:rPr>
      </w:pPr>
    </w:p>
    <w:p w14:paraId="59503732" w14:textId="011790F0" w:rsidR="00121647" w:rsidRPr="002359AF" w:rsidRDefault="00A54A48" w:rsidP="00B5685B">
      <w:pPr>
        <w:ind w:firstLine="709"/>
        <w:rPr>
          <w:szCs w:val="24"/>
        </w:rPr>
      </w:pPr>
      <w:r>
        <w:rPr>
          <w:rStyle w:val="fontstyle51"/>
          <w:color w:val="000000"/>
          <w:szCs w:val="24"/>
        </w:rPr>
        <w:t>Grupės vadovė</w:t>
      </w:r>
      <w:r w:rsidR="008B64B2">
        <w:rPr>
          <w:szCs w:val="24"/>
        </w:rPr>
        <w:tab/>
      </w:r>
      <w:r w:rsidR="008B64B2">
        <w:rPr>
          <w:szCs w:val="24"/>
        </w:rPr>
        <w:tab/>
      </w:r>
      <w:r w:rsidR="008B64B2">
        <w:rPr>
          <w:szCs w:val="24"/>
        </w:rPr>
        <w:tab/>
      </w:r>
      <w:r w:rsidR="008B64B2">
        <w:rPr>
          <w:szCs w:val="24"/>
        </w:rPr>
        <w:tab/>
      </w:r>
      <w:r w:rsidR="008B64B2">
        <w:rPr>
          <w:szCs w:val="24"/>
        </w:rPr>
        <w:tab/>
      </w:r>
      <w:r w:rsidR="008B64B2">
        <w:rPr>
          <w:szCs w:val="24"/>
        </w:rPr>
        <w:tab/>
      </w:r>
      <w:r w:rsidR="008B64B2">
        <w:rPr>
          <w:szCs w:val="24"/>
        </w:rPr>
        <w:tab/>
        <w:t>Vaida Budzevičienė</w:t>
      </w:r>
    </w:p>
    <w:sectPr w:rsidR="00121647" w:rsidRPr="002359AF" w:rsidSect="00C04B4A">
      <w:headerReference w:type="default" r:id="rId8"/>
      <w:footnotePr>
        <w:pos w:val="beneathText"/>
      </w:footnotePr>
      <w:pgSz w:w="11907" w:h="16840" w:code="9"/>
      <w:pgMar w:top="1134" w:right="851" w:bottom="1134" w:left="1418" w:header="567" w:footer="0" w:gutter="0"/>
      <w:pgNumType w:start="1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2CEBCD" w14:textId="77777777" w:rsidR="008D3CEA" w:rsidRDefault="008D3CEA">
      <w:r>
        <w:separator/>
      </w:r>
    </w:p>
  </w:endnote>
  <w:endnote w:type="continuationSeparator" w:id="0">
    <w:p w14:paraId="54C074AD" w14:textId="77777777" w:rsidR="008D3CEA" w:rsidRDefault="008D3C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EFF3B4" w14:textId="77777777" w:rsidR="008D3CEA" w:rsidRDefault="008D3CEA">
      <w:r>
        <w:separator/>
      </w:r>
    </w:p>
  </w:footnote>
  <w:footnote w:type="continuationSeparator" w:id="0">
    <w:p w14:paraId="4210E217" w14:textId="77777777" w:rsidR="008D3CEA" w:rsidRDefault="008D3C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BD434F" w14:textId="40015160" w:rsidR="00A45939" w:rsidRPr="00913597" w:rsidRDefault="00A45939" w:rsidP="00A45939">
    <w:pPr>
      <w:pStyle w:val="Antrats"/>
      <w:jc w:val="center"/>
      <w:rPr>
        <w:szCs w:val="24"/>
      </w:rPr>
    </w:pPr>
    <w:r w:rsidRPr="00913597">
      <w:rPr>
        <w:szCs w:val="24"/>
      </w:rPr>
      <w:fldChar w:fldCharType="begin"/>
    </w:r>
    <w:r w:rsidRPr="00913597">
      <w:rPr>
        <w:szCs w:val="24"/>
      </w:rPr>
      <w:instrText xml:space="preserve"> PAGE   \* MERGEFORMAT </w:instrText>
    </w:r>
    <w:r w:rsidRPr="00913597">
      <w:rPr>
        <w:szCs w:val="24"/>
      </w:rPr>
      <w:fldChar w:fldCharType="separate"/>
    </w:r>
    <w:r w:rsidR="00756E2C">
      <w:rPr>
        <w:noProof/>
        <w:szCs w:val="24"/>
      </w:rPr>
      <w:t>2</w:t>
    </w:r>
    <w:r w:rsidRPr="00913597">
      <w:rPr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9229BE"/>
    <w:multiLevelType w:val="hybridMultilevel"/>
    <w:tmpl w:val="0D7469BA"/>
    <w:lvl w:ilvl="0" w:tplc="5ABA1592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722D5"/>
    <w:multiLevelType w:val="hybridMultilevel"/>
    <w:tmpl w:val="B22CC2EE"/>
    <w:lvl w:ilvl="0" w:tplc="B972043C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189E2B6C"/>
    <w:multiLevelType w:val="hybridMultilevel"/>
    <w:tmpl w:val="105E40EE"/>
    <w:lvl w:ilvl="0" w:tplc="036C909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C12723B"/>
    <w:multiLevelType w:val="hybridMultilevel"/>
    <w:tmpl w:val="0452304E"/>
    <w:lvl w:ilvl="0" w:tplc="576C44C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537B4D"/>
    <w:multiLevelType w:val="hybridMultilevel"/>
    <w:tmpl w:val="2EE0D2F6"/>
    <w:lvl w:ilvl="0" w:tplc="BDCCB80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6D94E90"/>
    <w:multiLevelType w:val="multilevel"/>
    <w:tmpl w:val="FAD0A97E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Calibri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862" w:hanging="720"/>
      </w:pPr>
    </w:lvl>
    <w:lvl w:ilvl="3">
      <w:start w:val="1"/>
      <w:numFmt w:val="decimal"/>
      <w:isLgl/>
      <w:lvlText w:val="%1.%2.%3.%4."/>
      <w:lvlJc w:val="left"/>
      <w:pPr>
        <w:ind w:left="862" w:hanging="720"/>
      </w:pPr>
    </w:lvl>
    <w:lvl w:ilvl="4">
      <w:start w:val="1"/>
      <w:numFmt w:val="decimal"/>
      <w:isLgl/>
      <w:lvlText w:val="%1.%2.%3.%4.%5."/>
      <w:lvlJc w:val="left"/>
      <w:pPr>
        <w:ind w:left="1222" w:hanging="1080"/>
      </w:pPr>
    </w:lvl>
    <w:lvl w:ilvl="5">
      <w:start w:val="1"/>
      <w:numFmt w:val="decimal"/>
      <w:isLgl/>
      <w:lvlText w:val="%1.%2.%3.%4.%5.%6."/>
      <w:lvlJc w:val="left"/>
      <w:pPr>
        <w:ind w:left="1222" w:hanging="1080"/>
      </w:pPr>
    </w:lvl>
    <w:lvl w:ilvl="6">
      <w:start w:val="1"/>
      <w:numFmt w:val="decimal"/>
      <w:isLgl/>
      <w:lvlText w:val="%1.%2.%3.%4.%5.%6.%7."/>
      <w:lvlJc w:val="left"/>
      <w:pPr>
        <w:ind w:left="1582" w:hanging="1440"/>
      </w:p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hyphenationZone w:val="396"/>
  <w:drawingGridHorizontalSpacing w:val="110"/>
  <w:displayHorizontalDrawingGridEvery w:val="2"/>
  <w:displayVertic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372"/>
    <w:rsid w:val="00024116"/>
    <w:rsid w:val="00026B90"/>
    <w:rsid w:val="00043B31"/>
    <w:rsid w:val="00046EBE"/>
    <w:rsid w:val="000619B6"/>
    <w:rsid w:val="00061F0C"/>
    <w:rsid w:val="00063152"/>
    <w:rsid w:val="000823A3"/>
    <w:rsid w:val="000836B0"/>
    <w:rsid w:val="000C4D8D"/>
    <w:rsid w:val="000E5B9C"/>
    <w:rsid w:val="000F3A4D"/>
    <w:rsid w:val="00121647"/>
    <w:rsid w:val="00132F4E"/>
    <w:rsid w:val="00135334"/>
    <w:rsid w:val="00147800"/>
    <w:rsid w:val="00170FAA"/>
    <w:rsid w:val="00173E59"/>
    <w:rsid w:val="001934A6"/>
    <w:rsid w:val="00194EA9"/>
    <w:rsid w:val="001A48C6"/>
    <w:rsid w:val="001E605C"/>
    <w:rsid w:val="0021050E"/>
    <w:rsid w:val="00220951"/>
    <w:rsid w:val="002359AF"/>
    <w:rsid w:val="00237858"/>
    <w:rsid w:val="00274501"/>
    <w:rsid w:val="00280094"/>
    <w:rsid w:val="0029213E"/>
    <w:rsid w:val="002956CD"/>
    <w:rsid w:val="002B0BF3"/>
    <w:rsid w:val="002B7B9E"/>
    <w:rsid w:val="002C039B"/>
    <w:rsid w:val="002C7662"/>
    <w:rsid w:val="002D2622"/>
    <w:rsid w:val="002E7D90"/>
    <w:rsid w:val="002F0E9A"/>
    <w:rsid w:val="002F155C"/>
    <w:rsid w:val="00317B6A"/>
    <w:rsid w:val="00343C06"/>
    <w:rsid w:val="00350AA1"/>
    <w:rsid w:val="00361D6A"/>
    <w:rsid w:val="0036567D"/>
    <w:rsid w:val="0036568D"/>
    <w:rsid w:val="00384CE6"/>
    <w:rsid w:val="00390926"/>
    <w:rsid w:val="003A7398"/>
    <w:rsid w:val="003A761A"/>
    <w:rsid w:val="003B6138"/>
    <w:rsid w:val="003C78A9"/>
    <w:rsid w:val="003D35BC"/>
    <w:rsid w:val="003F5E5A"/>
    <w:rsid w:val="00400B94"/>
    <w:rsid w:val="00434303"/>
    <w:rsid w:val="0048748C"/>
    <w:rsid w:val="00494061"/>
    <w:rsid w:val="004A3FA9"/>
    <w:rsid w:val="004C5B2A"/>
    <w:rsid w:val="004D5F1C"/>
    <w:rsid w:val="004E3A83"/>
    <w:rsid w:val="004F3589"/>
    <w:rsid w:val="00530259"/>
    <w:rsid w:val="00535D8F"/>
    <w:rsid w:val="00546972"/>
    <w:rsid w:val="00553735"/>
    <w:rsid w:val="00553DF3"/>
    <w:rsid w:val="00571221"/>
    <w:rsid w:val="00587D6F"/>
    <w:rsid w:val="00595E42"/>
    <w:rsid w:val="005A7846"/>
    <w:rsid w:val="005B37C3"/>
    <w:rsid w:val="00601661"/>
    <w:rsid w:val="00620713"/>
    <w:rsid w:val="006438BA"/>
    <w:rsid w:val="00643E8F"/>
    <w:rsid w:val="00687627"/>
    <w:rsid w:val="00693BE8"/>
    <w:rsid w:val="006C2A33"/>
    <w:rsid w:val="006D1D39"/>
    <w:rsid w:val="006F1998"/>
    <w:rsid w:val="007335AB"/>
    <w:rsid w:val="00740DD9"/>
    <w:rsid w:val="00742138"/>
    <w:rsid w:val="00742B67"/>
    <w:rsid w:val="00756E2C"/>
    <w:rsid w:val="00757142"/>
    <w:rsid w:val="00760720"/>
    <w:rsid w:val="007A4DCB"/>
    <w:rsid w:val="007A5095"/>
    <w:rsid w:val="007C448C"/>
    <w:rsid w:val="007D722D"/>
    <w:rsid w:val="007E13AD"/>
    <w:rsid w:val="007E3129"/>
    <w:rsid w:val="008241FE"/>
    <w:rsid w:val="00840BA0"/>
    <w:rsid w:val="00864C04"/>
    <w:rsid w:val="0086703B"/>
    <w:rsid w:val="00870EC1"/>
    <w:rsid w:val="0089102D"/>
    <w:rsid w:val="008B23BF"/>
    <w:rsid w:val="008B26B6"/>
    <w:rsid w:val="008B64B2"/>
    <w:rsid w:val="008C0400"/>
    <w:rsid w:val="008C77DA"/>
    <w:rsid w:val="008D3CEA"/>
    <w:rsid w:val="008F0B5F"/>
    <w:rsid w:val="008F31A4"/>
    <w:rsid w:val="008F59F6"/>
    <w:rsid w:val="00902FE9"/>
    <w:rsid w:val="00910D20"/>
    <w:rsid w:val="00911A51"/>
    <w:rsid w:val="00931C56"/>
    <w:rsid w:val="00950458"/>
    <w:rsid w:val="00951D6E"/>
    <w:rsid w:val="009825FB"/>
    <w:rsid w:val="00983F81"/>
    <w:rsid w:val="0099450C"/>
    <w:rsid w:val="00997F9F"/>
    <w:rsid w:val="009C4CB2"/>
    <w:rsid w:val="009D432C"/>
    <w:rsid w:val="00A0515D"/>
    <w:rsid w:val="00A21578"/>
    <w:rsid w:val="00A240B4"/>
    <w:rsid w:val="00A37B79"/>
    <w:rsid w:val="00A40A4B"/>
    <w:rsid w:val="00A43E48"/>
    <w:rsid w:val="00A44C77"/>
    <w:rsid w:val="00A44E3F"/>
    <w:rsid w:val="00A45939"/>
    <w:rsid w:val="00A46A37"/>
    <w:rsid w:val="00A54A48"/>
    <w:rsid w:val="00A7075B"/>
    <w:rsid w:val="00A9397E"/>
    <w:rsid w:val="00AC611E"/>
    <w:rsid w:val="00AC6FC1"/>
    <w:rsid w:val="00AD3DD4"/>
    <w:rsid w:val="00AE7620"/>
    <w:rsid w:val="00B21A98"/>
    <w:rsid w:val="00B22CBE"/>
    <w:rsid w:val="00B3095D"/>
    <w:rsid w:val="00B317F3"/>
    <w:rsid w:val="00B456DD"/>
    <w:rsid w:val="00B5685B"/>
    <w:rsid w:val="00B858E9"/>
    <w:rsid w:val="00B86DE8"/>
    <w:rsid w:val="00B91219"/>
    <w:rsid w:val="00B94A0A"/>
    <w:rsid w:val="00BA519F"/>
    <w:rsid w:val="00BD12BB"/>
    <w:rsid w:val="00BD4A27"/>
    <w:rsid w:val="00BE2F15"/>
    <w:rsid w:val="00C01FCE"/>
    <w:rsid w:val="00C02382"/>
    <w:rsid w:val="00C04B4A"/>
    <w:rsid w:val="00C10372"/>
    <w:rsid w:val="00C10F2E"/>
    <w:rsid w:val="00C17EB7"/>
    <w:rsid w:val="00C31ADF"/>
    <w:rsid w:val="00C32926"/>
    <w:rsid w:val="00C639C2"/>
    <w:rsid w:val="00C66B96"/>
    <w:rsid w:val="00C90D9C"/>
    <w:rsid w:val="00CD0634"/>
    <w:rsid w:val="00CD315D"/>
    <w:rsid w:val="00CF001B"/>
    <w:rsid w:val="00CF3939"/>
    <w:rsid w:val="00D01081"/>
    <w:rsid w:val="00D2671F"/>
    <w:rsid w:val="00D530B0"/>
    <w:rsid w:val="00D55F73"/>
    <w:rsid w:val="00D65217"/>
    <w:rsid w:val="00D6683E"/>
    <w:rsid w:val="00D72E97"/>
    <w:rsid w:val="00D8530C"/>
    <w:rsid w:val="00D93FCF"/>
    <w:rsid w:val="00DB0D08"/>
    <w:rsid w:val="00DB220E"/>
    <w:rsid w:val="00DC64BA"/>
    <w:rsid w:val="00DE7ECB"/>
    <w:rsid w:val="00DF1152"/>
    <w:rsid w:val="00E247D3"/>
    <w:rsid w:val="00E74F6D"/>
    <w:rsid w:val="00E756C4"/>
    <w:rsid w:val="00E77A6E"/>
    <w:rsid w:val="00EA08A9"/>
    <w:rsid w:val="00EB386C"/>
    <w:rsid w:val="00F35912"/>
    <w:rsid w:val="00F66244"/>
    <w:rsid w:val="00F6630B"/>
    <w:rsid w:val="00F7301E"/>
    <w:rsid w:val="00F76A69"/>
    <w:rsid w:val="00F94D25"/>
    <w:rsid w:val="00F97E85"/>
    <w:rsid w:val="00FB2E40"/>
    <w:rsid w:val="00FB7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77D81"/>
  <w15:docId w15:val="{DF6F086F-DB6C-4C77-9DFE-B228ED502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7301E"/>
    <w:pPr>
      <w:jc w:val="both"/>
    </w:pPr>
    <w:rPr>
      <w:rFonts w:ascii="Times New Roman" w:eastAsia="Times New Roman" w:hAnsi="Times New Roman"/>
      <w:sz w:val="24"/>
      <w:lang w:eastAsia="ru-RU"/>
    </w:rPr>
  </w:style>
  <w:style w:type="paragraph" w:styleId="Antrat1">
    <w:name w:val="heading 1"/>
    <w:basedOn w:val="prastasis"/>
    <w:next w:val="prastasis"/>
    <w:link w:val="Antrat1Diagrama"/>
    <w:qFormat/>
    <w:rsid w:val="002D2622"/>
    <w:pPr>
      <w:keepNext/>
      <w:outlineLvl w:val="0"/>
    </w:pPr>
    <w:rPr>
      <w:caps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2D2622"/>
    <w:rPr>
      <w:rFonts w:ascii="Times New Roman" w:eastAsia="Times New Roman" w:hAnsi="Times New Roman" w:cs="Times New Roman"/>
      <w:caps/>
      <w:sz w:val="24"/>
      <w:szCs w:val="24"/>
      <w:lang w:eastAsia="ru-RU"/>
    </w:rPr>
  </w:style>
  <w:style w:type="paragraph" w:styleId="Puslapioinaostekstas">
    <w:name w:val="footnote text"/>
    <w:aliases w:val="Footnote,Fußnote,Footnote Text Char Char,Footnote Text Char Char Char Char Char Char,Footnote Text Char Char Char Char Char,Footnote text,fn,Footnote Text Blue,Footnote Text Blue Char Char Char Char,stile 1,Footnote1,Footnote2,f"/>
    <w:basedOn w:val="prastasis"/>
    <w:link w:val="PuslapioinaostekstasDiagrama"/>
    <w:uiPriority w:val="99"/>
    <w:qFormat/>
    <w:rsid w:val="002D2622"/>
  </w:style>
  <w:style w:type="character" w:customStyle="1" w:styleId="PuslapioinaostekstasDiagrama">
    <w:name w:val="Puslapio išnašos tekstas Diagrama"/>
    <w:aliases w:val="Footnote Diagrama,Fußnote Diagrama,Footnote Text Char Char Diagrama,Footnote Text Char Char Char Char Char Char Diagrama,Footnote Text Char Char Char Char Char Diagrama,Footnote text Diagrama,fn Diagrama,f Diagrama"/>
    <w:basedOn w:val="Numatytasispastraiposriftas"/>
    <w:link w:val="Puslapioinaostekstas"/>
    <w:uiPriority w:val="99"/>
    <w:qFormat/>
    <w:rsid w:val="002D26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ntrats">
    <w:name w:val="header"/>
    <w:basedOn w:val="prastasis"/>
    <w:link w:val="AntratsDiagrama"/>
    <w:rsid w:val="002D2622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rsid w:val="002D26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Porat">
    <w:name w:val="footer"/>
    <w:basedOn w:val="prastasis"/>
    <w:link w:val="PoratDiagrama"/>
    <w:rsid w:val="002D2622"/>
    <w:pPr>
      <w:tabs>
        <w:tab w:val="center" w:pos="4153"/>
        <w:tab w:val="right" w:pos="8306"/>
      </w:tabs>
    </w:pPr>
    <w:rPr>
      <w:lang w:val="x-none"/>
    </w:rPr>
  </w:style>
  <w:style w:type="character" w:customStyle="1" w:styleId="PoratDiagrama">
    <w:name w:val="Poraštė Diagrama"/>
    <w:basedOn w:val="Numatytasispastraiposriftas"/>
    <w:link w:val="Porat"/>
    <w:rsid w:val="002D2622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Pagrindinistekstas">
    <w:name w:val="Body Text"/>
    <w:basedOn w:val="prastasis"/>
    <w:link w:val="PagrindinistekstasDiagrama"/>
    <w:rsid w:val="002D2622"/>
    <w:pPr>
      <w:spacing w:line="250" w:lineRule="atLeast"/>
    </w:pPr>
    <w:rPr>
      <w:rFonts w:ascii="TimesLT" w:hAnsi="TimesLT"/>
      <w:b/>
      <w:bCs/>
      <w:color w:val="000000"/>
      <w:szCs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2D2622"/>
    <w:rPr>
      <w:rFonts w:ascii="TimesLT" w:eastAsia="Times New Roman" w:hAnsi="TimesLT" w:cs="Times New Roman"/>
      <w:b/>
      <w:bCs/>
      <w:color w:val="000000"/>
      <w:sz w:val="24"/>
      <w:szCs w:val="24"/>
      <w:lang w:eastAsia="ru-RU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D2622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D2622"/>
    <w:rPr>
      <w:rFonts w:ascii="Tahoma" w:eastAsia="Times New Roman" w:hAnsi="Tahoma" w:cs="Tahoma"/>
      <w:sz w:val="16"/>
      <w:szCs w:val="16"/>
      <w:lang w:eastAsia="ru-RU"/>
    </w:rPr>
  </w:style>
  <w:style w:type="character" w:styleId="Vietosrezervavimoenklotekstas">
    <w:name w:val="Placeholder Text"/>
    <w:basedOn w:val="Numatytasispastraiposriftas"/>
    <w:uiPriority w:val="99"/>
    <w:semiHidden/>
    <w:rsid w:val="00317B6A"/>
    <w:rPr>
      <w:color w:val="808080"/>
    </w:rPr>
  </w:style>
  <w:style w:type="character" w:styleId="Puslapionumeris">
    <w:name w:val="page number"/>
    <w:basedOn w:val="Numatytasispastraiposriftas"/>
    <w:rsid w:val="00317B6A"/>
  </w:style>
  <w:style w:type="character" w:styleId="Komentaronuoroda">
    <w:name w:val="annotation reference"/>
    <w:basedOn w:val="Numatytasispastraiposriftas"/>
    <w:uiPriority w:val="99"/>
    <w:semiHidden/>
    <w:unhideWhenUsed/>
    <w:rsid w:val="00D55F7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55F73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55F73"/>
    <w:rPr>
      <w:rFonts w:ascii="Times New Roman" w:eastAsia="Times New Roman" w:hAnsi="Times New Roman"/>
      <w:lang w:eastAsia="ru-RU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55F7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55F73"/>
    <w:rPr>
      <w:rFonts w:ascii="Times New Roman" w:eastAsia="Times New Roman" w:hAnsi="Times New Roman"/>
      <w:b/>
      <w:bCs/>
      <w:lang w:eastAsia="ru-RU"/>
    </w:rPr>
  </w:style>
  <w:style w:type="paragraph" w:customStyle="1" w:styleId="Antraste">
    <w:name w:val="Antraste"/>
    <w:basedOn w:val="prastasis"/>
    <w:link w:val="AntrasteChar"/>
    <w:qFormat/>
    <w:rsid w:val="00343C06"/>
    <w:pPr>
      <w:jc w:val="center"/>
    </w:pPr>
    <w:rPr>
      <w:b/>
      <w:caps/>
      <w:spacing w:val="-6"/>
    </w:rPr>
  </w:style>
  <w:style w:type="character" w:customStyle="1" w:styleId="AntrasteChar">
    <w:name w:val="Antraste Char"/>
    <w:basedOn w:val="Numatytasispastraiposriftas"/>
    <w:link w:val="Antraste"/>
    <w:rsid w:val="00343C06"/>
    <w:rPr>
      <w:rFonts w:ascii="Times New Roman" w:eastAsia="Times New Roman" w:hAnsi="Times New Roman"/>
      <w:b/>
      <w:caps/>
      <w:spacing w:val="-6"/>
      <w:lang w:eastAsia="ru-RU"/>
    </w:rPr>
  </w:style>
  <w:style w:type="table" w:styleId="Lentelstinklelis">
    <w:name w:val="Table Grid"/>
    <w:basedOn w:val="prastojilentel"/>
    <w:uiPriority w:val="59"/>
    <w:rsid w:val="003656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eformatted">
    <w:name w:val="Preformatted"/>
    <w:basedOn w:val="prastasis"/>
    <w:rsid w:val="001934A6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jc w:val="left"/>
    </w:pPr>
    <w:rPr>
      <w:rFonts w:ascii="Courier New" w:hAnsi="Courier New"/>
      <w:snapToGrid w:val="0"/>
      <w:sz w:val="20"/>
      <w:lang w:eastAsia="en-US"/>
    </w:rPr>
  </w:style>
  <w:style w:type="paragraph" w:customStyle="1" w:styleId="papildomi">
    <w:name w:val="papildomi"/>
    <w:basedOn w:val="prastasis"/>
    <w:rsid w:val="00E756C4"/>
    <w:pPr>
      <w:spacing w:line="360" w:lineRule="atLeast"/>
      <w:ind w:firstLine="680"/>
    </w:pPr>
    <w:rPr>
      <w:szCs w:val="24"/>
      <w:lang w:eastAsia="lt-LT"/>
    </w:rPr>
  </w:style>
  <w:style w:type="paragraph" w:customStyle="1" w:styleId="Default">
    <w:name w:val="Default"/>
    <w:rsid w:val="00E756C4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026B90"/>
  </w:style>
  <w:style w:type="paragraph" w:styleId="Sraopastraipa">
    <w:name w:val="List Paragraph"/>
    <w:basedOn w:val="prastasis"/>
    <w:link w:val="SraopastraipaDiagrama"/>
    <w:uiPriority w:val="34"/>
    <w:qFormat/>
    <w:rsid w:val="00026B90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0"/>
      <w:lang w:eastAsia="lt-LT"/>
    </w:rPr>
  </w:style>
  <w:style w:type="character" w:customStyle="1" w:styleId="typewriter">
    <w:name w:val="typewriter"/>
    <w:rsid w:val="00756E2C"/>
    <w:rPr>
      <w:rFonts w:cs="Times New Roman"/>
    </w:rPr>
  </w:style>
  <w:style w:type="character" w:customStyle="1" w:styleId="fontstyle51">
    <w:name w:val="fontstyle51"/>
    <w:basedOn w:val="Numatytasispastraiposriftas"/>
    <w:rsid w:val="00C02382"/>
  </w:style>
  <w:style w:type="character" w:styleId="Puslapioinaosnuoroda">
    <w:name w:val="footnote reference"/>
    <w:aliases w:val="Footnote Reference Number,Footnote Reference_LVL6,Footnote Reference_LVL61,Footnote Reference_LVL62,Footnote Reference_LVL63,Footnote Reference_LVL64,BVI fnr,Footnote symbol,Footnote anchor,Times 10 Point,Exposant 3 Point,fr,FR"/>
    <w:link w:val="SUPERSChar"/>
    <w:uiPriority w:val="99"/>
    <w:qFormat/>
    <w:rsid w:val="0048748C"/>
    <w:rPr>
      <w:vertAlign w:val="superscript"/>
    </w:rPr>
  </w:style>
  <w:style w:type="paragraph" w:customStyle="1" w:styleId="SUPERSChar">
    <w:name w:val="SUPERS Char"/>
    <w:aliases w:val="EN Footnote Reference Char"/>
    <w:basedOn w:val="prastasis"/>
    <w:link w:val="Puslapioinaosnuoroda"/>
    <w:uiPriority w:val="99"/>
    <w:rsid w:val="0048748C"/>
    <w:pPr>
      <w:spacing w:after="160" w:line="240" w:lineRule="exact"/>
      <w:jc w:val="left"/>
    </w:pPr>
    <w:rPr>
      <w:rFonts w:ascii="Calibri" w:eastAsia="Calibri" w:hAnsi="Calibri"/>
      <w:sz w:val="20"/>
      <w:vertAlign w:val="superscript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324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fontTable.xml"
                 Type="http://schemas.openxmlformats.org/officeDocument/2006/relationships/fontTable"/>
</Relationships>
</file>

<file path=word/_rels/settings.xml.rels><?xml version="1.0" encoding="UTF-8" standalone="yes"?>
<Relationships xmlns="http://schemas.openxmlformats.org/package/2006/relationships">
   <Relationship Id="rId1"
                 Target="file:///C:/Users/e0017679/AppData/Local/Temp/PD_blankas_2013.dot"
                 TargetMode="External"
                 Type="http://schemas.openxmlformats.org/officeDocument/2006/relationships/attachedTemplate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BAB363-CA58-4F3A-9098-52DC283E3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PD_blankas_2013.dot</Template>
  <TotalTime>120</TotalTime>
  <Pages>1</Pages>
  <Words>446</Words>
  <Characters>2548</Characters>
  <Application>Microsoft Office Word</Application>
  <DocSecurity>0</DocSecurity>
  <Lines>21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Policijos departamentas prie VRM</Company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2020-03-16T12:33:00Z</dcterms:created>
  <dc:creator>Evelina Grincevičiūtė</dc:creator>
  <cp:lastModifiedBy>Vaida Budzevičienė</cp:lastModifiedBy>
  <cp:lastPrinted>2020-03-25T05:20:00Z</cp:lastPrinted>
  <dcterms:modified xsi:type="dcterms:W3CDTF">2021-03-28T20:03:00Z</dcterms:modified>
  <cp:revision>49</cp:revision>
</cp:coreProperties>
</file>