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6A428E" w:rsidRDefault="008C17C3" w:rsidP="00AB7A35">
      <w:pPr>
        <w:ind w:left="9072"/>
        <w:rPr>
          <w:sz w:val="20"/>
          <w:lang w:eastAsia="lt-LT"/>
        </w:rPr>
      </w:pPr>
      <w:r w:rsidRPr="006A428E">
        <w:rPr>
          <w:sz w:val="20"/>
          <w:lang w:eastAsia="lt-LT"/>
        </w:rPr>
        <w:t>Teisės aktų projektų antikorupcinio vertinimo taisyklių</w:t>
      </w:r>
    </w:p>
    <w:p w:rsidR="008C17C3" w:rsidRPr="006A428E" w:rsidRDefault="008C17C3" w:rsidP="00AB7A35">
      <w:pPr>
        <w:ind w:left="9072"/>
        <w:rPr>
          <w:sz w:val="20"/>
          <w:lang w:eastAsia="ar-SA"/>
        </w:rPr>
      </w:pPr>
      <w:r w:rsidRPr="006A428E">
        <w:rPr>
          <w:sz w:val="20"/>
          <w:lang w:eastAsia="ar-SA"/>
        </w:rPr>
        <w:t>priedas</w:t>
      </w:r>
    </w:p>
    <w:p w:rsidR="008C17C3" w:rsidRPr="006A428E" w:rsidRDefault="008C17C3" w:rsidP="00AB7A35">
      <w:pPr>
        <w:tabs>
          <w:tab w:val="left" w:pos="6237"/>
        </w:tabs>
        <w:rPr>
          <w:szCs w:val="24"/>
          <w:lang w:eastAsia="lt-LT"/>
        </w:rPr>
      </w:pPr>
    </w:p>
    <w:p w:rsidR="00246747" w:rsidRPr="006A428E" w:rsidRDefault="008C17C3" w:rsidP="00AB7A35">
      <w:pPr>
        <w:jc w:val="center"/>
        <w:rPr>
          <w:szCs w:val="24"/>
          <w:lang w:eastAsia="lt-LT"/>
        </w:rPr>
      </w:pPr>
      <w:r w:rsidRPr="006A428E">
        <w:rPr>
          <w:szCs w:val="24"/>
          <w:lang w:eastAsia="lt-LT"/>
        </w:rPr>
        <w:t>(</w:t>
      </w:r>
      <w:r w:rsidRPr="006A428E">
        <w:rPr>
          <w:b/>
          <w:szCs w:val="24"/>
          <w:lang w:eastAsia="lt-LT"/>
        </w:rPr>
        <w:t>Pažymos forma</w:t>
      </w:r>
      <w:r w:rsidR="00246747" w:rsidRPr="006A428E">
        <w:rPr>
          <w:szCs w:val="24"/>
          <w:lang w:eastAsia="lt-LT"/>
        </w:rPr>
        <w:t>)</w:t>
      </w:r>
    </w:p>
    <w:p w:rsidR="008C17C3" w:rsidRPr="006A428E" w:rsidRDefault="00B44257" w:rsidP="00AB7A35">
      <w:pPr>
        <w:jc w:val="center"/>
        <w:rPr>
          <w:szCs w:val="24"/>
          <w:lang w:eastAsia="lt-LT"/>
        </w:rPr>
      </w:pPr>
      <w:r w:rsidRPr="006A428E">
        <w:rPr>
          <w:b/>
          <w:szCs w:val="24"/>
          <w:lang w:eastAsia="lt-LT"/>
        </w:rPr>
        <w:t>TEISĖS AKTO PROJEKTO</w:t>
      </w:r>
      <w:r w:rsidR="008C17C3" w:rsidRPr="006A428E">
        <w:rPr>
          <w:b/>
          <w:szCs w:val="24"/>
          <w:lang w:eastAsia="lt-LT"/>
        </w:rPr>
        <w:t xml:space="preserve"> ANTIKORUPCINIO VERTINIMO PAŽYMA</w:t>
      </w:r>
    </w:p>
    <w:p w:rsidR="008C17C3" w:rsidRPr="006A428E" w:rsidRDefault="008C17C3" w:rsidP="00AB7A35">
      <w:pPr>
        <w:rPr>
          <w:szCs w:val="24"/>
          <w:lang w:eastAsia="lt-LT"/>
        </w:rPr>
      </w:pPr>
    </w:p>
    <w:p w:rsidR="004F4EDC" w:rsidRPr="006A428E" w:rsidRDefault="008C17C3" w:rsidP="00AB7A35">
      <w:pPr>
        <w:spacing w:after="60"/>
        <w:jc w:val="both"/>
        <w:rPr>
          <w:b/>
          <w:bCs/>
        </w:rPr>
      </w:pPr>
      <w:r w:rsidRPr="006A428E">
        <w:rPr>
          <w:caps/>
          <w:szCs w:val="24"/>
        </w:rPr>
        <w:t>T</w:t>
      </w:r>
      <w:r w:rsidR="009418CA" w:rsidRPr="006A428E">
        <w:rPr>
          <w:szCs w:val="24"/>
        </w:rPr>
        <w:t>eisės akto projekto pavadinimas</w:t>
      </w:r>
      <w:r w:rsidRPr="006A428E">
        <w:rPr>
          <w:caps/>
          <w:szCs w:val="24"/>
        </w:rPr>
        <w:t xml:space="preserve">: </w:t>
      </w:r>
      <w:r w:rsidR="003D0DBA" w:rsidRPr="006A428E">
        <w:t xml:space="preserve">Lietuvos Respublikos Vyriausybės nutarimo „Dėl Lietuvos Respublikos Vyriausybės 2010 m. rugpjūčio 25 d. nutarimo Nr. 1239 „Dėl Valstybinės reikšmės parkų nuostatų ir Valstybinės reikšmės parkų sąrašo patvirtinimo“ pakeitimo“ </w:t>
      </w:r>
      <w:r w:rsidR="0035114C" w:rsidRPr="006A428E">
        <w:rPr>
          <w:bCs/>
          <w:szCs w:val="24"/>
        </w:rPr>
        <w:t xml:space="preserve">projektas </w:t>
      </w:r>
      <w:r w:rsidR="0035114C" w:rsidRPr="006A428E">
        <w:rPr>
          <w:szCs w:val="24"/>
        </w:rPr>
        <w:t xml:space="preserve">(toliau – Projektas). </w:t>
      </w:r>
    </w:p>
    <w:p w:rsidR="00BD3767" w:rsidRPr="006A428E" w:rsidRDefault="008C17C3" w:rsidP="00AB7A35">
      <w:pPr>
        <w:jc w:val="both"/>
        <w:rPr>
          <w:szCs w:val="24"/>
          <w:u w:val="single"/>
        </w:rPr>
      </w:pPr>
      <w:r w:rsidRPr="006A428E">
        <w:rPr>
          <w:szCs w:val="24"/>
          <w:lang w:eastAsia="lt-LT"/>
        </w:rPr>
        <w:t>Teisės akto projekto tiesiogi</w:t>
      </w:r>
      <w:r w:rsidR="00583907" w:rsidRPr="006A428E">
        <w:rPr>
          <w:szCs w:val="24"/>
          <w:lang w:eastAsia="lt-LT"/>
        </w:rPr>
        <w:t>niai rengėjai</w:t>
      </w:r>
      <w:r w:rsidRPr="006A428E">
        <w:rPr>
          <w:szCs w:val="24"/>
          <w:lang w:eastAsia="lt-LT"/>
        </w:rPr>
        <w:t xml:space="preserve">: </w:t>
      </w:r>
      <w:r w:rsidR="00583907" w:rsidRPr="006A428E">
        <w:rPr>
          <w:szCs w:val="24"/>
        </w:rPr>
        <w:t xml:space="preserve">Lietuvos Respublikos aplinkos ministerijos </w:t>
      </w:r>
      <w:r w:rsidR="00F7376B" w:rsidRPr="006A428E">
        <w:rPr>
          <w:szCs w:val="24"/>
        </w:rPr>
        <w:t>Gamtos apsaugos politiko</w:t>
      </w:r>
      <w:r w:rsidR="00DA077B" w:rsidRPr="006A428E">
        <w:rPr>
          <w:szCs w:val="24"/>
        </w:rPr>
        <w:t>s grupės vyriausi</w:t>
      </w:r>
      <w:r w:rsidR="00586C8B" w:rsidRPr="006A428E">
        <w:rPr>
          <w:szCs w:val="24"/>
        </w:rPr>
        <w:t>oji  specialistė</w:t>
      </w:r>
      <w:r w:rsidR="00F7376B" w:rsidRPr="006A428E">
        <w:rPr>
          <w:szCs w:val="24"/>
        </w:rPr>
        <w:t xml:space="preserve"> </w:t>
      </w:r>
      <w:r w:rsidR="003D0DBA" w:rsidRPr="006A428E">
        <w:rPr>
          <w:szCs w:val="22"/>
        </w:rPr>
        <w:t xml:space="preserve">Justina </w:t>
      </w:r>
      <w:proofErr w:type="spellStart"/>
      <w:r w:rsidR="003D0DBA" w:rsidRPr="006A428E">
        <w:rPr>
          <w:szCs w:val="22"/>
        </w:rPr>
        <w:t>Čunderova</w:t>
      </w:r>
      <w:proofErr w:type="spellEnd"/>
      <w:r w:rsidR="00583907" w:rsidRPr="006A428E">
        <w:rPr>
          <w:szCs w:val="24"/>
        </w:rPr>
        <w:t xml:space="preserve">, tel. </w:t>
      </w:r>
      <w:r w:rsidR="00F7376B" w:rsidRPr="006A428E">
        <w:rPr>
          <w:color w:val="000000"/>
          <w:szCs w:val="24"/>
          <w:shd w:val="clear" w:color="auto" w:fill="FFFFFF"/>
        </w:rPr>
        <w:t>8 6</w:t>
      </w:r>
      <w:r w:rsidR="003D0DBA" w:rsidRPr="006A428E">
        <w:rPr>
          <w:color w:val="000000"/>
          <w:szCs w:val="24"/>
          <w:shd w:val="clear" w:color="auto" w:fill="FFFFFF"/>
        </w:rPr>
        <w:t>9543220</w:t>
      </w:r>
      <w:r w:rsidR="00583907" w:rsidRPr="006A428E">
        <w:rPr>
          <w:szCs w:val="24"/>
        </w:rPr>
        <w:t xml:space="preserve">, el. p. </w:t>
      </w:r>
      <w:hyperlink r:id="rId8" w:history="1">
        <w:r w:rsidR="003D0DBA" w:rsidRPr="006A428E">
          <w:rPr>
            <w:rStyle w:val="Hyperlink"/>
            <w:rFonts w:eastAsia="Andale Sans UI"/>
            <w:szCs w:val="24"/>
            <w:lang w:bidi="en-US"/>
          </w:rPr>
          <w:t>justina.cunderova@am.lt</w:t>
        </w:r>
      </w:hyperlink>
      <w:r w:rsidR="00F7376B" w:rsidRPr="006A428E">
        <w:rPr>
          <w:rFonts w:eastAsia="Andale Sans UI"/>
          <w:color w:val="000000" w:themeColor="text1"/>
          <w:szCs w:val="24"/>
          <w:lang w:bidi="en-US"/>
        </w:rPr>
        <w:t>.</w:t>
      </w:r>
    </w:p>
    <w:p w:rsidR="00BD3767" w:rsidRPr="006A428E" w:rsidRDefault="008C17C3" w:rsidP="00AB7A35">
      <w:pPr>
        <w:jc w:val="both"/>
        <w:rPr>
          <w:szCs w:val="24"/>
          <w:lang w:eastAsia="lt-LT"/>
        </w:rPr>
      </w:pPr>
      <w:r w:rsidRPr="006A428E">
        <w:rPr>
          <w:szCs w:val="24"/>
          <w:lang w:eastAsia="lt-LT"/>
        </w:rPr>
        <w:t>Antikorupciniu požiūriu rizikingos teisės akto projekto nuostatos</w:t>
      </w:r>
      <w:r w:rsidRPr="006A428E">
        <w:rPr>
          <w:b/>
          <w:szCs w:val="24"/>
          <w:lang w:eastAsia="lt-LT"/>
        </w:rPr>
        <w:t xml:space="preserve"> </w:t>
      </w:r>
      <w:r w:rsidRPr="006A428E">
        <w:rPr>
          <w:i/>
          <w:szCs w:val="24"/>
          <w:lang w:eastAsia="lt-LT"/>
        </w:rPr>
        <w:t>(nurodyti kriterijaus numerį, kurį taikant nustatytai korupcijos rizikai šalinti ar valdyti teisės akto projekte nenumatyta priemonių)</w:t>
      </w:r>
      <w:r w:rsidRPr="006A428E">
        <w:rPr>
          <w:szCs w:val="24"/>
          <w:vertAlign w:val="superscript"/>
          <w:lang w:eastAsia="lt-LT"/>
        </w:rPr>
        <w:footnoteReference w:id="1"/>
      </w:r>
      <w:r w:rsidRPr="006A428E">
        <w:rPr>
          <w:szCs w:val="24"/>
          <w:lang w:eastAsia="lt-LT"/>
        </w:rPr>
        <w:t>: nėra</w:t>
      </w:r>
    </w:p>
    <w:p w:rsidR="008C17C3" w:rsidRPr="006A428E" w:rsidRDefault="008C17C3" w:rsidP="00AB7A35">
      <w:pPr>
        <w:jc w:val="both"/>
        <w:rPr>
          <w:szCs w:val="24"/>
          <w:lang w:eastAsia="lt-LT"/>
        </w:rPr>
      </w:pPr>
      <w:r w:rsidRPr="006A428E">
        <w:rPr>
          <w:szCs w:val="24"/>
          <w:lang w:eastAsia="lt-LT"/>
        </w:rPr>
        <w:t xml:space="preserve">Antikorupciniu požiūriu rizikingos teisės akto projekto nuostatos, nustatytos atliekant antikorupcinį vertinimą po </w:t>
      </w:r>
      <w:proofErr w:type="spellStart"/>
      <w:r w:rsidRPr="006A428E">
        <w:rPr>
          <w:szCs w:val="24"/>
          <w:lang w:eastAsia="lt-LT"/>
        </w:rPr>
        <w:t>tarpinstitucinio</w:t>
      </w:r>
      <w:proofErr w:type="spellEnd"/>
      <w:r w:rsidRPr="006A428E">
        <w:rPr>
          <w:szCs w:val="24"/>
          <w:lang w:eastAsia="lt-LT"/>
        </w:rPr>
        <w:t xml:space="preserve"> derinimo</w:t>
      </w:r>
      <w:r w:rsidRPr="006A428E">
        <w:rPr>
          <w:b/>
          <w:szCs w:val="24"/>
          <w:lang w:eastAsia="lt-LT"/>
        </w:rPr>
        <w:t xml:space="preserve"> </w:t>
      </w:r>
      <w:r w:rsidRPr="006A428E">
        <w:rPr>
          <w:i/>
          <w:szCs w:val="24"/>
          <w:lang w:eastAsia="lt-LT"/>
        </w:rPr>
        <w:t>(nurodyti kriterijaus numerį, kurį taikant nustatytai korupcijos rizikai šalinti ar valdyti teisės akto projekte nenumatyta priemonių)</w:t>
      </w:r>
      <w:r w:rsidRPr="006A428E">
        <w:rPr>
          <w:szCs w:val="24"/>
          <w:vertAlign w:val="superscript"/>
          <w:lang w:eastAsia="lt-LT"/>
        </w:rPr>
        <w:footnoteReference w:id="2"/>
      </w:r>
      <w:r w:rsidRPr="006A428E">
        <w:rPr>
          <w:szCs w:val="24"/>
          <w:lang w:eastAsia="lt-LT"/>
        </w:rPr>
        <w:t>:</w:t>
      </w:r>
    </w:p>
    <w:p w:rsidR="002D5183" w:rsidRPr="006A428E" w:rsidRDefault="002D5183" w:rsidP="00AB7A35">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4083"/>
        <w:gridCol w:w="3420"/>
        <w:gridCol w:w="2611"/>
      </w:tblGrid>
      <w:tr w:rsidR="00E008D6" w:rsidRPr="006A428E" w:rsidTr="00BD3767">
        <w:trPr>
          <w:trHeight w:val="23"/>
        </w:trPr>
        <w:tc>
          <w:tcPr>
            <w:tcW w:w="696" w:type="dxa"/>
            <w:shd w:val="clear" w:color="auto" w:fill="auto"/>
            <w:vAlign w:val="center"/>
          </w:tcPr>
          <w:p w:rsidR="002D5183" w:rsidRPr="006A428E" w:rsidRDefault="002D5183" w:rsidP="00AB7A35">
            <w:pPr>
              <w:jc w:val="center"/>
              <w:rPr>
                <w:szCs w:val="24"/>
                <w:lang w:eastAsia="lt-LT"/>
              </w:rPr>
            </w:pPr>
            <w:r w:rsidRPr="006A428E">
              <w:rPr>
                <w:szCs w:val="24"/>
                <w:lang w:eastAsia="lt-LT"/>
              </w:rPr>
              <w:t>Eil. Nr.</w:t>
            </w:r>
          </w:p>
        </w:tc>
        <w:tc>
          <w:tcPr>
            <w:tcW w:w="3301" w:type="dxa"/>
            <w:shd w:val="clear" w:color="auto" w:fill="auto"/>
            <w:vAlign w:val="center"/>
          </w:tcPr>
          <w:p w:rsidR="002D5183" w:rsidRPr="006A428E" w:rsidRDefault="002D5183" w:rsidP="00AB7A35">
            <w:pPr>
              <w:jc w:val="center"/>
              <w:rPr>
                <w:szCs w:val="24"/>
                <w:lang w:eastAsia="lt-LT"/>
              </w:rPr>
            </w:pPr>
            <w:r w:rsidRPr="006A428E">
              <w:rPr>
                <w:szCs w:val="24"/>
                <w:lang w:eastAsia="lt-LT"/>
              </w:rPr>
              <w:t>Kriterijus</w:t>
            </w:r>
          </w:p>
        </w:tc>
        <w:tc>
          <w:tcPr>
            <w:tcW w:w="4083" w:type="dxa"/>
            <w:shd w:val="clear" w:color="auto" w:fill="auto"/>
            <w:vAlign w:val="center"/>
          </w:tcPr>
          <w:p w:rsidR="002D5183" w:rsidRPr="006A428E" w:rsidRDefault="002D5183" w:rsidP="00AB7A35">
            <w:pPr>
              <w:jc w:val="center"/>
              <w:rPr>
                <w:b/>
                <w:szCs w:val="24"/>
                <w:lang w:eastAsia="lt-LT"/>
              </w:rPr>
            </w:pPr>
            <w:r w:rsidRPr="006A428E">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420" w:type="dxa"/>
            <w:shd w:val="clear" w:color="auto" w:fill="auto"/>
            <w:vAlign w:val="center"/>
          </w:tcPr>
          <w:p w:rsidR="002D5183" w:rsidRPr="006A428E" w:rsidRDefault="002D5183" w:rsidP="00AB7A35">
            <w:pPr>
              <w:jc w:val="center"/>
              <w:rPr>
                <w:szCs w:val="24"/>
                <w:lang w:eastAsia="lt-LT"/>
              </w:rPr>
            </w:pPr>
            <w:r w:rsidRPr="006A428E">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6A428E" w:rsidRDefault="002D5183" w:rsidP="00AB7A35">
            <w:pPr>
              <w:jc w:val="center"/>
              <w:rPr>
                <w:szCs w:val="24"/>
                <w:lang w:eastAsia="lt-LT"/>
              </w:rPr>
            </w:pPr>
            <w:r w:rsidRPr="006A428E">
              <w:rPr>
                <w:szCs w:val="24"/>
                <w:lang w:eastAsia="lt-LT"/>
              </w:rPr>
              <w:t>Išvada dėl teisės akto projekto pakeitimų arba argumentų, kodėl neatsižvelgta į pastabą</w:t>
            </w:r>
          </w:p>
        </w:tc>
      </w:tr>
      <w:tr w:rsidR="00E008D6" w:rsidRPr="006A428E" w:rsidTr="00BD3767">
        <w:trPr>
          <w:trHeight w:val="23"/>
        </w:trPr>
        <w:tc>
          <w:tcPr>
            <w:tcW w:w="696" w:type="dxa"/>
            <w:shd w:val="clear" w:color="auto" w:fill="auto"/>
          </w:tcPr>
          <w:p w:rsidR="002D5183" w:rsidRPr="006A428E" w:rsidRDefault="002D5183" w:rsidP="00AB7A35">
            <w:pPr>
              <w:jc w:val="center"/>
              <w:rPr>
                <w:i/>
                <w:szCs w:val="24"/>
                <w:lang w:eastAsia="lt-LT"/>
              </w:rPr>
            </w:pPr>
          </w:p>
        </w:tc>
        <w:tc>
          <w:tcPr>
            <w:tcW w:w="3301" w:type="dxa"/>
            <w:shd w:val="clear" w:color="auto" w:fill="auto"/>
          </w:tcPr>
          <w:p w:rsidR="002D5183" w:rsidRPr="006A428E" w:rsidRDefault="002D5183" w:rsidP="00AB7A35">
            <w:pPr>
              <w:rPr>
                <w:i/>
                <w:szCs w:val="24"/>
                <w:lang w:eastAsia="lt-LT"/>
              </w:rPr>
            </w:pPr>
          </w:p>
        </w:tc>
        <w:tc>
          <w:tcPr>
            <w:tcW w:w="4083" w:type="dxa"/>
            <w:shd w:val="clear" w:color="auto" w:fill="auto"/>
            <w:vAlign w:val="center"/>
          </w:tcPr>
          <w:p w:rsidR="002D5183" w:rsidRPr="006A428E" w:rsidRDefault="002D5183" w:rsidP="00AB7A35">
            <w:pPr>
              <w:jc w:val="center"/>
              <w:rPr>
                <w:i/>
                <w:szCs w:val="24"/>
                <w:lang w:eastAsia="lt-LT"/>
              </w:rPr>
            </w:pPr>
            <w:r w:rsidRPr="006A428E">
              <w:rPr>
                <w:i/>
                <w:szCs w:val="24"/>
                <w:lang w:eastAsia="lt-LT"/>
              </w:rPr>
              <w:t>pildo teisės akto projekto vertintojas</w:t>
            </w:r>
          </w:p>
        </w:tc>
        <w:tc>
          <w:tcPr>
            <w:tcW w:w="3420" w:type="dxa"/>
            <w:shd w:val="clear" w:color="auto" w:fill="auto"/>
            <w:vAlign w:val="center"/>
          </w:tcPr>
          <w:p w:rsidR="002D5183" w:rsidRPr="006A428E" w:rsidRDefault="002D5183" w:rsidP="00AB7A35">
            <w:pPr>
              <w:jc w:val="center"/>
              <w:rPr>
                <w:i/>
                <w:szCs w:val="24"/>
                <w:lang w:eastAsia="lt-LT"/>
              </w:rPr>
            </w:pPr>
            <w:r w:rsidRPr="006A428E">
              <w:rPr>
                <w:i/>
                <w:szCs w:val="24"/>
                <w:lang w:eastAsia="lt-LT"/>
              </w:rPr>
              <w:t>pildo teisės akto projekto tiesioginis rengėjas</w:t>
            </w:r>
          </w:p>
        </w:tc>
        <w:tc>
          <w:tcPr>
            <w:tcW w:w="2611" w:type="dxa"/>
            <w:shd w:val="clear" w:color="auto" w:fill="auto"/>
            <w:vAlign w:val="center"/>
          </w:tcPr>
          <w:p w:rsidR="002D5183" w:rsidRPr="006A428E" w:rsidRDefault="002D5183" w:rsidP="00AB7A35">
            <w:pPr>
              <w:jc w:val="center"/>
              <w:rPr>
                <w:i/>
                <w:szCs w:val="24"/>
                <w:lang w:eastAsia="lt-LT"/>
              </w:rPr>
            </w:pPr>
            <w:r w:rsidRPr="006A428E">
              <w:rPr>
                <w:i/>
                <w:szCs w:val="24"/>
                <w:lang w:eastAsia="lt-LT"/>
              </w:rPr>
              <w:t>pildo teisės akto projekto vertintojas</w:t>
            </w:r>
          </w:p>
        </w:tc>
      </w:tr>
      <w:tr w:rsidR="00E008D6" w:rsidRPr="006A428E" w:rsidTr="00BD3767">
        <w:trPr>
          <w:trHeight w:val="23"/>
        </w:trPr>
        <w:tc>
          <w:tcPr>
            <w:tcW w:w="696" w:type="dxa"/>
            <w:shd w:val="clear" w:color="auto" w:fill="auto"/>
          </w:tcPr>
          <w:p w:rsidR="002D5183" w:rsidRPr="006A428E" w:rsidRDefault="002D5183" w:rsidP="00AB7A35">
            <w:pPr>
              <w:jc w:val="center"/>
              <w:rPr>
                <w:szCs w:val="24"/>
                <w:lang w:eastAsia="lt-LT"/>
              </w:rPr>
            </w:pPr>
            <w:r w:rsidRPr="006A428E">
              <w:rPr>
                <w:szCs w:val="24"/>
                <w:lang w:eastAsia="lt-LT"/>
              </w:rPr>
              <w:t>1.</w:t>
            </w:r>
          </w:p>
        </w:tc>
        <w:tc>
          <w:tcPr>
            <w:tcW w:w="3301" w:type="dxa"/>
            <w:shd w:val="clear" w:color="auto" w:fill="auto"/>
          </w:tcPr>
          <w:p w:rsidR="002D5183" w:rsidRPr="006A428E" w:rsidRDefault="002D5183" w:rsidP="00AB7A35">
            <w:pPr>
              <w:rPr>
                <w:szCs w:val="24"/>
                <w:lang w:eastAsia="lt-LT"/>
              </w:rPr>
            </w:pPr>
            <w:r w:rsidRPr="006A428E">
              <w:rPr>
                <w:szCs w:val="24"/>
                <w:lang w:eastAsia="lt-LT"/>
              </w:rPr>
              <w:t>Teisės akto projektas nesudaro išskirtinių ar nevienodų sąlygų subjektams, su kuriais susijęs teisės akto įgyvendinimas</w:t>
            </w:r>
          </w:p>
        </w:tc>
        <w:tc>
          <w:tcPr>
            <w:tcW w:w="4083" w:type="dxa"/>
            <w:shd w:val="clear" w:color="auto" w:fill="auto"/>
          </w:tcPr>
          <w:p w:rsidR="00BD3767" w:rsidRPr="006A428E" w:rsidRDefault="00A67A1C" w:rsidP="00AB7A35">
            <w:pPr>
              <w:pStyle w:val="BodyText"/>
              <w:ind w:firstLine="0"/>
              <w:rPr>
                <w:rFonts w:cs="Times New Roman"/>
              </w:rPr>
            </w:pPr>
            <w:r w:rsidRPr="006A428E">
              <w:rPr>
                <w:rFonts w:cs="Times New Roman"/>
              </w:rPr>
              <w:t xml:space="preserve">Projektas nesudaro išskirtinių ar nevienodų sąlygų subjektams, su kuriais susijęs </w:t>
            </w:r>
            <w:r w:rsidR="00A738AD" w:rsidRPr="006A428E">
              <w:rPr>
                <w:rFonts w:cs="Times New Roman"/>
              </w:rPr>
              <w:t>teisės akto įgyvendinimas.</w:t>
            </w:r>
          </w:p>
          <w:p w:rsidR="003D0DBA" w:rsidRPr="006A428E" w:rsidRDefault="003D0DBA" w:rsidP="006A428E">
            <w:pPr>
              <w:jc w:val="both"/>
              <w:rPr>
                <w:lang w:val="en-US"/>
              </w:rPr>
            </w:pPr>
            <w:r w:rsidRPr="006A428E">
              <w:t>Projekto tikslas –</w:t>
            </w:r>
            <w:r w:rsidR="00BB7644" w:rsidRPr="006A428E">
              <w:t xml:space="preserve"> </w:t>
            </w:r>
            <w:r w:rsidRPr="006A428E">
              <w:t>užtikrini nuo 2021-</w:t>
            </w:r>
            <w:r w:rsidRPr="006A428E">
              <w:lastRenderedPageBreak/>
              <w:t>11-01 įsigaliosianči</w:t>
            </w:r>
            <w:r w:rsidR="006A428E">
              <w:t xml:space="preserve">ų </w:t>
            </w:r>
            <w:r w:rsidRPr="006A428E">
              <w:t xml:space="preserve">naujos redakcijos Želdynų įstatyme įtvirtintų pakeitimų ir Valstybinės reikšmės parkų nuostatų nuoseklumą ir suderinamumą. </w:t>
            </w:r>
          </w:p>
        </w:tc>
        <w:tc>
          <w:tcPr>
            <w:tcW w:w="3420" w:type="dxa"/>
            <w:shd w:val="clear" w:color="auto" w:fill="auto"/>
          </w:tcPr>
          <w:p w:rsidR="002D5183" w:rsidRPr="006A428E" w:rsidRDefault="002D5183" w:rsidP="00AB7A35">
            <w:pPr>
              <w:rPr>
                <w:b/>
                <w:szCs w:val="24"/>
                <w:lang w:eastAsia="lt-LT"/>
              </w:rPr>
            </w:pPr>
          </w:p>
        </w:tc>
        <w:tc>
          <w:tcPr>
            <w:tcW w:w="2611" w:type="dxa"/>
            <w:shd w:val="clear" w:color="auto" w:fill="auto"/>
          </w:tcPr>
          <w:p w:rsidR="002D5183" w:rsidRPr="006A428E" w:rsidRDefault="008C17C3" w:rsidP="00AB7A35">
            <w:pPr>
              <w:rPr>
                <w:szCs w:val="24"/>
                <w:lang w:eastAsia="lt-LT"/>
              </w:rPr>
            </w:pPr>
            <w:r w:rsidRPr="006A428E">
              <w:rPr>
                <w:szCs w:val="24"/>
                <w:lang w:eastAsia="lt-LT"/>
              </w:rPr>
              <w:t xml:space="preserve">X </w:t>
            </w:r>
            <w:r w:rsidR="002D5183" w:rsidRPr="006A428E">
              <w:rPr>
                <w:szCs w:val="24"/>
                <w:lang w:eastAsia="lt-LT"/>
              </w:rPr>
              <w:t>tenkina</w:t>
            </w:r>
          </w:p>
          <w:p w:rsidR="002D5183" w:rsidRPr="006A428E" w:rsidRDefault="002D5183" w:rsidP="00AB7A35">
            <w:pPr>
              <w:rPr>
                <w:szCs w:val="24"/>
                <w:lang w:eastAsia="lt-LT"/>
              </w:rPr>
            </w:pPr>
            <w:r w:rsidRPr="006A428E">
              <w:rPr>
                <w:szCs w:val="24"/>
                <w:lang w:eastAsia="lt-LT"/>
              </w:rPr>
              <w:t>□ netenkina</w:t>
            </w:r>
          </w:p>
        </w:tc>
      </w:tr>
      <w:tr w:rsidR="00E008D6" w:rsidRPr="006A428E" w:rsidTr="00BD3767">
        <w:trPr>
          <w:trHeight w:val="23"/>
        </w:trPr>
        <w:tc>
          <w:tcPr>
            <w:tcW w:w="696" w:type="dxa"/>
            <w:shd w:val="clear" w:color="auto" w:fill="auto"/>
          </w:tcPr>
          <w:p w:rsidR="002D5183" w:rsidRPr="006A428E" w:rsidRDefault="002D5183" w:rsidP="00AB7A35">
            <w:pPr>
              <w:keepNext/>
              <w:rPr>
                <w:szCs w:val="24"/>
                <w:lang w:eastAsia="lt-LT"/>
              </w:rPr>
            </w:pPr>
            <w:r w:rsidRPr="006A428E">
              <w:rPr>
                <w:szCs w:val="24"/>
                <w:lang w:eastAsia="lt-LT"/>
              </w:rPr>
              <w:lastRenderedPageBreak/>
              <w:t>2.</w:t>
            </w:r>
          </w:p>
        </w:tc>
        <w:tc>
          <w:tcPr>
            <w:tcW w:w="3301" w:type="dxa"/>
            <w:shd w:val="clear" w:color="auto" w:fill="auto"/>
          </w:tcPr>
          <w:p w:rsidR="002D5183" w:rsidRPr="006A428E" w:rsidRDefault="002D5183" w:rsidP="006A428E">
            <w:pPr>
              <w:keepNext/>
              <w:rPr>
                <w:szCs w:val="24"/>
                <w:lang w:eastAsia="lt-LT"/>
              </w:rPr>
            </w:pPr>
            <w:r w:rsidRPr="006A428E">
              <w:rPr>
                <w:szCs w:val="24"/>
                <w:lang w:eastAsia="lt-LT"/>
              </w:rPr>
              <w:t>Teisės akto projekte nėra spragų ar nuostatų, leisiančių dviprasmiškai aiškinti ir taikyti teisės aktą</w:t>
            </w:r>
          </w:p>
        </w:tc>
        <w:tc>
          <w:tcPr>
            <w:tcW w:w="4083" w:type="dxa"/>
            <w:shd w:val="clear" w:color="auto" w:fill="auto"/>
          </w:tcPr>
          <w:p w:rsidR="002D5183" w:rsidRPr="006A428E" w:rsidRDefault="008C17C3" w:rsidP="006A428E">
            <w:pPr>
              <w:keepNext/>
              <w:jc w:val="both"/>
              <w:rPr>
                <w:szCs w:val="24"/>
                <w:lang w:eastAsia="lt-LT"/>
              </w:rPr>
            </w:pPr>
            <w:r w:rsidRPr="006A428E">
              <w:rPr>
                <w:szCs w:val="24"/>
                <w:lang w:eastAsia="lt-LT"/>
              </w:rPr>
              <w:t>Projekto</w:t>
            </w:r>
            <w:r w:rsidR="00A87CC5" w:rsidRPr="006A428E">
              <w:rPr>
                <w:szCs w:val="24"/>
                <w:lang w:eastAsia="lt-LT"/>
              </w:rPr>
              <w:t xml:space="preserve"> nuostatos aiškios ir nesudaro galimybės dviprasmiškai </w:t>
            </w:r>
            <w:r w:rsidR="00B672B6" w:rsidRPr="006A428E">
              <w:rPr>
                <w:szCs w:val="24"/>
                <w:lang w:eastAsia="lt-LT"/>
              </w:rPr>
              <w:t>aiškinti ir taikyti teisės aktą</w:t>
            </w:r>
            <w:r w:rsidR="00F4102C" w:rsidRPr="006A428E">
              <w:rPr>
                <w:szCs w:val="24"/>
                <w:lang w:eastAsia="lt-LT"/>
              </w:rPr>
              <w:t>.</w:t>
            </w:r>
          </w:p>
          <w:p w:rsidR="00BD3767" w:rsidRPr="006A428E" w:rsidRDefault="00BD3767" w:rsidP="006A428E">
            <w:pPr>
              <w:keepNext/>
              <w:jc w:val="both"/>
              <w:rPr>
                <w:szCs w:val="24"/>
                <w:lang w:eastAsia="lt-LT"/>
              </w:rPr>
            </w:pPr>
          </w:p>
        </w:tc>
        <w:tc>
          <w:tcPr>
            <w:tcW w:w="3420" w:type="dxa"/>
            <w:shd w:val="clear" w:color="auto" w:fill="auto"/>
          </w:tcPr>
          <w:p w:rsidR="002D5183" w:rsidRPr="006A428E" w:rsidRDefault="002D5183" w:rsidP="00AB7A35">
            <w:pPr>
              <w:keepNext/>
              <w:rPr>
                <w:szCs w:val="24"/>
                <w:lang w:eastAsia="lt-LT"/>
              </w:rPr>
            </w:pPr>
          </w:p>
        </w:tc>
        <w:tc>
          <w:tcPr>
            <w:tcW w:w="2611" w:type="dxa"/>
            <w:shd w:val="clear" w:color="auto" w:fill="auto"/>
          </w:tcPr>
          <w:p w:rsidR="002D5183" w:rsidRPr="006A428E" w:rsidRDefault="008C17C3" w:rsidP="00AB7A35">
            <w:pPr>
              <w:keepNext/>
              <w:rPr>
                <w:szCs w:val="24"/>
                <w:lang w:eastAsia="lt-LT"/>
              </w:rPr>
            </w:pPr>
            <w:r w:rsidRPr="006A428E">
              <w:rPr>
                <w:szCs w:val="24"/>
                <w:lang w:eastAsia="lt-LT"/>
              </w:rPr>
              <w:t xml:space="preserve">X </w:t>
            </w:r>
            <w:r w:rsidR="002D5183" w:rsidRPr="006A428E">
              <w:rPr>
                <w:szCs w:val="24"/>
                <w:lang w:eastAsia="lt-LT"/>
              </w:rPr>
              <w:t xml:space="preserve"> tenkina</w:t>
            </w:r>
          </w:p>
          <w:p w:rsidR="002D5183" w:rsidRPr="006A428E" w:rsidRDefault="002D5183" w:rsidP="00AB7A35">
            <w:pPr>
              <w:keepNext/>
              <w:rPr>
                <w:szCs w:val="24"/>
                <w:lang w:eastAsia="lt-LT"/>
              </w:rPr>
            </w:pPr>
            <w:r w:rsidRPr="006A428E">
              <w:rPr>
                <w:szCs w:val="24"/>
                <w:lang w:eastAsia="lt-LT"/>
              </w:rPr>
              <w:t>□ netenkina</w:t>
            </w:r>
          </w:p>
        </w:tc>
      </w:tr>
      <w:tr w:rsidR="00E008D6" w:rsidRPr="006A428E" w:rsidTr="00BD3767">
        <w:trPr>
          <w:trHeight w:val="23"/>
        </w:trPr>
        <w:tc>
          <w:tcPr>
            <w:tcW w:w="696" w:type="dxa"/>
            <w:shd w:val="clear" w:color="auto" w:fill="auto"/>
          </w:tcPr>
          <w:p w:rsidR="002D5183" w:rsidRPr="006A428E" w:rsidRDefault="002D5183" w:rsidP="00AB7A35">
            <w:pPr>
              <w:jc w:val="center"/>
              <w:rPr>
                <w:szCs w:val="24"/>
                <w:lang w:eastAsia="lt-LT"/>
              </w:rPr>
            </w:pPr>
            <w:r w:rsidRPr="006A428E">
              <w:rPr>
                <w:szCs w:val="24"/>
                <w:lang w:eastAsia="lt-LT"/>
              </w:rPr>
              <w:t>3.</w:t>
            </w:r>
          </w:p>
        </w:tc>
        <w:tc>
          <w:tcPr>
            <w:tcW w:w="3301" w:type="dxa"/>
            <w:shd w:val="clear" w:color="auto" w:fill="auto"/>
          </w:tcPr>
          <w:p w:rsidR="002D5183" w:rsidRPr="006A428E" w:rsidRDefault="002D5183" w:rsidP="006A428E">
            <w:pPr>
              <w:rPr>
                <w:szCs w:val="24"/>
                <w:lang w:eastAsia="lt-LT"/>
              </w:rPr>
            </w:pPr>
            <w:r w:rsidRPr="006A428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083" w:type="dxa"/>
            <w:shd w:val="clear" w:color="auto" w:fill="auto"/>
          </w:tcPr>
          <w:p w:rsidR="008515B9" w:rsidRPr="006A428E" w:rsidRDefault="0035114C" w:rsidP="006A428E">
            <w:pPr>
              <w:jc w:val="both"/>
              <w:rPr>
                <w:lang w:val="en-US"/>
              </w:rPr>
            </w:pPr>
            <w:r w:rsidRPr="006A428E">
              <w:rPr>
                <w:szCs w:val="24"/>
              </w:rPr>
              <w:t xml:space="preserve">Projekte numatoma, </w:t>
            </w:r>
            <w:r w:rsidR="00143D1D" w:rsidRPr="006A428E">
              <w:rPr>
                <w:szCs w:val="24"/>
              </w:rPr>
              <w:t xml:space="preserve">kad </w:t>
            </w:r>
            <w:proofErr w:type="spellStart"/>
            <w:r w:rsidR="008515B9" w:rsidRPr="006A428E">
              <w:rPr>
                <w:lang w:val="en-US"/>
              </w:rPr>
              <w:t>p</w:t>
            </w:r>
            <w:r w:rsidR="008515B9" w:rsidRPr="006A428E">
              <w:rPr>
                <w:szCs w:val="24"/>
                <w:lang w:val="en-US"/>
              </w:rPr>
              <w:t>arko</w:t>
            </w:r>
            <w:proofErr w:type="spellEnd"/>
            <w:r w:rsidR="008515B9" w:rsidRPr="006A428E">
              <w:rPr>
                <w:szCs w:val="24"/>
                <w:lang w:val="en-US"/>
              </w:rPr>
              <w:t xml:space="preserve"> </w:t>
            </w:r>
            <w:proofErr w:type="spellStart"/>
            <w:r w:rsidR="008515B9" w:rsidRPr="006A428E">
              <w:rPr>
                <w:szCs w:val="24"/>
                <w:lang w:val="en-US"/>
              </w:rPr>
              <w:t>ir</w:t>
            </w:r>
            <w:proofErr w:type="spellEnd"/>
            <w:r w:rsidR="008515B9" w:rsidRPr="006A428E">
              <w:rPr>
                <w:szCs w:val="24"/>
                <w:lang w:val="en-US"/>
              </w:rPr>
              <w:t xml:space="preserve"> jo </w:t>
            </w:r>
            <w:proofErr w:type="spellStart"/>
            <w:r w:rsidR="008515B9" w:rsidRPr="006A428E">
              <w:rPr>
                <w:szCs w:val="24"/>
                <w:lang w:val="en-US"/>
              </w:rPr>
              <w:t>želdinių</w:t>
            </w:r>
            <w:proofErr w:type="spellEnd"/>
            <w:r w:rsidR="008515B9" w:rsidRPr="006A428E">
              <w:rPr>
                <w:szCs w:val="24"/>
                <w:lang w:val="en-US"/>
              </w:rPr>
              <w:t xml:space="preserve"> </w:t>
            </w:r>
            <w:proofErr w:type="spellStart"/>
            <w:r w:rsidR="008515B9" w:rsidRPr="006A428E">
              <w:rPr>
                <w:szCs w:val="24"/>
                <w:lang w:val="en-US"/>
              </w:rPr>
              <w:t>apsaugos</w:t>
            </w:r>
            <w:proofErr w:type="spellEnd"/>
            <w:r w:rsidR="008515B9" w:rsidRPr="006A428E">
              <w:rPr>
                <w:szCs w:val="24"/>
                <w:lang w:val="en-US"/>
              </w:rPr>
              <w:t xml:space="preserve"> </w:t>
            </w:r>
            <w:proofErr w:type="spellStart"/>
            <w:r w:rsidR="008515B9" w:rsidRPr="006A428E">
              <w:rPr>
                <w:szCs w:val="24"/>
                <w:lang w:val="en-US"/>
              </w:rPr>
              <w:t>valstybinę</w:t>
            </w:r>
            <w:proofErr w:type="spellEnd"/>
            <w:r w:rsidR="008515B9" w:rsidRPr="006A428E">
              <w:rPr>
                <w:szCs w:val="24"/>
                <w:lang w:val="en-US"/>
              </w:rPr>
              <w:t xml:space="preserve"> </w:t>
            </w:r>
            <w:proofErr w:type="spellStart"/>
            <w:r w:rsidR="008515B9" w:rsidRPr="006A428E">
              <w:rPr>
                <w:szCs w:val="24"/>
                <w:lang w:val="en-US"/>
              </w:rPr>
              <w:t>kontrolę</w:t>
            </w:r>
            <w:proofErr w:type="spellEnd"/>
            <w:r w:rsidR="008515B9" w:rsidRPr="006A428E">
              <w:rPr>
                <w:szCs w:val="24"/>
                <w:lang w:val="en-US"/>
              </w:rPr>
              <w:t xml:space="preserve"> </w:t>
            </w:r>
            <w:proofErr w:type="spellStart"/>
            <w:r w:rsidR="008515B9" w:rsidRPr="006A428E">
              <w:rPr>
                <w:szCs w:val="24"/>
                <w:lang w:val="en-US"/>
              </w:rPr>
              <w:t>vykdo</w:t>
            </w:r>
            <w:proofErr w:type="spellEnd"/>
            <w:r w:rsidR="008515B9" w:rsidRPr="006A428E">
              <w:rPr>
                <w:szCs w:val="24"/>
                <w:lang w:val="en-US"/>
              </w:rPr>
              <w:t xml:space="preserve"> </w:t>
            </w:r>
            <w:proofErr w:type="spellStart"/>
            <w:r w:rsidR="008515B9" w:rsidRPr="006A428E">
              <w:rPr>
                <w:szCs w:val="24"/>
                <w:lang w:val="en-US"/>
              </w:rPr>
              <w:t>Aplinkos</w:t>
            </w:r>
            <w:proofErr w:type="spellEnd"/>
            <w:r w:rsidR="008515B9" w:rsidRPr="006A428E">
              <w:rPr>
                <w:szCs w:val="24"/>
                <w:lang w:val="en-US"/>
              </w:rPr>
              <w:t xml:space="preserve"> </w:t>
            </w:r>
            <w:proofErr w:type="spellStart"/>
            <w:r w:rsidR="008515B9" w:rsidRPr="006A428E">
              <w:rPr>
                <w:szCs w:val="24"/>
                <w:lang w:val="en-US"/>
              </w:rPr>
              <w:t>ministerijos</w:t>
            </w:r>
            <w:proofErr w:type="spellEnd"/>
            <w:r w:rsidR="008515B9" w:rsidRPr="006A428E">
              <w:rPr>
                <w:szCs w:val="24"/>
                <w:lang w:val="en-US"/>
              </w:rPr>
              <w:t xml:space="preserve"> </w:t>
            </w:r>
            <w:proofErr w:type="spellStart"/>
            <w:r w:rsidR="008515B9" w:rsidRPr="006A428E">
              <w:rPr>
                <w:szCs w:val="24"/>
                <w:lang w:val="en-US"/>
              </w:rPr>
              <w:t>įgaliota</w:t>
            </w:r>
            <w:proofErr w:type="spellEnd"/>
            <w:r w:rsidR="008515B9" w:rsidRPr="006A428E">
              <w:rPr>
                <w:szCs w:val="24"/>
                <w:lang w:val="en-US"/>
              </w:rPr>
              <w:t xml:space="preserve"> </w:t>
            </w:r>
            <w:proofErr w:type="spellStart"/>
            <w:r w:rsidR="008515B9" w:rsidRPr="006A428E">
              <w:rPr>
                <w:szCs w:val="24"/>
                <w:lang w:val="en-US"/>
              </w:rPr>
              <w:t>institucija</w:t>
            </w:r>
            <w:proofErr w:type="spellEnd"/>
            <w:r w:rsidR="008515B9" w:rsidRPr="006A428E">
              <w:rPr>
                <w:szCs w:val="24"/>
                <w:lang w:val="en-US"/>
              </w:rPr>
              <w:t xml:space="preserve">. </w:t>
            </w:r>
            <w:proofErr w:type="spellStart"/>
            <w:r w:rsidR="008515B9" w:rsidRPr="006A428E">
              <w:rPr>
                <w:szCs w:val="24"/>
                <w:lang w:val="en-US"/>
              </w:rPr>
              <w:t>Želdynų</w:t>
            </w:r>
            <w:proofErr w:type="spellEnd"/>
            <w:r w:rsidR="008515B9" w:rsidRPr="006A428E">
              <w:rPr>
                <w:szCs w:val="24"/>
                <w:lang w:val="en-US"/>
              </w:rPr>
              <w:t xml:space="preserve">, </w:t>
            </w:r>
            <w:proofErr w:type="spellStart"/>
            <w:r w:rsidR="008515B9" w:rsidRPr="006A428E">
              <w:rPr>
                <w:szCs w:val="24"/>
                <w:lang w:val="en-US"/>
              </w:rPr>
              <w:t>įrašytų</w:t>
            </w:r>
            <w:proofErr w:type="spellEnd"/>
            <w:r w:rsidR="008515B9" w:rsidRPr="006A428E">
              <w:rPr>
                <w:szCs w:val="24"/>
                <w:lang w:val="en-US"/>
              </w:rPr>
              <w:t xml:space="preserve"> į </w:t>
            </w:r>
            <w:proofErr w:type="spellStart"/>
            <w:r w:rsidR="008515B9" w:rsidRPr="006A428E">
              <w:rPr>
                <w:szCs w:val="24"/>
                <w:lang w:val="en-US"/>
              </w:rPr>
              <w:t>Kultūros</w:t>
            </w:r>
            <w:proofErr w:type="spellEnd"/>
            <w:r w:rsidR="008515B9" w:rsidRPr="006A428E">
              <w:rPr>
                <w:szCs w:val="24"/>
                <w:lang w:val="en-US"/>
              </w:rPr>
              <w:t xml:space="preserve"> </w:t>
            </w:r>
            <w:proofErr w:type="spellStart"/>
            <w:r w:rsidR="008515B9" w:rsidRPr="006A428E">
              <w:rPr>
                <w:szCs w:val="24"/>
                <w:lang w:val="en-US"/>
              </w:rPr>
              <w:t>vertybių</w:t>
            </w:r>
            <w:proofErr w:type="spellEnd"/>
            <w:r w:rsidR="008515B9" w:rsidRPr="006A428E">
              <w:rPr>
                <w:szCs w:val="24"/>
                <w:lang w:val="en-US"/>
              </w:rPr>
              <w:t xml:space="preserve"> </w:t>
            </w:r>
            <w:proofErr w:type="spellStart"/>
            <w:r w:rsidR="008515B9" w:rsidRPr="006A428E">
              <w:rPr>
                <w:szCs w:val="24"/>
                <w:lang w:val="en-US"/>
              </w:rPr>
              <w:t>registrą</w:t>
            </w:r>
            <w:proofErr w:type="spellEnd"/>
            <w:r w:rsidR="008515B9" w:rsidRPr="006A428E">
              <w:rPr>
                <w:szCs w:val="24"/>
                <w:lang w:val="en-US"/>
              </w:rPr>
              <w:t xml:space="preserve">, </w:t>
            </w:r>
            <w:proofErr w:type="spellStart"/>
            <w:r w:rsidR="008515B9" w:rsidRPr="006A428E">
              <w:rPr>
                <w:szCs w:val="24"/>
                <w:lang w:val="en-US"/>
              </w:rPr>
              <w:t>apsaugą</w:t>
            </w:r>
            <w:proofErr w:type="spellEnd"/>
            <w:r w:rsidR="008515B9" w:rsidRPr="006A428E">
              <w:rPr>
                <w:szCs w:val="24"/>
                <w:lang w:val="en-US"/>
              </w:rPr>
              <w:t xml:space="preserve"> </w:t>
            </w:r>
            <w:proofErr w:type="spellStart"/>
            <w:r w:rsidR="008515B9" w:rsidRPr="006A428E">
              <w:rPr>
                <w:szCs w:val="24"/>
                <w:lang w:val="en-US"/>
              </w:rPr>
              <w:t>kontroliuoja</w:t>
            </w:r>
            <w:proofErr w:type="spellEnd"/>
            <w:r w:rsidR="008515B9" w:rsidRPr="006A428E">
              <w:rPr>
                <w:szCs w:val="24"/>
                <w:lang w:val="en-US"/>
              </w:rPr>
              <w:t xml:space="preserve"> </w:t>
            </w:r>
            <w:proofErr w:type="spellStart"/>
            <w:r w:rsidR="008515B9" w:rsidRPr="006A428E">
              <w:rPr>
                <w:szCs w:val="24"/>
                <w:lang w:val="en-US"/>
              </w:rPr>
              <w:t>Kultūros</w:t>
            </w:r>
            <w:proofErr w:type="spellEnd"/>
            <w:r w:rsidR="008515B9" w:rsidRPr="006A428E">
              <w:rPr>
                <w:szCs w:val="24"/>
                <w:lang w:val="en-US"/>
              </w:rPr>
              <w:t xml:space="preserve"> </w:t>
            </w:r>
            <w:proofErr w:type="spellStart"/>
            <w:r w:rsidR="008515B9" w:rsidRPr="006A428E">
              <w:rPr>
                <w:szCs w:val="24"/>
                <w:lang w:val="en-US"/>
              </w:rPr>
              <w:t>ministerija</w:t>
            </w:r>
            <w:proofErr w:type="spellEnd"/>
            <w:r w:rsidR="008515B9" w:rsidRPr="006A428E">
              <w:rPr>
                <w:szCs w:val="24"/>
                <w:lang w:val="en-US"/>
              </w:rPr>
              <w:t xml:space="preserve"> </w:t>
            </w:r>
            <w:proofErr w:type="spellStart"/>
            <w:r w:rsidR="008515B9" w:rsidRPr="006A428E">
              <w:rPr>
                <w:szCs w:val="24"/>
                <w:lang w:val="en-US"/>
              </w:rPr>
              <w:t>ar</w:t>
            </w:r>
            <w:proofErr w:type="spellEnd"/>
            <w:r w:rsidR="008515B9" w:rsidRPr="006A428E">
              <w:rPr>
                <w:szCs w:val="24"/>
                <w:lang w:val="en-US"/>
              </w:rPr>
              <w:t xml:space="preserve"> </w:t>
            </w:r>
            <w:proofErr w:type="spellStart"/>
            <w:r w:rsidR="008515B9" w:rsidRPr="006A428E">
              <w:rPr>
                <w:szCs w:val="24"/>
                <w:lang w:val="en-US"/>
              </w:rPr>
              <w:t>jos</w:t>
            </w:r>
            <w:proofErr w:type="spellEnd"/>
            <w:r w:rsidR="008515B9" w:rsidRPr="006A428E">
              <w:rPr>
                <w:szCs w:val="24"/>
                <w:lang w:val="en-US"/>
              </w:rPr>
              <w:t xml:space="preserve"> </w:t>
            </w:r>
            <w:proofErr w:type="spellStart"/>
            <w:r w:rsidR="008515B9" w:rsidRPr="006A428E">
              <w:rPr>
                <w:szCs w:val="24"/>
                <w:lang w:val="en-US"/>
              </w:rPr>
              <w:t>įgaliota</w:t>
            </w:r>
            <w:proofErr w:type="spellEnd"/>
            <w:r w:rsidR="008515B9" w:rsidRPr="006A428E">
              <w:rPr>
                <w:szCs w:val="24"/>
                <w:lang w:val="en-US"/>
              </w:rPr>
              <w:t xml:space="preserve"> </w:t>
            </w:r>
            <w:proofErr w:type="spellStart"/>
            <w:r w:rsidR="008515B9" w:rsidRPr="006A428E">
              <w:rPr>
                <w:szCs w:val="24"/>
                <w:lang w:val="en-US"/>
              </w:rPr>
              <w:t>institucija</w:t>
            </w:r>
            <w:proofErr w:type="spellEnd"/>
            <w:r w:rsidR="008515B9" w:rsidRPr="006A428E">
              <w:rPr>
                <w:szCs w:val="24"/>
                <w:lang w:val="en-US"/>
              </w:rPr>
              <w:t>.</w:t>
            </w:r>
          </w:p>
          <w:p w:rsidR="00F4209C" w:rsidRPr="006A428E" w:rsidRDefault="00F4209C" w:rsidP="006A428E">
            <w:pPr>
              <w:jc w:val="both"/>
            </w:pPr>
          </w:p>
        </w:tc>
        <w:tc>
          <w:tcPr>
            <w:tcW w:w="3420" w:type="dxa"/>
            <w:shd w:val="clear" w:color="auto" w:fill="auto"/>
          </w:tcPr>
          <w:p w:rsidR="002D5183" w:rsidRPr="006A428E" w:rsidRDefault="002D5183" w:rsidP="00AB7A35">
            <w:pPr>
              <w:rPr>
                <w:szCs w:val="24"/>
                <w:lang w:eastAsia="lt-LT"/>
              </w:rPr>
            </w:pPr>
          </w:p>
        </w:tc>
        <w:tc>
          <w:tcPr>
            <w:tcW w:w="2611" w:type="dxa"/>
            <w:shd w:val="clear" w:color="auto" w:fill="auto"/>
          </w:tcPr>
          <w:p w:rsidR="002D5183" w:rsidRPr="006A428E" w:rsidRDefault="003A0FBA" w:rsidP="00AB7A35">
            <w:pPr>
              <w:rPr>
                <w:szCs w:val="24"/>
                <w:lang w:eastAsia="lt-LT"/>
              </w:rPr>
            </w:pPr>
            <w:r w:rsidRPr="006A428E">
              <w:rPr>
                <w:szCs w:val="24"/>
                <w:lang w:eastAsia="lt-LT"/>
              </w:rPr>
              <w:t>X</w:t>
            </w:r>
            <w:r w:rsidR="00C13164" w:rsidRPr="006A428E">
              <w:rPr>
                <w:szCs w:val="24"/>
                <w:lang w:eastAsia="lt-LT"/>
              </w:rPr>
              <w:t xml:space="preserve"> </w:t>
            </w:r>
            <w:r w:rsidR="002D5183" w:rsidRPr="006A428E">
              <w:rPr>
                <w:szCs w:val="24"/>
                <w:lang w:eastAsia="lt-LT"/>
              </w:rPr>
              <w:t>tenkina</w:t>
            </w:r>
          </w:p>
          <w:p w:rsidR="002D5183" w:rsidRPr="006A428E" w:rsidRDefault="002D5183" w:rsidP="00AB7A35">
            <w:pPr>
              <w:rPr>
                <w:szCs w:val="24"/>
                <w:lang w:eastAsia="lt-LT"/>
              </w:rPr>
            </w:pPr>
            <w:r w:rsidRPr="006A428E">
              <w:rPr>
                <w:szCs w:val="24"/>
                <w:lang w:eastAsia="lt-LT"/>
              </w:rPr>
              <w:t>□ netenkina</w:t>
            </w:r>
          </w:p>
        </w:tc>
      </w:tr>
      <w:tr w:rsidR="00E008D6" w:rsidRPr="006A428E" w:rsidTr="00F4209C">
        <w:trPr>
          <w:trHeight w:val="1412"/>
        </w:trPr>
        <w:tc>
          <w:tcPr>
            <w:tcW w:w="696" w:type="dxa"/>
            <w:shd w:val="clear" w:color="auto" w:fill="auto"/>
          </w:tcPr>
          <w:p w:rsidR="002D5183" w:rsidRPr="006A428E" w:rsidRDefault="002D5183" w:rsidP="00AB7A35">
            <w:pPr>
              <w:jc w:val="center"/>
              <w:rPr>
                <w:szCs w:val="24"/>
                <w:lang w:eastAsia="lt-LT"/>
              </w:rPr>
            </w:pPr>
            <w:r w:rsidRPr="006A428E">
              <w:rPr>
                <w:szCs w:val="24"/>
                <w:lang w:eastAsia="lt-LT"/>
              </w:rPr>
              <w:t>4.</w:t>
            </w:r>
          </w:p>
        </w:tc>
        <w:tc>
          <w:tcPr>
            <w:tcW w:w="3301" w:type="dxa"/>
            <w:shd w:val="clear" w:color="auto" w:fill="auto"/>
          </w:tcPr>
          <w:p w:rsidR="002D5183" w:rsidRPr="006A428E" w:rsidRDefault="002D5183" w:rsidP="006A428E">
            <w:pPr>
              <w:rPr>
                <w:szCs w:val="24"/>
                <w:lang w:val="en-US" w:eastAsia="lt-LT"/>
              </w:rPr>
            </w:pPr>
            <w:r w:rsidRPr="006A428E">
              <w:rPr>
                <w:szCs w:val="24"/>
                <w:lang w:eastAsia="lt-LT"/>
              </w:rPr>
              <w:t>Teisės akto projekte nustatyti subjekto įgaliojimai (teisės) atitinka subjekto atliekamas funkcijas (pareigas)</w:t>
            </w:r>
          </w:p>
        </w:tc>
        <w:tc>
          <w:tcPr>
            <w:tcW w:w="4083" w:type="dxa"/>
            <w:shd w:val="clear" w:color="auto" w:fill="auto"/>
          </w:tcPr>
          <w:p w:rsidR="00243C45" w:rsidRPr="006A428E" w:rsidRDefault="008515B9" w:rsidP="006A428E">
            <w:pPr>
              <w:jc w:val="both"/>
            </w:pPr>
            <w:r w:rsidRPr="006A428E">
              <w:rPr>
                <w:szCs w:val="24"/>
              </w:rPr>
              <w:t xml:space="preserve">Projekte numatoma, kad </w:t>
            </w:r>
            <w:proofErr w:type="spellStart"/>
            <w:r w:rsidRPr="006A428E">
              <w:rPr>
                <w:lang w:val="en-US"/>
              </w:rPr>
              <w:t>p</w:t>
            </w:r>
            <w:r w:rsidRPr="006A428E">
              <w:rPr>
                <w:szCs w:val="24"/>
                <w:lang w:val="en-US"/>
              </w:rPr>
              <w:t>arko</w:t>
            </w:r>
            <w:proofErr w:type="spellEnd"/>
            <w:r w:rsidRPr="006A428E">
              <w:rPr>
                <w:szCs w:val="24"/>
                <w:lang w:val="en-US"/>
              </w:rPr>
              <w:t xml:space="preserve"> </w:t>
            </w:r>
            <w:proofErr w:type="spellStart"/>
            <w:r w:rsidRPr="006A428E">
              <w:rPr>
                <w:szCs w:val="24"/>
                <w:lang w:val="en-US"/>
              </w:rPr>
              <w:t>ir</w:t>
            </w:r>
            <w:proofErr w:type="spellEnd"/>
            <w:r w:rsidRPr="006A428E">
              <w:rPr>
                <w:szCs w:val="24"/>
                <w:lang w:val="en-US"/>
              </w:rPr>
              <w:t xml:space="preserve"> jo </w:t>
            </w:r>
            <w:proofErr w:type="spellStart"/>
            <w:r w:rsidRPr="006A428E">
              <w:rPr>
                <w:szCs w:val="24"/>
                <w:lang w:val="en-US"/>
              </w:rPr>
              <w:t>želdinių</w:t>
            </w:r>
            <w:proofErr w:type="spellEnd"/>
            <w:r w:rsidRPr="006A428E">
              <w:rPr>
                <w:szCs w:val="24"/>
                <w:lang w:val="en-US"/>
              </w:rPr>
              <w:t xml:space="preserve"> </w:t>
            </w:r>
            <w:proofErr w:type="spellStart"/>
            <w:r w:rsidRPr="006A428E">
              <w:rPr>
                <w:szCs w:val="24"/>
                <w:lang w:val="en-US"/>
              </w:rPr>
              <w:t>apsaugos</w:t>
            </w:r>
            <w:proofErr w:type="spellEnd"/>
            <w:r w:rsidRPr="006A428E">
              <w:rPr>
                <w:szCs w:val="24"/>
                <w:lang w:val="en-US"/>
              </w:rPr>
              <w:t xml:space="preserve"> </w:t>
            </w:r>
            <w:proofErr w:type="spellStart"/>
            <w:r w:rsidRPr="006A428E">
              <w:rPr>
                <w:szCs w:val="24"/>
                <w:lang w:val="en-US"/>
              </w:rPr>
              <w:t>valstybinę</w:t>
            </w:r>
            <w:proofErr w:type="spellEnd"/>
            <w:r w:rsidRPr="006A428E">
              <w:rPr>
                <w:szCs w:val="24"/>
                <w:lang w:val="en-US"/>
              </w:rPr>
              <w:t xml:space="preserve"> </w:t>
            </w:r>
            <w:proofErr w:type="spellStart"/>
            <w:r w:rsidRPr="006A428E">
              <w:rPr>
                <w:szCs w:val="24"/>
                <w:lang w:val="en-US"/>
              </w:rPr>
              <w:t>kontrolę</w:t>
            </w:r>
            <w:proofErr w:type="spellEnd"/>
            <w:r w:rsidRPr="006A428E">
              <w:rPr>
                <w:szCs w:val="24"/>
                <w:lang w:val="en-US"/>
              </w:rPr>
              <w:t xml:space="preserve"> </w:t>
            </w:r>
            <w:proofErr w:type="spellStart"/>
            <w:r w:rsidRPr="006A428E">
              <w:rPr>
                <w:szCs w:val="24"/>
                <w:lang w:val="en-US"/>
              </w:rPr>
              <w:t>vykdo</w:t>
            </w:r>
            <w:proofErr w:type="spellEnd"/>
            <w:r w:rsidRPr="006A428E">
              <w:rPr>
                <w:szCs w:val="24"/>
                <w:lang w:val="en-US"/>
              </w:rPr>
              <w:t xml:space="preserve"> </w:t>
            </w:r>
            <w:proofErr w:type="spellStart"/>
            <w:r w:rsidRPr="006A428E">
              <w:rPr>
                <w:szCs w:val="24"/>
                <w:lang w:val="en-US"/>
              </w:rPr>
              <w:t>Aplinkos</w:t>
            </w:r>
            <w:proofErr w:type="spellEnd"/>
            <w:r w:rsidRPr="006A428E">
              <w:rPr>
                <w:szCs w:val="24"/>
                <w:lang w:val="en-US"/>
              </w:rPr>
              <w:t xml:space="preserve"> </w:t>
            </w:r>
            <w:proofErr w:type="spellStart"/>
            <w:r w:rsidRPr="006A428E">
              <w:rPr>
                <w:szCs w:val="24"/>
                <w:lang w:val="en-US"/>
              </w:rPr>
              <w:t>ministerijos</w:t>
            </w:r>
            <w:proofErr w:type="spellEnd"/>
            <w:r w:rsidRPr="006A428E">
              <w:rPr>
                <w:szCs w:val="24"/>
                <w:lang w:val="en-US"/>
              </w:rPr>
              <w:t xml:space="preserve"> </w:t>
            </w:r>
            <w:proofErr w:type="spellStart"/>
            <w:r w:rsidRPr="006A428E">
              <w:rPr>
                <w:szCs w:val="24"/>
                <w:lang w:val="en-US"/>
              </w:rPr>
              <w:t>įgaliota</w:t>
            </w:r>
            <w:proofErr w:type="spellEnd"/>
            <w:r w:rsidRPr="006A428E">
              <w:rPr>
                <w:szCs w:val="24"/>
                <w:lang w:val="en-US"/>
              </w:rPr>
              <w:t xml:space="preserve"> </w:t>
            </w:r>
            <w:proofErr w:type="spellStart"/>
            <w:r w:rsidRPr="006A428E">
              <w:rPr>
                <w:szCs w:val="24"/>
                <w:lang w:val="en-US"/>
              </w:rPr>
              <w:t>institucija</w:t>
            </w:r>
            <w:proofErr w:type="spellEnd"/>
            <w:r w:rsidRPr="006A428E">
              <w:rPr>
                <w:szCs w:val="24"/>
                <w:lang w:val="en-US"/>
              </w:rPr>
              <w:t>.</w:t>
            </w:r>
          </w:p>
        </w:tc>
        <w:tc>
          <w:tcPr>
            <w:tcW w:w="3420" w:type="dxa"/>
            <w:shd w:val="clear" w:color="auto" w:fill="auto"/>
          </w:tcPr>
          <w:p w:rsidR="002D5183" w:rsidRPr="006A428E" w:rsidRDefault="002D5183" w:rsidP="00AB7A35">
            <w:pPr>
              <w:suppressAutoHyphens/>
              <w:ind w:left="-284" w:right="-3" w:firstLine="568"/>
              <w:jc w:val="both"/>
              <w:rPr>
                <w:szCs w:val="24"/>
                <w:lang w:eastAsia="lt-LT"/>
              </w:rPr>
            </w:pPr>
          </w:p>
        </w:tc>
        <w:tc>
          <w:tcPr>
            <w:tcW w:w="2611" w:type="dxa"/>
            <w:shd w:val="clear" w:color="auto" w:fill="auto"/>
          </w:tcPr>
          <w:p w:rsidR="002D5183" w:rsidRPr="006A428E" w:rsidRDefault="003A0FBA" w:rsidP="00AB7A35">
            <w:pPr>
              <w:rPr>
                <w:szCs w:val="24"/>
                <w:lang w:eastAsia="lt-LT"/>
              </w:rPr>
            </w:pPr>
            <w:r w:rsidRPr="006A428E">
              <w:rPr>
                <w:szCs w:val="24"/>
                <w:lang w:eastAsia="lt-LT"/>
              </w:rPr>
              <w:t>X</w:t>
            </w:r>
            <w:r w:rsidR="002D5183" w:rsidRPr="006A428E">
              <w:rPr>
                <w:szCs w:val="24"/>
                <w:lang w:eastAsia="lt-LT"/>
              </w:rPr>
              <w:t xml:space="preserve"> tenkina</w:t>
            </w:r>
          </w:p>
          <w:p w:rsidR="002D5183" w:rsidRPr="006A428E" w:rsidRDefault="002D5183" w:rsidP="00AB7A35">
            <w:pPr>
              <w:rPr>
                <w:szCs w:val="24"/>
                <w:lang w:eastAsia="lt-LT"/>
              </w:rPr>
            </w:pPr>
            <w:r w:rsidRPr="006A428E">
              <w:rPr>
                <w:szCs w:val="24"/>
                <w:lang w:eastAsia="lt-LT"/>
              </w:rPr>
              <w:t>□ netenkina</w:t>
            </w:r>
          </w:p>
        </w:tc>
      </w:tr>
      <w:tr w:rsidR="00E008D6" w:rsidRPr="006A428E" w:rsidTr="00BD3767">
        <w:trPr>
          <w:trHeight w:val="23"/>
        </w:trPr>
        <w:tc>
          <w:tcPr>
            <w:tcW w:w="696" w:type="dxa"/>
            <w:shd w:val="clear" w:color="auto" w:fill="auto"/>
          </w:tcPr>
          <w:p w:rsidR="005C56DE" w:rsidRPr="006A428E" w:rsidRDefault="005C56DE" w:rsidP="00AB7A35">
            <w:pPr>
              <w:jc w:val="center"/>
              <w:rPr>
                <w:szCs w:val="24"/>
                <w:lang w:eastAsia="lt-LT"/>
              </w:rPr>
            </w:pPr>
            <w:r w:rsidRPr="006A428E">
              <w:rPr>
                <w:szCs w:val="24"/>
                <w:lang w:eastAsia="lt-LT"/>
              </w:rPr>
              <w:t>5.</w:t>
            </w:r>
          </w:p>
        </w:tc>
        <w:tc>
          <w:tcPr>
            <w:tcW w:w="3301" w:type="dxa"/>
            <w:shd w:val="clear" w:color="auto" w:fill="auto"/>
          </w:tcPr>
          <w:p w:rsidR="005C56DE" w:rsidRPr="006A428E" w:rsidRDefault="005C56DE" w:rsidP="006A428E">
            <w:pPr>
              <w:rPr>
                <w:szCs w:val="24"/>
                <w:lang w:eastAsia="lt-LT"/>
              </w:rPr>
            </w:pPr>
            <w:r w:rsidRPr="006A428E">
              <w:rPr>
                <w:szCs w:val="24"/>
                <w:lang w:eastAsia="lt-LT"/>
              </w:rPr>
              <w:t>Teisės akto projekte nustatytas baigtinis sprendimo priėmimo kriterijų (atvejų) sąrašas</w:t>
            </w:r>
          </w:p>
        </w:tc>
        <w:tc>
          <w:tcPr>
            <w:tcW w:w="4083" w:type="dxa"/>
            <w:shd w:val="clear" w:color="auto" w:fill="auto"/>
          </w:tcPr>
          <w:p w:rsidR="008515B9" w:rsidRPr="006A428E" w:rsidRDefault="008515B9" w:rsidP="006A428E">
            <w:pPr>
              <w:pStyle w:val="Header"/>
              <w:jc w:val="both"/>
              <w:rPr>
                <w:szCs w:val="24"/>
              </w:rPr>
            </w:pPr>
            <w:r w:rsidRPr="006A428E">
              <w:rPr>
                <w:szCs w:val="24"/>
              </w:rPr>
              <w:t xml:space="preserve">Projektu tikslinamas </w:t>
            </w:r>
            <w:r w:rsidRPr="006A428E">
              <w:rPr>
                <w:szCs w:val="24"/>
                <w:lang w:eastAsia="lt-LT"/>
              </w:rPr>
              <w:t>Valstybinės reikšmės parkų nuostatų</w:t>
            </w:r>
            <w:r w:rsidRPr="006A428E">
              <w:rPr>
                <w:szCs w:val="24"/>
              </w:rPr>
              <w:t xml:space="preserve"> 3 punktas:</w:t>
            </w:r>
          </w:p>
          <w:p w:rsidR="008515B9" w:rsidRPr="006A428E" w:rsidRDefault="008515B9" w:rsidP="006A428E">
            <w:pPr>
              <w:pStyle w:val="Header"/>
              <w:jc w:val="both"/>
              <w:rPr>
                <w:szCs w:val="24"/>
                <w:lang w:val="en-US"/>
              </w:rPr>
            </w:pPr>
            <w:r w:rsidRPr="006A428E">
              <w:rPr>
                <w:szCs w:val="24"/>
              </w:rPr>
              <w:t>3. Valstybi</w:t>
            </w:r>
            <w:r w:rsidR="00B6471B">
              <w:rPr>
                <w:szCs w:val="24"/>
              </w:rPr>
              <w:t>nės reikšmės parkams (toliau – p</w:t>
            </w:r>
            <w:r w:rsidRPr="006A428E">
              <w:rPr>
                <w:szCs w:val="24"/>
              </w:rPr>
              <w:t>arkai) priskiriami ypatingą istorinę, architektūrinę, kultūrinę, mokslinę, estetinę, ekologinę ir dendrologinę</w:t>
            </w:r>
            <w:r w:rsidR="00B6471B">
              <w:rPr>
                <w:szCs w:val="24"/>
              </w:rPr>
              <w:t xml:space="preserve"> </w:t>
            </w:r>
            <w:r w:rsidR="00B6471B">
              <w:rPr>
                <w:color w:val="000000"/>
              </w:rPr>
              <w:t>ir (ar) kraštovaizdžio</w:t>
            </w:r>
            <w:r w:rsidRPr="006A428E">
              <w:rPr>
                <w:szCs w:val="24"/>
              </w:rPr>
              <w:t xml:space="preserve"> vertę turintys savivaldybės želdynų ir želdinių teritorijose esantys parkai, atitinkantys šiuos kriterijus:</w:t>
            </w:r>
          </w:p>
          <w:p w:rsidR="008515B9" w:rsidRPr="006A428E" w:rsidRDefault="008515B9" w:rsidP="006A428E">
            <w:pPr>
              <w:pStyle w:val="Header"/>
              <w:jc w:val="both"/>
              <w:rPr>
                <w:szCs w:val="24"/>
              </w:rPr>
            </w:pPr>
            <w:r w:rsidRPr="006A428E">
              <w:rPr>
                <w:szCs w:val="24"/>
              </w:rPr>
              <w:t xml:space="preserve">3.1. XVIII–XX a. įkurti arba rekonstruoti pagal Eduardo </w:t>
            </w:r>
            <w:proofErr w:type="spellStart"/>
            <w:r w:rsidRPr="006A428E">
              <w:rPr>
                <w:szCs w:val="24"/>
              </w:rPr>
              <w:t>Andrė</w:t>
            </w:r>
            <w:proofErr w:type="spellEnd"/>
            <w:r w:rsidRPr="006A428E">
              <w:rPr>
                <w:szCs w:val="24"/>
              </w:rPr>
              <w:t xml:space="preserve">, </w:t>
            </w:r>
            <w:r w:rsidRPr="006A428E">
              <w:rPr>
                <w:szCs w:val="24"/>
              </w:rPr>
              <w:lastRenderedPageBreak/>
              <w:t xml:space="preserve">Lauryno Stuokos-Gucevičiaus, Martyno </w:t>
            </w:r>
            <w:proofErr w:type="spellStart"/>
            <w:r w:rsidRPr="006A428E">
              <w:rPr>
                <w:szCs w:val="24"/>
              </w:rPr>
              <w:t>Knakfuso</w:t>
            </w:r>
            <w:proofErr w:type="spellEnd"/>
            <w:r w:rsidRPr="006A428E">
              <w:rPr>
                <w:szCs w:val="24"/>
              </w:rPr>
              <w:t xml:space="preserve">, </w:t>
            </w:r>
            <w:proofErr w:type="spellStart"/>
            <w:r w:rsidRPr="006A428E">
              <w:rPr>
                <w:szCs w:val="24"/>
              </w:rPr>
              <w:t>Georgo</w:t>
            </w:r>
            <w:proofErr w:type="spellEnd"/>
            <w:r w:rsidRPr="006A428E">
              <w:rPr>
                <w:szCs w:val="24"/>
              </w:rPr>
              <w:t xml:space="preserve"> Frydricho </w:t>
            </w:r>
            <w:proofErr w:type="spellStart"/>
            <w:r w:rsidRPr="006A428E">
              <w:rPr>
                <w:szCs w:val="24"/>
              </w:rPr>
              <w:t>Kufalto</w:t>
            </w:r>
            <w:proofErr w:type="spellEnd"/>
            <w:r w:rsidRPr="006A428E">
              <w:rPr>
                <w:szCs w:val="24"/>
              </w:rPr>
              <w:t xml:space="preserve">, Karolio </w:t>
            </w:r>
            <w:proofErr w:type="spellStart"/>
            <w:r w:rsidRPr="006A428E">
              <w:rPr>
                <w:szCs w:val="24"/>
              </w:rPr>
              <w:t>Podčašinskio</w:t>
            </w:r>
            <w:proofErr w:type="spellEnd"/>
            <w:r w:rsidRPr="006A428E">
              <w:rPr>
                <w:szCs w:val="24"/>
              </w:rPr>
              <w:t xml:space="preserve">, Alfredo Gaulios, Rūtos ir Alfonso Kiškių, Teklės </w:t>
            </w:r>
            <w:proofErr w:type="spellStart"/>
            <w:r w:rsidRPr="006A428E">
              <w:rPr>
                <w:szCs w:val="24"/>
              </w:rPr>
              <w:t>Šešelgienės</w:t>
            </w:r>
            <w:proofErr w:type="spellEnd"/>
            <w:r w:rsidRPr="006A428E">
              <w:rPr>
                <w:szCs w:val="24"/>
              </w:rPr>
              <w:t>, Antano Tauro, Leono Čibiro parengtus projektus;</w:t>
            </w:r>
          </w:p>
          <w:p w:rsidR="008515B9" w:rsidRPr="006A428E" w:rsidRDefault="008515B9" w:rsidP="006A428E">
            <w:pPr>
              <w:pStyle w:val="Header"/>
              <w:jc w:val="both"/>
              <w:rPr>
                <w:szCs w:val="24"/>
              </w:rPr>
            </w:pPr>
            <w:r w:rsidRPr="006A428E">
              <w:rPr>
                <w:szCs w:val="24"/>
              </w:rPr>
              <w:t xml:space="preserve">3.2. </w:t>
            </w:r>
            <w:r w:rsidR="00B6471B" w:rsidRPr="00671E9B">
              <w:rPr>
                <w:szCs w:val="24"/>
              </w:rPr>
              <w:t>turintys išliekamąją istorinę, stilistinę, meninę</w:t>
            </w:r>
            <w:r w:rsidR="00B6471B">
              <w:rPr>
                <w:szCs w:val="24"/>
              </w:rPr>
              <w:t xml:space="preserve"> vertę arba svarbūs urbanistinei raidai, susiję</w:t>
            </w:r>
            <w:r w:rsidR="00B6471B" w:rsidRPr="00671E9B">
              <w:rPr>
                <w:szCs w:val="24"/>
              </w:rPr>
              <w:t xml:space="preserve"> su visuomenės, kultūros ar valstybės įvykiais arba asmenybėmis ir juose yra ne mažiau kaip 20 medžių ir krūmų (tarp jų introdukuotų) rūšių, porūšių, atmainų ar formų</w:t>
            </w:r>
            <w:r w:rsidR="00B6471B">
              <w:rPr>
                <w:szCs w:val="24"/>
              </w:rPr>
              <w:t>;</w:t>
            </w:r>
          </w:p>
          <w:p w:rsidR="00F67B2D" w:rsidRPr="006A428E" w:rsidRDefault="008515B9" w:rsidP="00B6471B">
            <w:pPr>
              <w:pStyle w:val="Header"/>
              <w:jc w:val="both"/>
              <w:rPr>
                <w:szCs w:val="24"/>
              </w:rPr>
            </w:pPr>
            <w:r w:rsidRPr="006A428E">
              <w:rPr>
                <w:szCs w:val="24"/>
              </w:rPr>
              <w:t xml:space="preserve">3.3. </w:t>
            </w:r>
            <w:r w:rsidR="00B6471B" w:rsidRPr="00ED63C3">
              <w:rPr>
                <w:szCs w:val="24"/>
              </w:rPr>
              <w:t xml:space="preserve">želdiniai yra pagrindinis erdvinę struktūrą formuojantis elementas ir užima ne mažiau kaip 70 procentų </w:t>
            </w:r>
            <w:r w:rsidR="00B6471B">
              <w:rPr>
                <w:szCs w:val="24"/>
              </w:rPr>
              <w:t>parkų ploto ir</w:t>
            </w:r>
            <w:r w:rsidR="00B6471B" w:rsidRPr="00ED63C3">
              <w:rPr>
                <w:szCs w:val="24"/>
              </w:rPr>
              <w:t xml:space="preserve"> yra ne mažiau kaip 30 medžių ir krūmų (tarp jų introdukuotų) rūšių, porūšių, atmainų ar formų.</w:t>
            </w:r>
          </w:p>
        </w:tc>
        <w:tc>
          <w:tcPr>
            <w:tcW w:w="3420" w:type="dxa"/>
            <w:shd w:val="clear" w:color="auto" w:fill="auto"/>
          </w:tcPr>
          <w:p w:rsidR="005C56DE" w:rsidRPr="006A428E" w:rsidRDefault="005C56DE" w:rsidP="00AB7A35">
            <w:pPr>
              <w:rPr>
                <w:szCs w:val="24"/>
                <w:lang w:eastAsia="lt-LT"/>
              </w:rPr>
            </w:pPr>
          </w:p>
        </w:tc>
        <w:tc>
          <w:tcPr>
            <w:tcW w:w="2611" w:type="dxa"/>
            <w:shd w:val="clear" w:color="auto" w:fill="auto"/>
          </w:tcPr>
          <w:p w:rsidR="005C56DE" w:rsidRPr="006A428E" w:rsidRDefault="003A0FBA" w:rsidP="00AB7A35">
            <w:pPr>
              <w:rPr>
                <w:szCs w:val="24"/>
                <w:lang w:eastAsia="lt-LT"/>
              </w:rPr>
            </w:pPr>
            <w:r w:rsidRPr="006A428E">
              <w:rPr>
                <w:szCs w:val="24"/>
                <w:lang w:eastAsia="lt-LT"/>
              </w:rPr>
              <w:t>X</w:t>
            </w:r>
            <w:r w:rsidR="005C56DE" w:rsidRPr="006A428E">
              <w:rPr>
                <w:szCs w:val="24"/>
                <w:lang w:eastAsia="lt-LT"/>
              </w:rPr>
              <w:t xml:space="preserve"> tenkina</w:t>
            </w:r>
          </w:p>
          <w:p w:rsidR="005C56DE" w:rsidRPr="006A428E" w:rsidRDefault="005C56DE" w:rsidP="00AB7A35">
            <w:pPr>
              <w:rPr>
                <w:szCs w:val="24"/>
                <w:lang w:eastAsia="lt-LT"/>
              </w:rPr>
            </w:pPr>
            <w:r w:rsidRPr="006A428E">
              <w:rPr>
                <w:szCs w:val="24"/>
                <w:lang w:eastAsia="lt-LT"/>
              </w:rPr>
              <w:t>□ netenkina</w:t>
            </w:r>
          </w:p>
        </w:tc>
      </w:tr>
      <w:tr w:rsidR="00243C45" w:rsidRPr="006A428E" w:rsidTr="00BD3767">
        <w:trPr>
          <w:trHeight w:val="23"/>
        </w:trPr>
        <w:tc>
          <w:tcPr>
            <w:tcW w:w="696" w:type="dxa"/>
            <w:shd w:val="clear" w:color="auto" w:fill="auto"/>
          </w:tcPr>
          <w:p w:rsidR="00243C45" w:rsidRPr="006A428E" w:rsidRDefault="00243C45" w:rsidP="00AB7A35">
            <w:pPr>
              <w:jc w:val="center"/>
              <w:rPr>
                <w:szCs w:val="24"/>
                <w:lang w:eastAsia="lt-LT"/>
              </w:rPr>
            </w:pPr>
            <w:r w:rsidRPr="006A428E">
              <w:rPr>
                <w:szCs w:val="24"/>
                <w:lang w:eastAsia="lt-LT"/>
              </w:rPr>
              <w:lastRenderedPageBreak/>
              <w:t>6.</w:t>
            </w:r>
          </w:p>
        </w:tc>
        <w:tc>
          <w:tcPr>
            <w:tcW w:w="3301" w:type="dxa"/>
            <w:shd w:val="clear" w:color="auto" w:fill="auto"/>
          </w:tcPr>
          <w:p w:rsidR="00243C45" w:rsidRPr="006A428E" w:rsidRDefault="00243C45" w:rsidP="006A428E">
            <w:pPr>
              <w:rPr>
                <w:szCs w:val="24"/>
                <w:lang w:eastAsia="lt-LT"/>
              </w:rPr>
            </w:pPr>
            <w:r w:rsidRPr="006A428E">
              <w:rPr>
                <w:szCs w:val="24"/>
                <w:lang w:eastAsia="lt-LT"/>
              </w:rPr>
              <w:t>Teisės akto projekte nustatytas baigtinis sąrašas motyvuotų atvejų, kai priimant sprendimus taikomos išimtys</w:t>
            </w:r>
          </w:p>
        </w:tc>
        <w:tc>
          <w:tcPr>
            <w:tcW w:w="4083" w:type="dxa"/>
            <w:shd w:val="clear" w:color="auto" w:fill="auto"/>
          </w:tcPr>
          <w:p w:rsidR="00243C45" w:rsidRPr="006A428E" w:rsidRDefault="00A474F9" w:rsidP="006A428E">
            <w:pPr>
              <w:widowControl w:val="0"/>
              <w:jc w:val="both"/>
              <w:rPr>
                <w:color w:val="000000" w:themeColor="text1"/>
                <w:szCs w:val="24"/>
              </w:rPr>
            </w:pPr>
            <w:r w:rsidRPr="006A428E">
              <w:rPr>
                <w:color w:val="000000" w:themeColor="text1"/>
                <w:szCs w:val="24"/>
              </w:rPr>
              <w:t>Projekte išimčių taikymas nenumatytas.</w:t>
            </w:r>
          </w:p>
        </w:tc>
        <w:tc>
          <w:tcPr>
            <w:tcW w:w="3420" w:type="dxa"/>
            <w:shd w:val="clear" w:color="auto" w:fill="auto"/>
          </w:tcPr>
          <w:p w:rsidR="00243C45" w:rsidRPr="006A428E" w:rsidRDefault="00243C45" w:rsidP="00AB7A35">
            <w:pPr>
              <w:rPr>
                <w:szCs w:val="24"/>
                <w:lang w:eastAsia="lt-LT"/>
              </w:rPr>
            </w:pPr>
          </w:p>
        </w:tc>
        <w:tc>
          <w:tcPr>
            <w:tcW w:w="2611" w:type="dxa"/>
            <w:shd w:val="clear" w:color="auto" w:fill="auto"/>
          </w:tcPr>
          <w:p w:rsidR="00243C45" w:rsidRPr="006A428E" w:rsidRDefault="00A474F9" w:rsidP="00AB7A35">
            <w:pPr>
              <w:rPr>
                <w:szCs w:val="24"/>
                <w:lang w:eastAsia="lt-LT"/>
              </w:rPr>
            </w:pPr>
            <w:r w:rsidRPr="006A428E">
              <w:rPr>
                <w:szCs w:val="24"/>
                <w:lang w:eastAsia="lt-LT"/>
              </w:rPr>
              <w:t>□</w:t>
            </w:r>
            <w:r w:rsidR="00243C45" w:rsidRPr="006A428E">
              <w:rPr>
                <w:szCs w:val="24"/>
                <w:lang w:eastAsia="lt-LT"/>
              </w:rPr>
              <w:t xml:space="preserve"> tenkina</w:t>
            </w:r>
          </w:p>
          <w:p w:rsidR="00243C45" w:rsidRPr="006A428E" w:rsidRDefault="00243C45" w:rsidP="00AB7A35">
            <w:pPr>
              <w:rPr>
                <w:szCs w:val="24"/>
                <w:lang w:eastAsia="lt-LT"/>
              </w:rPr>
            </w:pPr>
            <w:r w:rsidRPr="006A428E">
              <w:rPr>
                <w:szCs w:val="24"/>
                <w:lang w:eastAsia="lt-LT"/>
              </w:rPr>
              <w:t>□ netenkina</w:t>
            </w:r>
          </w:p>
        </w:tc>
      </w:tr>
      <w:tr w:rsidR="00243C45" w:rsidRPr="006A428E" w:rsidTr="00BD3767">
        <w:trPr>
          <w:trHeight w:val="23"/>
        </w:trPr>
        <w:tc>
          <w:tcPr>
            <w:tcW w:w="696" w:type="dxa"/>
            <w:shd w:val="clear" w:color="auto" w:fill="auto"/>
          </w:tcPr>
          <w:p w:rsidR="00243C45" w:rsidRPr="006A428E" w:rsidRDefault="00243C45" w:rsidP="00AB7A35">
            <w:pPr>
              <w:jc w:val="center"/>
              <w:rPr>
                <w:szCs w:val="24"/>
                <w:lang w:eastAsia="lt-LT"/>
              </w:rPr>
            </w:pPr>
            <w:r w:rsidRPr="006A428E">
              <w:rPr>
                <w:szCs w:val="24"/>
                <w:lang w:eastAsia="lt-LT"/>
              </w:rPr>
              <w:t>7.</w:t>
            </w:r>
          </w:p>
        </w:tc>
        <w:tc>
          <w:tcPr>
            <w:tcW w:w="3301" w:type="dxa"/>
            <w:shd w:val="clear" w:color="auto" w:fill="auto"/>
          </w:tcPr>
          <w:p w:rsidR="00243C45" w:rsidRPr="006A428E" w:rsidRDefault="00243C45" w:rsidP="006A428E">
            <w:pPr>
              <w:rPr>
                <w:szCs w:val="24"/>
                <w:lang w:eastAsia="lt-LT"/>
              </w:rPr>
            </w:pPr>
            <w:r w:rsidRPr="006A428E">
              <w:rPr>
                <w:szCs w:val="24"/>
                <w:lang w:eastAsia="lt-LT"/>
              </w:rPr>
              <w:t>Teisės akto projekte nustatyta sprendimų priėmimo, įforminimo tvarka ir priimtų sprendimų viešinimas</w:t>
            </w:r>
          </w:p>
        </w:tc>
        <w:tc>
          <w:tcPr>
            <w:tcW w:w="4083" w:type="dxa"/>
            <w:shd w:val="clear" w:color="auto" w:fill="auto"/>
          </w:tcPr>
          <w:p w:rsidR="00243C45" w:rsidRPr="006A428E" w:rsidRDefault="006A428E" w:rsidP="006A428E">
            <w:pPr>
              <w:jc w:val="both"/>
            </w:pPr>
            <w:r w:rsidRPr="006A428E">
              <w:t>Nereglamentuota.</w:t>
            </w:r>
          </w:p>
        </w:tc>
        <w:tc>
          <w:tcPr>
            <w:tcW w:w="3420" w:type="dxa"/>
            <w:shd w:val="clear" w:color="auto" w:fill="auto"/>
          </w:tcPr>
          <w:p w:rsidR="00243C45" w:rsidRPr="006A428E" w:rsidRDefault="00243C45" w:rsidP="00AB7A35">
            <w:pPr>
              <w:rPr>
                <w:szCs w:val="24"/>
                <w:lang w:eastAsia="lt-LT"/>
              </w:rPr>
            </w:pPr>
          </w:p>
        </w:tc>
        <w:tc>
          <w:tcPr>
            <w:tcW w:w="2611" w:type="dxa"/>
            <w:shd w:val="clear" w:color="auto" w:fill="auto"/>
          </w:tcPr>
          <w:p w:rsidR="00243C45" w:rsidRPr="006A428E" w:rsidRDefault="006A428E" w:rsidP="00AB7A35">
            <w:pPr>
              <w:rPr>
                <w:szCs w:val="24"/>
                <w:lang w:eastAsia="lt-LT"/>
              </w:rPr>
            </w:pPr>
            <w:r w:rsidRPr="006A428E">
              <w:rPr>
                <w:szCs w:val="24"/>
                <w:lang w:eastAsia="lt-LT"/>
              </w:rPr>
              <w:t xml:space="preserve">□ </w:t>
            </w:r>
            <w:r w:rsidR="00243C45" w:rsidRPr="006A428E">
              <w:rPr>
                <w:szCs w:val="24"/>
                <w:lang w:eastAsia="lt-LT"/>
              </w:rPr>
              <w:t xml:space="preserve"> tenkina</w:t>
            </w:r>
          </w:p>
          <w:p w:rsidR="00243C45" w:rsidRPr="006A428E" w:rsidRDefault="00243C45" w:rsidP="00AB7A35">
            <w:pPr>
              <w:rPr>
                <w:szCs w:val="24"/>
                <w:lang w:eastAsia="lt-LT"/>
              </w:rPr>
            </w:pPr>
            <w:r w:rsidRPr="006A428E">
              <w:rPr>
                <w:szCs w:val="24"/>
                <w:lang w:eastAsia="lt-LT"/>
              </w:rPr>
              <w:t>□ netenkina</w:t>
            </w:r>
          </w:p>
        </w:tc>
      </w:tr>
      <w:tr w:rsidR="00243C45" w:rsidRPr="006A428E" w:rsidTr="00BD3767">
        <w:trPr>
          <w:trHeight w:val="23"/>
        </w:trPr>
        <w:tc>
          <w:tcPr>
            <w:tcW w:w="696" w:type="dxa"/>
            <w:shd w:val="clear" w:color="auto" w:fill="auto"/>
          </w:tcPr>
          <w:p w:rsidR="00243C45" w:rsidRPr="006A428E" w:rsidRDefault="00243C45" w:rsidP="00AB7A35">
            <w:pPr>
              <w:jc w:val="center"/>
              <w:rPr>
                <w:szCs w:val="24"/>
                <w:lang w:eastAsia="lt-LT"/>
              </w:rPr>
            </w:pPr>
            <w:r w:rsidRPr="006A428E">
              <w:rPr>
                <w:szCs w:val="24"/>
                <w:lang w:eastAsia="lt-LT"/>
              </w:rPr>
              <w:t>8.</w:t>
            </w:r>
          </w:p>
        </w:tc>
        <w:tc>
          <w:tcPr>
            <w:tcW w:w="3301" w:type="dxa"/>
            <w:shd w:val="clear" w:color="auto" w:fill="auto"/>
          </w:tcPr>
          <w:p w:rsidR="00243C45" w:rsidRPr="006A428E" w:rsidRDefault="00243C45" w:rsidP="006A428E">
            <w:pPr>
              <w:rPr>
                <w:szCs w:val="24"/>
                <w:lang w:eastAsia="lt-LT"/>
              </w:rPr>
            </w:pPr>
            <w:r w:rsidRPr="006A428E">
              <w:rPr>
                <w:szCs w:val="24"/>
                <w:lang w:eastAsia="lt-LT"/>
              </w:rPr>
              <w:t>Teisės akto projekte nustatyta sprendimų dėl mažareikšmiškumo priėmimo tvarka</w:t>
            </w:r>
          </w:p>
        </w:tc>
        <w:tc>
          <w:tcPr>
            <w:tcW w:w="4083" w:type="dxa"/>
            <w:shd w:val="clear" w:color="auto" w:fill="auto"/>
          </w:tcPr>
          <w:p w:rsidR="00243C45" w:rsidRPr="006A428E" w:rsidRDefault="00243C45" w:rsidP="006A428E">
            <w:pPr>
              <w:jc w:val="both"/>
              <w:rPr>
                <w:szCs w:val="24"/>
                <w:lang w:eastAsia="lt-LT"/>
              </w:rPr>
            </w:pPr>
            <w:r w:rsidRPr="006A428E">
              <w:rPr>
                <w:szCs w:val="24"/>
              </w:rPr>
              <w:t>Projekte sprendimų dėl mažareikšmiškumo priėmimo tvarka nereglamentuota.</w:t>
            </w:r>
          </w:p>
        </w:tc>
        <w:tc>
          <w:tcPr>
            <w:tcW w:w="3420" w:type="dxa"/>
            <w:shd w:val="clear" w:color="auto" w:fill="auto"/>
          </w:tcPr>
          <w:p w:rsidR="00243C45" w:rsidRPr="006A428E" w:rsidRDefault="00243C45" w:rsidP="00AB7A35">
            <w:pPr>
              <w:rPr>
                <w:b/>
                <w:szCs w:val="24"/>
                <w:lang w:eastAsia="lt-LT"/>
              </w:rPr>
            </w:pPr>
          </w:p>
        </w:tc>
        <w:tc>
          <w:tcPr>
            <w:tcW w:w="2611" w:type="dxa"/>
            <w:shd w:val="clear" w:color="auto" w:fill="auto"/>
          </w:tcPr>
          <w:p w:rsidR="00243C45" w:rsidRPr="006A428E" w:rsidRDefault="00243C45" w:rsidP="00AB7A35">
            <w:pPr>
              <w:rPr>
                <w:szCs w:val="24"/>
                <w:lang w:eastAsia="lt-LT"/>
              </w:rPr>
            </w:pPr>
            <w:r w:rsidRPr="006A428E">
              <w:rPr>
                <w:szCs w:val="24"/>
                <w:lang w:eastAsia="lt-LT"/>
              </w:rPr>
              <w:t>□ tenkina</w:t>
            </w:r>
          </w:p>
          <w:p w:rsidR="00243C45" w:rsidRPr="006A428E" w:rsidRDefault="00243C45" w:rsidP="00AB7A35">
            <w:pPr>
              <w:rPr>
                <w:szCs w:val="24"/>
                <w:lang w:eastAsia="lt-LT"/>
              </w:rPr>
            </w:pPr>
            <w:r w:rsidRPr="006A428E">
              <w:rPr>
                <w:szCs w:val="24"/>
                <w:lang w:eastAsia="lt-LT"/>
              </w:rPr>
              <w:t>□ netenkina</w:t>
            </w:r>
          </w:p>
        </w:tc>
      </w:tr>
      <w:tr w:rsidR="00243C45" w:rsidRPr="006A428E" w:rsidTr="00BD3767">
        <w:trPr>
          <w:trHeight w:val="23"/>
        </w:trPr>
        <w:tc>
          <w:tcPr>
            <w:tcW w:w="696" w:type="dxa"/>
            <w:shd w:val="clear" w:color="auto" w:fill="auto"/>
          </w:tcPr>
          <w:p w:rsidR="00243C45" w:rsidRPr="006A428E" w:rsidRDefault="00243C45" w:rsidP="00AB7A35">
            <w:pPr>
              <w:jc w:val="center"/>
              <w:rPr>
                <w:szCs w:val="24"/>
                <w:lang w:eastAsia="lt-LT"/>
              </w:rPr>
            </w:pPr>
            <w:r w:rsidRPr="006A428E">
              <w:rPr>
                <w:szCs w:val="24"/>
                <w:lang w:eastAsia="lt-LT"/>
              </w:rPr>
              <w:t>9.</w:t>
            </w:r>
          </w:p>
        </w:tc>
        <w:tc>
          <w:tcPr>
            <w:tcW w:w="3301" w:type="dxa"/>
            <w:shd w:val="clear" w:color="auto" w:fill="auto"/>
          </w:tcPr>
          <w:p w:rsidR="00243C45" w:rsidRPr="006A428E" w:rsidRDefault="00243C45" w:rsidP="00AB7A35">
            <w:pPr>
              <w:rPr>
                <w:szCs w:val="24"/>
                <w:lang w:eastAsia="lt-LT"/>
              </w:rPr>
            </w:pPr>
            <w:r w:rsidRPr="006A428E">
              <w:rPr>
                <w:szCs w:val="24"/>
                <w:lang w:eastAsia="lt-LT"/>
              </w:rPr>
              <w:t xml:space="preserve">Jeigu pagal numatomą reguliavimą sprendimus priima </w:t>
            </w:r>
            <w:r w:rsidRPr="006A428E">
              <w:rPr>
                <w:szCs w:val="24"/>
                <w:lang w:eastAsia="lt-LT"/>
              </w:rPr>
              <w:lastRenderedPageBreak/>
              <w:t>kolegialus subjektas, teisės akto projekte nustatyta kolegialaus sprendimus priimančio subjekto:</w:t>
            </w:r>
          </w:p>
          <w:p w:rsidR="00243C45" w:rsidRPr="006A428E" w:rsidRDefault="00243C45" w:rsidP="00AB7A35">
            <w:pPr>
              <w:ind w:left="33"/>
              <w:rPr>
                <w:szCs w:val="24"/>
              </w:rPr>
            </w:pPr>
            <w:r w:rsidRPr="006A428E">
              <w:rPr>
                <w:szCs w:val="24"/>
              </w:rPr>
              <w:t>9.1. konkretus narių skaičius, užtikrinantis kolegialaus sprendimus priimančio subjekto veiklos objektyvumą;</w:t>
            </w:r>
          </w:p>
          <w:p w:rsidR="00243C45" w:rsidRPr="006A428E" w:rsidRDefault="00243C45" w:rsidP="00AB7A35">
            <w:pPr>
              <w:ind w:left="33"/>
              <w:rPr>
                <w:szCs w:val="24"/>
              </w:rPr>
            </w:pPr>
            <w:r w:rsidRPr="006A428E">
              <w:rPr>
                <w:szCs w:val="24"/>
              </w:rPr>
              <w:t>9.2. jeigu narius skiria keli subjektai, proporcinga kiekvieno subjekto skiriamų narių dalis, užtikrinanti tinkamą atstovavimą valstybės interesams ir kolegialaus sprendimus priimančio subjekto veiklos objektyvumą ir skaidrumą;</w:t>
            </w:r>
          </w:p>
          <w:p w:rsidR="00243C45" w:rsidRPr="006A428E" w:rsidRDefault="00243C45" w:rsidP="00AB7A35">
            <w:pPr>
              <w:rPr>
                <w:szCs w:val="24"/>
                <w:lang w:eastAsia="lt-LT"/>
              </w:rPr>
            </w:pPr>
            <w:r w:rsidRPr="006A428E">
              <w:rPr>
                <w:szCs w:val="24"/>
                <w:lang w:eastAsia="lt-LT"/>
              </w:rPr>
              <w:t>9.3</w:t>
            </w:r>
            <w:r w:rsidRPr="006A428E">
              <w:rPr>
                <w:spacing w:val="-4"/>
                <w:szCs w:val="24"/>
                <w:lang w:eastAsia="lt-LT"/>
              </w:rPr>
              <w:t>. narių skyrimo mechanizmas;</w:t>
            </w:r>
          </w:p>
          <w:p w:rsidR="00243C45" w:rsidRPr="006A428E" w:rsidRDefault="00243C45" w:rsidP="00AB7A35">
            <w:pPr>
              <w:rPr>
                <w:szCs w:val="24"/>
                <w:lang w:eastAsia="lt-LT"/>
              </w:rPr>
            </w:pPr>
            <w:r w:rsidRPr="006A428E">
              <w:rPr>
                <w:szCs w:val="24"/>
                <w:lang w:eastAsia="lt-LT"/>
              </w:rPr>
              <w:t>9.4. narių rotacija ir kadencijų skaičius ir trukmė;</w:t>
            </w:r>
          </w:p>
          <w:p w:rsidR="00243C45" w:rsidRPr="006A428E" w:rsidRDefault="00243C45" w:rsidP="00AB7A35">
            <w:pPr>
              <w:rPr>
                <w:szCs w:val="24"/>
              </w:rPr>
            </w:pPr>
            <w:r w:rsidRPr="006A428E">
              <w:rPr>
                <w:szCs w:val="24"/>
              </w:rPr>
              <w:t>9.5. veiklos pobūdis laiko atžvilgiu;</w:t>
            </w:r>
          </w:p>
          <w:p w:rsidR="00243C45" w:rsidRPr="006A428E" w:rsidRDefault="00243C45" w:rsidP="00AB7A35">
            <w:pPr>
              <w:rPr>
                <w:szCs w:val="24"/>
                <w:lang w:eastAsia="lt-LT"/>
              </w:rPr>
            </w:pPr>
            <w:r w:rsidRPr="006A428E">
              <w:rPr>
                <w:szCs w:val="24"/>
                <w:lang w:eastAsia="lt-LT"/>
              </w:rPr>
              <w:t>9.6. individuali narių atsakomybė</w:t>
            </w:r>
          </w:p>
        </w:tc>
        <w:tc>
          <w:tcPr>
            <w:tcW w:w="4083" w:type="dxa"/>
            <w:shd w:val="clear" w:color="auto" w:fill="auto"/>
          </w:tcPr>
          <w:p w:rsidR="00243C45" w:rsidRPr="006A428E" w:rsidRDefault="00243C45" w:rsidP="00AB7A35">
            <w:pPr>
              <w:jc w:val="both"/>
              <w:rPr>
                <w:szCs w:val="24"/>
              </w:rPr>
            </w:pPr>
            <w:r w:rsidRPr="006A428E">
              <w:rPr>
                <w:szCs w:val="24"/>
              </w:rPr>
              <w:lastRenderedPageBreak/>
              <w:t xml:space="preserve">Projekte nenumatoma reglamentuoti, kad konkrečius sprendimus priima </w:t>
            </w:r>
            <w:r w:rsidRPr="006A428E">
              <w:rPr>
                <w:szCs w:val="24"/>
              </w:rPr>
              <w:lastRenderedPageBreak/>
              <w:t>kolegialus subjektas.</w:t>
            </w:r>
          </w:p>
          <w:p w:rsidR="00243C45" w:rsidRPr="006A428E" w:rsidRDefault="00243C45" w:rsidP="00AB7A35">
            <w:pPr>
              <w:jc w:val="both"/>
              <w:rPr>
                <w:szCs w:val="24"/>
                <w:lang w:eastAsia="lt-LT"/>
              </w:rPr>
            </w:pPr>
          </w:p>
        </w:tc>
        <w:tc>
          <w:tcPr>
            <w:tcW w:w="3420" w:type="dxa"/>
            <w:shd w:val="clear" w:color="auto" w:fill="auto"/>
          </w:tcPr>
          <w:p w:rsidR="00243C45" w:rsidRPr="006A428E" w:rsidRDefault="00243C45" w:rsidP="00AB7A35">
            <w:pPr>
              <w:rPr>
                <w:szCs w:val="24"/>
                <w:lang w:eastAsia="lt-LT"/>
              </w:rPr>
            </w:pPr>
          </w:p>
        </w:tc>
        <w:tc>
          <w:tcPr>
            <w:tcW w:w="2611" w:type="dxa"/>
            <w:shd w:val="clear" w:color="auto" w:fill="auto"/>
          </w:tcPr>
          <w:p w:rsidR="00243C45" w:rsidRPr="006A428E" w:rsidRDefault="00243C45" w:rsidP="00AB7A35">
            <w:pPr>
              <w:rPr>
                <w:szCs w:val="24"/>
                <w:lang w:eastAsia="lt-LT"/>
              </w:rPr>
            </w:pPr>
            <w:r w:rsidRPr="006A428E">
              <w:rPr>
                <w:szCs w:val="24"/>
                <w:lang w:eastAsia="lt-LT"/>
              </w:rPr>
              <w:t>□ tenkina</w:t>
            </w:r>
          </w:p>
          <w:p w:rsidR="00243C45" w:rsidRPr="006A428E" w:rsidRDefault="00243C45" w:rsidP="00AB7A35">
            <w:pPr>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lastRenderedPageBreak/>
              <w:t>10.</w:t>
            </w:r>
          </w:p>
        </w:tc>
        <w:tc>
          <w:tcPr>
            <w:tcW w:w="3301" w:type="dxa"/>
            <w:shd w:val="clear" w:color="auto" w:fill="auto"/>
          </w:tcPr>
          <w:p w:rsidR="00F4209C" w:rsidRPr="006A428E" w:rsidRDefault="00F4209C" w:rsidP="00AB7A35">
            <w:pPr>
              <w:rPr>
                <w:szCs w:val="24"/>
                <w:lang w:eastAsia="lt-LT"/>
              </w:rPr>
            </w:pPr>
            <w:r w:rsidRPr="006A428E">
              <w:rPr>
                <w:szCs w:val="24"/>
                <w:lang w:eastAsia="lt-LT"/>
              </w:rPr>
              <w:t xml:space="preserve">Teisės akto projekto nuostatoms įgyvendinti numatytos administracinės procedūros yra </w:t>
            </w:r>
            <w:r w:rsidRPr="006A428E">
              <w:rPr>
                <w:szCs w:val="24"/>
                <w:shd w:val="clear" w:color="auto" w:fill="FFFFFF"/>
                <w:lang w:eastAsia="lt-LT"/>
              </w:rPr>
              <w:t>būtinos,</w:t>
            </w:r>
            <w:r w:rsidRPr="006A428E">
              <w:rPr>
                <w:szCs w:val="24"/>
                <w:lang w:eastAsia="lt-LT"/>
              </w:rPr>
              <w:t xml:space="preserve"> nustatyta išsami jų taikymo tvarka </w:t>
            </w:r>
          </w:p>
        </w:tc>
        <w:tc>
          <w:tcPr>
            <w:tcW w:w="4083" w:type="dxa"/>
            <w:shd w:val="clear" w:color="auto" w:fill="auto"/>
          </w:tcPr>
          <w:p w:rsidR="00F4209C" w:rsidRPr="006A428E" w:rsidRDefault="006A428E" w:rsidP="00AB7A35">
            <w:pPr>
              <w:widowControl w:val="0"/>
              <w:jc w:val="both"/>
              <w:rPr>
                <w:color w:val="000000" w:themeColor="text1"/>
                <w:szCs w:val="24"/>
              </w:rPr>
            </w:pPr>
            <w:r w:rsidRPr="006A428E">
              <w:rPr>
                <w:bCs/>
                <w:szCs w:val="24"/>
              </w:rPr>
              <w:t>Nereglamentuota.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6A428E" w:rsidP="00AB7A35">
            <w:pPr>
              <w:rPr>
                <w:szCs w:val="24"/>
                <w:lang w:eastAsia="lt-LT"/>
              </w:rPr>
            </w:pPr>
            <w:r w:rsidRPr="006A428E">
              <w:rPr>
                <w:szCs w:val="24"/>
                <w:lang w:eastAsia="lt-LT"/>
              </w:rPr>
              <w:t>□</w:t>
            </w:r>
            <w:r w:rsidR="00F4209C" w:rsidRPr="006A428E">
              <w:rPr>
                <w:szCs w:val="24"/>
                <w:lang w:eastAsia="lt-LT"/>
              </w:rPr>
              <w:t xml:space="preserve">  tenkina</w:t>
            </w:r>
          </w:p>
          <w:p w:rsidR="00F4209C" w:rsidRPr="006A428E" w:rsidRDefault="006A428E" w:rsidP="00AB7A35">
            <w:pPr>
              <w:rPr>
                <w:szCs w:val="24"/>
                <w:lang w:eastAsia="lt-LT"/>
              </w:rPr>
            </w:pPr>
            <w:r w:rsidRPr="006A428E">
              <w:rPr>
                <w:szCs w:val="24"/>
                <w:lang w:eastAsia="lt-LT"/>
              </w:rPr>
              <w:t>□</w:t>
            </w:r>
            <w:r w:rsidR="00F4209C" w:rsidRPr="006A428E">
              <w:rPr>
                <w:szCs w:val="24"/>
                <w:lang w:eastAsia="lt-LT"/>
              </w:rPr>
              <w:t xml:space="preserve"> netenkina</w:t>
            </w:r>
          </w:p>
        </w:tc>
      </w:tr>
      <w:tr w:rsidR="00F4209C" w:rsidRPr="006A428E" w:rsidTr="00BD3767">
        <w:trPr>
          <w:trHeight w:val="23"/>
        </w:trPr>
        <w:tc>
          <w:tcPr>
            <w:tcW w:w="696" w:type="dxa"/>
            <w:shd w:val="clear" w:color="auto" w:fill="auto"/>
          </w:tcPr>
          <w:p w:rsidR="00F4209C" w:rsidRPr="006A428E" w:rsidRDefault="00F4209C" w:rsidP="00AB7A35">
            <w:pPr>
              <w:keepNext/>
              <w:jc w:val="center"/>
              <w:rPr>
                <w:szCs w:val="24"/>
                <w:lang w:eastAsia="lt-LT"/>
              </w:rPr>
            </w:pPr>
            <w:r w:rsidRPr="006A428E">
              <w:rPr>
                <w:szCs w:val="24"/>
                <w:lang w:eastAsia="lt-LT"/>
              </w:rPr>
              <w:lastRenderedPageBreak/>
              <w:t>11.</w:t>
            </w:r>
          </w:p>
        </w:tc>
        <w:tc>
          <w:tcPr>
            <w:tcW w:w="3301" w:type="dxa"/>
            <w:shd w:val="clear" w:color="auto" w:fill="auto"/>
          </w:tcPr>
          <w:p w:rsidR="00F4209C" w:rsidRPr="006A428E" w:rsidRDefault="00F4209C" w:rsidP="00AB7A35">
            <w:pPr>
              <w:keepNext/>
              <w:rPr>
                <w:szCs w:val="24"/>
                <w:lang w:eastAsia="lt-LT"/>
              </w:rPr>
            </w:pPr>
            <w:r w:rsidRPr="006A428E">
              <w:rPr>
                <w:szCs w:val="24"/>
                <w:lang w:eastAsia="lt-LT"/>
              </w:rPr>
              <w:t>Teisės akto projekte nustatytas baigtinis sąrašas motyvuotų atvejų, kai administracinė procedūra netaikoma</w:t>
            </w:r>
          </w:p>
        </w:tc>
        <w:tc>
          <w:tcPr>
            <w:tcW w:w="4083" w:type="dxa"/>
            <w:shd w:val="clear" w:color="auto" w:fill="auto"/>
          </w:tcPr>
          <w:p w:rsidR="00F4209C" w:rsidRPr="006A428E" w:rsidRDefault="00AB7A35" w:rsidP="00AB7A35">
            <w:pPr>
              <w:widowControl w:val="0"/>
              <w:jc w:val="both"/>
              <w:rPr>
                <w:color w:val="000000" w:themeColor="text1"/>
                <w:szCs w:val="24"/>
              </w:rPr>
            </w:pPr>
            <w:r w:rsidRPr="006A428E">
              <w:rPr>
                <w:bCs/>
                <w:szCs w:val="24"/>
              </w:rPr>
              <w:t>Nereglamentuota.</w:t>
            </w:r>
          </w:p>
        </w:tc>
        <w:tc>
          <w:tcPr>
            <w:tcW w:w="3420" w:type="dxa"/>
            <w:shd w:val="clear" w:color="auto" w:fill="auto"/>
          </w:tcPr>
          <w:p w:rsidR="00F4209C" w:rsidRPr="006A428E" w:rsidRDefault="00F4209C" w:rsidP="00AB7A35">
            <w:pPr>
              <w:keepNext/>
              <w:rPr>
                <w:szCs w:val="24"/>
                <w:lang w:eastAsia="lt-LT"/>
              </w:rPr>
            </w:pPr>
          </w:p>
        </w:tc>
        <w:tc>
          <w:tcPr>
            <w:tcW w:w="2611" w:type="dxa"/>
            <w:shd w:val="clear" w:color="auto" w:fill="auto"/>
          </w:tcPr>
          <w:p w:rsidR="00F4209C" w:rsidRPr="006A428E" w:rsidRDefault="00AB7A35" w:rsidP="00AB7A35">
            <w:pPr>
              <w:keepNext/>
              <w:rPr>
                <w:szCs w:val="24"/>
                <w:lang w:eastAsia="lt-LT"/>
              </w:rPr>
            </w:pPr>
            <w:r w:rsidRPr="006A428E">
              <w:rPr>
                <w:szCs w:val="24"/>
                <w:lang w:eastAsia="lt-LT"/>
              </w:rPr>
              <w:t>□</w:t>
            </w:r>
            <w:r w:rsidR="00F4209C" w:rsidRPr="006A428E">
              <w:rPr>
                <w:szCs w:val="24"/>
                <w:lang w:eastAsia="lt-LT"/>
              </w:rPr>
              <w:t xml:space="preserve"> tenkina</w:t>
            </w:r>
          </w:p>
          <w:p w:rsidR="00F4209C" w:rsidRPr="006A428E" w:rsidRDefault="00F4209C" w:rsidP="00AB7A35">
            <w:pPr>
              <w:keepNext/>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t>12.</w:t>
            </w:r>
          </w:p>
        </w:tc>
        <w:tc>
          <w:tcPr>
            <w:tcW w:w="3301" w:type="dxa"/>
            <w:shd w:val="clear" w:color="auto" w:fill="auto"/>
          </w:tcPr>
          <w:p w:rsidR="00F4209C" w:rsidRPr="006A428E" w:rsidRDefault="00F4209C" w:rsidP="00AB7A35">
            <w:pPr>
              <w:rPr>
                <w:szCs w:val="24"/>
                <w:lang w:eastAsia="lt-LT"/>
              </w:rPr>
            </w:pPr>
            <w:r w:rsidRPr="006A428E">
              <w:rPr>
                <w:szCs w:val="24"/>
                <w:lang w:eastAsia="lt-LT"/>
              </w:rPr>
              <w:t>Teisės akto projektas nustato jo nuostatoms įgyvendinti numatytų administracinių procedūrų ir sprendimo priėmimo konkrečius terminus</w:t>
            </w:r>
          </w:p>
        </w:tc>
        <w:tc>
          <w:tcPr>
            <w:tcW w:w="4083" w:type="dxa"/>
            <w:shd w:val="clear" w:color="auto" w:fill="auto"/>
          </w:tcPr>
          <w:p w:rsidR="00F4209C" w:rsidRPr="006A428E" w:rsidRDefault="006A428E" w:rsidP="00AB7A35">
            <w:pPr>
              <w:jc w:val="both"/>
            </w:pPr>
            <w:r w:rsidRPr="006A428E">
              <w:rPr>
                <w:bCs/>
                <w:szCs w:val="24"/>
              </w:rPr>
              <w:t>Nereglamentuota.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B6471B" w:rsidP="00AB7A35">
            <w:pPr>
              <w:rPr>
                <w:szCs w:val="24"/>
                <w:lang w:eastAsia="lt-LT"/>
              </w:rPr>
            </w:pPr>
            <w:r>
              <w:rPr>
                <w:szCs w:val="24"/>
                <w:lang w:eastAsia="lt-LT"/>
              </w:rPr>
              <w:t>□</w:t>
            </w:r>
            <w:bookmarkStart w:id="0" w:name="_GoBack"/>
            <w:bookmarkEnd w:id="0"/>
            <w:r w:rsidR="00F4209C" w:rsidRPr="006A428E">
              <w:rPr>
                <w:szCs w:val="24"/>
                <w:lang w:eastAsia="lt-LT"/>
              </w:rPr>
              <w:t xml:space="preserve"> tenkina</w:t>
            </w:r>
          </w:p>
          <w:p w:rsidR="00F4209C" w:rsidRPr="006A428E" w:rsidRDefault="00F4209C" w:rsidP="00AB7A35">
            <w:pPr>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t>13.</w:t>
            </w:r>
          </w:p>
        </w:tc>
        <w:tc>
          <w:tcPr>
            <w:tcW w:w="3301" w:type="dxa"/>
            <w:shd w:val="clear" w:color="auto" w:fill="auto"/>
          </w:tcPr>
          <w:p w:rsidR="00F4209C" w:rsidRPr="006A428E" w:rsidRDefault="00F4209C" w:rsidP="00AB7A35">
            <w:pPr>
              <w:rPr>
                <w:szCs w:val="24"/>
                <w:lang w:eastAsia="lt-LT"/>
              </w:rPr>
            </w:pPr>
            <w:r w:rsidRPr="006A428E">
              <w:rPr>
                <w:szCs w:val="24"/>
                <w:lang w:eastAsia="lt-LT"/>
              </w:rPr>
              <w:t>Teisės akto projektas nustato motyvuotas terminų sustabdymo ir pratęsimo galimybes</w:t>
            </w:r>
          </w:p>
        </w:tc>
        <w:tc>
          <w:tcPr>
            <w:tcW w:w="4083" w:type="dxa"/>
            <w:shd w:val="clear" w:color="auto" w:fill="auto"/>
          </w:tcPr>
          <w:p w:rsidR="00F4209C" w:rsidRPr="006A428E" w:rsidRDefault="00F4209C" w:rsidP="00AB7A35">
            <w:pPr>
              <w:jc w:val="both"/>
              <w:rPr>
                <w:color w:val="000000"/>
                <w:szCs w:val="24"/>
              </w:rPr>
            </w:pPr>
            <w:r w:rsidRPr="006A428E">
              <w:rPr>
                <w:bCs/>
                <w:szCs w:val="24"/>
              </w:rPr>
              <w:t>Nereglamentuota.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F4209C" w:rsidP="00AB7A35">
            <w:pPr>
              <w:rPr>
                <w:szCs w:val="24"/>
                <w:lang w:eastAsia="lt-LT"/>
              </w:rPr>
            </w:pPr>
            <w:r w:rsidRPr="006A428E">
              <w:rPr>
                <w:szCs w:val="24"/>
                <w:lang w:eastAsia="lt-LT"/>
              </w:rPr>
              <w:t>□  tenkina</w:t>
            </w:r>
          </w:p>
          <w:p w:rsidR="00F4209C" w:rsidRPr="006A428E" w:rsidRDefault="00F4209C" w:rsidP="00AB7A35">
            <w:pPr>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t>14.</w:t>
            </w:r>
          </w:p>
        </w:tc>
        <w:tc>
          <w:tcPr>
            <w:tcW w:w="3301" w:type="dxa"/>
            <w:shd w:val="clear" w:color="auto" w:fill="auto"/>
          </w:tcPr>
          <w:p w:rsidR="00F4209C" w:rsidRPr="006A428E" w:rsidRDefault="00F4209C" w:rsidP="00AB7A35">
            <w:pPr>
              <w:rPr>
                <w:szCs w:val="24"/>
                <w:lang w:eastAsia="lt-LT"/>
              </w:rPr>
            </w:pPr>
            <w:r w:rsidRPr="006A428E">
              <w:rPr>
                <w:szCs w:val="24"/>
                <w:lang w:eastAsia="lt-LT"/>
              </w:rPr>
              <w:t>Teisės akto projektas nustato administracinių procedūrų viešinimo tvarką</w:t>
            </w:r>
          </w:p>
        </w:tc>
        <w:tc>
          <w:tcPr>
            <w:tcW w:w="4083" w:type="dxa"/>
            <w:shd w:val="clear" w:color="auto" w:fill="auto"/>
          </w:tcPr>
          <w:p w:rsidR="00F4209C" w:rsidRPr="006A428E" w:rsidRDefault="00F4209C" w:rsidP="00AB7A35">
            <w:pPr>
              <w:jc w:val="both"/>
              <w:rPr>
                <w:color w:val="000000"/>
                <w:szCs w:val="24"/>
                <w:lang w:eastAsia="lt-LT"/>
              </w:rPr>
            </w:pPr>
            <w:r w:rsidRPr="006A428E">
              <w:rPr>
                <w:color w:val="000000" w:themeColor="text1"/>
                <w:szCs w:val="24"/>
              </w:rPr>
              <w:t>Viešinimo tvarka nenustatoma.</w:t>
            </w:r>
          </w:p>
        </w:tc>
        <w:tc>
          <w:tcPr>
            <w:tcW w:w="3420" w:type="dxa"/>
            <w:shd w:val="clear" w:color="auto" w:fill="auto"/>
          </w:tcPr>
          <w:p w:rsidR="00F4209C" w:rsidRPr="006A428E" w:rsidRDefault="00F4209C" w:rsidP="00AB7A35">
            <w:pPr>
              <w:rPr>
                <w:b/>
                <w:szCs w:val="24"/>
                <w:lang w:eastAsia="lt-LT"/>
              </w:rPr>
            </w:pPr>
          </w:p>
        </w:tc>
        <w:tc>
          <w:tcPr>
            <w:tcW w:w="2611" w:type="dxa"/>
            <w:shd w:val="clear" w:color="auto" w:fill="auto"/>
          </w:tcPr>
          <w:p w:rsidR="00F4209C" w:rsidRPr="006A428E" w:rsidRDefault="00F4209C" w:rsidP="00AB7A35">
            <w:pPr>
              <w:rPr>
                <w:szCs w:val="24"/>
                <w:lang w:eastAsia="lt-LT"/>
              </w:rPr>
            </w:pPr>
            <w:r w:rsidRPr="006A428E">
              <w:rPr>
                <w:szCs w:val="24"/>
                <w:lang w:eastAsia="lt-LT"/>
              </w:rPr>
              <w:t>□ tenkina</w:t>
            </w:r>
          </w:p>
          <w:p w:rsidR="00F4209C" w:rsidRPr="006A428E" w:rsidRDefault="00F4209C" w:rsidP="00AB7A35">
            <w:pPr>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t>15.</w:t>
            </w:r>
          </w:p>
        </w:tc>
        <w:tc>
          <w:tcPr>
            <w:tcW w:w="3301" w:type="dxa"/>
            <w:shd w:val="clear" w:color="auto" w:fill="auto"/>
          </w:tcPr>
          <w:p w:rsidR="00F4209C" w:rsidRPr="006A428E" w:rsidRDefault="00F4209C" w:rsidP="00AB7A35">
            <w:pPr>
              <w:rPr>
                <w:szCs w:val="24"/>
                <w:lang w:eastAsia="lt-LT"/>
              </w:rPr>
            </w:pPr>
            <w:r w:rsidRPr="006A428E">
              <w:rPr>
                <w:szCs w:val="24"/>
                <w:lang w:eastAsia="lt-LT"/>
              </w:rPr>
              <w:t>Teisės akto projektas nustato kontrolės (priežiūros) procedūrą ir aiškius jos atlikimo kriterijus (atvejus, dažnį, fiksavimą, kontrolės rezultatų viešinimą ir panašiai)</w:t>
            </w:r>
          </w:p>
        </w:tc>
        <w:tc>
          <w:tcPr>
            <w:tcW w:w="4083" w:type="dxa"/>
            <w:shd w:val="clear" w:color="auto" w:fill="auto"/>
          </w:tcPr>
          <w:p w:rsidR="00F4209C" w:rsidRPr="006A428E" w:rsidRDefault="00AB7A35" w:rsidP="00AB7A35">
            <w:pPr>
              <w:suppressAutoHyphens/>
              <w:jc w:val="both"/>
              <w:rPr>
                <w:color w:val="000000" w:themeColor="text1"/>
                <w:szCs w:val="24"/>
                <w:lang w:eastAsia="lt-LT"/>
              </w:rPr>
            </w:pPr>
            <w:r w:rsidRPr="006A428E">
              <w:rPr>
                <w:szCs w:val="24"/>
                <w:lang w:eastAsia="lt-LT"/>
              </w:rPr>
              <w:t>Nereglamentuota.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AB7A35" w:rsidP="00AB7A35">
            <w:pPr>
              <w:rPr>
                <w:szCs w:val="24"/>
                <w:lang w:eastAsia="lt-LT"/>
              </w:rPr>
            </w:pPr>
            <w:r w:rsidRPr="006A428E">
              <w:rPr>
                <w:szCs w:val="24"/>
                <w:lang w:eastAsia="lt-LT"/>
              </w:rPr>
              <w:t xml:space="preserve">□ </w:t>
            </w:r>
            <w:r w:rsidR="00F4209C" w:rsidRPr="006A428E">
              <w:rPr>
                <w:szCs w:val="24"/>
                <w:lang w:eastAsia="lt-LT"/>
              </w:rPr>
              <w:t>tenkina</w:t>
            </w:r>
          </w:p>
          <w:p w:rsidR="00F4209C" w:rsidRPr="006A428E" w:rsidRDefault="00F4209C" w:rsidP="00AB7A35">
            <w:pPr>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t>16.</w:t>
            </w:r>
          </w:p>
        </w:tc>
        <w:tc>
          <w:tcPr>
            <w:tcW w:w="3301" w:type="dxa"/>
            <w:shd w:val="clear" w:color="auto" w:fill="auto"/>
          </w:tcPr>
          <w:p w:rsidR="00F4209C" w:rsidRPr="006A428E" w:rsidRDefault="00F4209C" w:rsidP="00AB7A35">
            <w:pPr>
              <w:rPr>
                <w:szCs w:val="24"/>
                <w:lang w:eastAsia="lt-LT"/>
              </w:rPr>
            </w:pPr>
            <w:r w:rsidRPr="006A428E">
              <w:rPr>
                <w:szCs w:val="24"/>
                <w:lang w:eastAsia="lt-LT"/>
              </w:rPr>
              <w:t>Teisės akto projekte nustatytos kontrolės (priežiūros) skaidrumo ir objektyvumo užtikrinimo priemonės</w:t>
            </w:r>
          </w:p>
        </w:tc>
        <w:tc>
          <w:tcPr>
            <w:tcW w:w="4083" w:type="dxa"/>
            <w:shd w:val="clear" w:color="auto" w:fill="auto"/>
          </w:tcPr>
          <w:p w:rsidR="00F4209C" w:rsidRPr="006A428E" w:rsidRDefault="00AB7A35" w:rsidP="00AB7A35">
            <w:pPr>
              <w:suppressAutoHyphens/>
              <w:jc w:val="both"/>
              <w:rPr>
                <w:color w:val="000000" w:themeColor="text1"/>
                <w:szCs w:val="24"/>
                <w:lang w:eastAsia="lt-LT"/>
              </w:rPr>
            </w:pPr>
            <w:r w:rsidRPr="006A428E">
              <w:rPr>
                <w:szCs w:val="24"/>
                <w:lang w:eastAsia="lt-LT"/>
              </w:rPr>
              <w:t>Nereglamentuota.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AB7A35" w:rsidP="00AB7A35">
            <w:pPr>
              <w:rPr>
                <w:szCs w:val="24"/>
                <w:lang w:eastAsia="lt-LT"/>
              </w:rPr>
            </w:pPr>
            <w:r w:rsidRPr="006A428E">
              <w:rPr>
                <w:szCs w:val="24"/>
                <w:lang w:eastAsia="lt-LT"/>
              </w:rPr>
              <w:t>□</w:t>
            </w:r>
            <w:r w:rsidR="00F4209C" w:rsidRPr="006A428E">
              <w:rPr>
                <w:szCs w:val="24"/>
                <w:lang w:eastAsia="lt-LT"/>
              </w:rPr>
              <w:t xml:space="preserve"> tenkina</w:t>
            </w:r>
          </w:p>
          <w:p w:rsidR="00F4209C" w:rsidRPr="006A428E" w:rsidRDefault="00F4209C" w:rsidP="00AB7A35">
            <w:pPr>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keepNext/>
              <w:jc w:val="center"/>
              <w:rPr>
                <w:szCs w:val="24"/>
                <w:lang w:eastAsia="lt-LT"/>
              </w:rPr>
            </w:pPr>
            <w:r w:rsidRPr="006A428E">
              <w:rPr>
                <w:szCs w:val="24"/>
                <w:lang w:eastAsia="lt-LT"/>
              </w:rPr>
              <w:t>17.</w:t>
            </w:r>
          </w:p>
        </w:tc>
        <w:tc>
          <w:tcPr>
            <w:tcW w:w="3301" w:type="dxa"/>
            <w:shd w:val="clear" w:color="auto" w:fill="auto"/>
          </w:tcPr>
          <w:p w:rsidR="00F4209C" w:rsidRPr="006A428E" w:rsidRDefault="00F4209C" w:rsidP="00AB7A35">
            <w:pPr>
              <w:keepNext/>
              <w:rPr>
                <w:szCs w:val="24"/>
                <w:lang w:eastAsia="lt-LT"/>
              </w:rPr>
            </w:pPr>
            <w:r w:rsidRPr="006A428E">
              <w:rPr>
                <w:szCs w:val="24"/>
                <w:lang w:eastAsia="lt-LT"/>
              </w:rPr>
              <w:t>Teisės akto projekte nustatyta subjektų, su kuriais susijęs teisės akto projekto nuostatų įgyvendinimas, atsakomybės rūšis (tarnybinė, administracinė, baudžiamoji ir panašiai)</w:t>
            </w:r>
          </w:p>
        </w:tc>
        <w:tc>
          <w:tcPr>
            <w:tcW w:w="4083" w:type="dxa"/>
            <w:shd w:val="clear" w:color="auto" w:fill="auto"/>
          </w:tcPr>
          <w:p w:rsidR="00F4209C" w:rsidRPr="006A428E" w:rsidRDefault="00F4209C" w:rsidP="00AB7A35">
            <w:pPr>
              <w:jc w:val="both"/>
              <w:rPr>
                <w:szCs w:val="24"/>
                <w:lang w:eastAsia="lt-LT"/>
              </w:rPr>
            </w:pPr>
            <w:r w:rsidRPr="006A428E">
              <w:rPr>
                <w:szCs w:val="24"/>
                <w:lang w:eastAsia="lt-LT"/>
              </w:rPr>
              <w:t>Nereglamentuota.</w:t>
            </w:r>
          </w:p>
        </w:tc>
        <w:tc>
          <w:tcPr>
            <w:tcW w:w="3420" w:type="dxa"/>
            <w:shd w:val="clear" w:color="auto" w:fill="auto"/>
          </w:tcPr>
          <w:p w:rsidR="00F4209C" w:rsidRPr="006A428E" w:rsidRDefault="00F4209C" w:rsidP="00AB7A35">
            <w:pPr>
              <w:keepNext/>
              <w:rPr>
                <w:b/>
                <w:szCs w:val="24"/>
                <w:lang w:eastAsia="lt-LT"/>
              </w:rPr>
            </w:pPr>
          </w:p>
        </w:tc>
        <w:tc>
          <w:tcPr>
            <w:tcW w:w="2611" w:type="dxa"/>
            <w:shd w:val="clear" w:color="auto" w:fill="auto"/>
          </w:tcPr>
          <w:p w:rsidR="00F4209C" w:rsidRPr="006A428E" w:rsidRDefault="00F4209C" w:rsidP="00AB7A35">
            <w:pPr>
              <w:keepNext/>
              <w:rPr>
                <w:szCs w:val="24"/>
                <w:lang w:eastAsia="lt-LT"/>
              </w:rPr>
            </w:pPr>
            <w:r w:rsidRPr="006A428E">
              <w:rPr>
                <w:szCs w:val="24"/>
                <w:lang w:eastAsia="lt-LT"/>
              </w:rPr>
              <w:t>□ tenkina</w:t>
            </w:r>
          </w:p>
          <w:p w:rsidR="00F4209C" w:rsidRPr="006A428E" w:rsidRDefault="00F4209C" w:rsidP="00AB7A35">
            <w:pPr>
              <w:keepNext/>
              <w:rPr>
                <w:szCs w:val="24"/>
                <w:lang w:eastAsia="lt-LT"/>
              </w:rPr>
            </w:pPr>
            <w:r w:rsidRPr="006A428E">
              <w:rPr>
                <w:szCs w:val="24"/>
                <w:lang w:eastAsia="lt-LT"/>
              </w:rPr>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t>18.</w:t>
            </w:r>
          </w:p>
        </w:tc>
        <w:tc>
          <w:tcPr>
            <w:tcW w:w="3301" w:type="dxa"/>
            <w:shd w:val="clear" w:color="auto" w:fill="auto"/>
          </w:tcPr>
          <w:p w:rsidR="00F4209C" w:rsidRPr="006A428E" w:rsidRDefault="00F4209C" w:rsidP="00AB7A35">
            <w:pPr>
              <w:rPr>
                <w:szCs w:val="24"/>
                <w:lang w:eastAsia="lt-LT"/>
              </w:rPr>
            </w:pPr>
            <w:r w:rsidRPr="006A428E">
              <w:rPr>
                <w:szCs w:val="24"/>
                <w:lang w:eastAsia="lt-LT"/>
              </w:rPr>
              <w:t xml:space="preserve">Teisės aktų projekte numatytas </w:t>
            </w:r>
            <w:r w:rsidRPr="006A428E">
              <w:rPr>
                <w:szCs w:val="24"/>
                <w:lang w:eastAsia="lt-LT"/>
              </w:rPr>
              <w:lastRenderedPageBreak/>
              <w:t>baigtinis sąrašas kriterijų, pagal kuriuos skiriama nuobauda (sankcija) už teisės akto projekte nustatytų nurodymų nevykdymą, ir nustatyta aiški jos skyrimo procedūra</w:t>
            </w:r>
          </w:p>
        </w:tc>
        <w:tc>
          <w:tcPr>
            <w:tcW w:w="4083" w:type="dxa"/>
            <w:shd w:val="clear" w:color="auto" w:fill="auto"/>
          </w:tcPr>
          <w:p w:rsidR="00F4209C" w:rsidRPr="006A428E" w:rsidRDefault="00F4209C" w:rsidP="00AB7A35">
            <w:pPr>
              <w:keepNext/>
              <w:jc w:val="both"/>
              <w:rPr>
                <w:szCs w:val="24"/>
                <w:lang w:eastAsia="lt-LT"/>
              </w:rPr>
            </w:pPr>
            <w:r w:rsidRPr="006A428E">
              <w:rPr>
                <w:szCs w:val="24"/>
                <w:lang w:eastAsia="lt-LT"/>
              </w:rPr>
              <w:lastRenderedPageBreak/>
              <w:t>Projekte tokių nuostatų nėra.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F4209C" w:rsidP="00AB7A35">
            <w:pPr>
              <w:rPr>
                <w:szCs w:val="24"/>
                <w:lang w:eastAsia="lt-LT"/>
              </w:rPr>
            </w:pPr>
            <w:r w:rsidRPr="006A428E">
              <w:rPr>
                <w:szCs w:val="24"/>
                <w:lang w:eastAsia="lt-LT"/>
              </w:rPr>
              <w:t>□ tenkina</w:t>
            </w:r>
          </w:p>
          <w:p w:rsidR="00F4209C" w:rsidRPr="006A428E" w:rsidRDefault="00F4209C" w:rsidP="00AB7A35">
            <w:pPr>
              <w:rPr>
                <w:szCs w:val="24"/>
                <w:lang w:eastAsia="lt-LT"/>
              </w:rPr>
            </w:pPr>
            <w:r w:rsidRPr="006A428E">
              <w:rPr>
                <w:szCs w:val="24"/>
                <w:lang w:eastAsia="lt-LT"/>
              </w:rPr>
              <w:lastRenderedPageBreak/>
              <w:t>□  netenkina</w:t>
            </w:r>
          </w:p>
        </w:tc>
      </w:tr>
      <w:tr w:rsidR="00F4209C" w:rsidRPr="006A428E" w:rsidTr="00BD3767">
        <w:trPr>
          <w:trHeight w:val="23"/>
        </w:trPr>
        <w:tc>
          <w:tcPr>
            <w:tcW w:w="696" w:type="dxa"/>
            <w:shd w:val="clear" w:color="auto" w:fill="auto"/>
          </w:tcPr>
          <w:p w:rsidR="00F4209C" w:rsidRPr="006A428E" w:rsidRDefault="00F4209C" w:rsidP="00AB7A35">
            <w:pPr>
              <w:jc w:val="center"/>
              <w:rPr>
                <w:szCs w:val="24"/>
                <w:lang w:eastAsia="lt-LT"/>
              </w:rPr>
            </w:pPr>
            <w:r w:rsidRPr="006A428E">
              <w:rPr>
                <w:szCs w:val="24"/>
                <w:lang w:eastAsia="lt-LT"/>
              </w:rPr>
              <w:lastRenderedPageBreak/>
              <w:t>19.</w:t>
            </w:r>
          </w:p>
        </w:tc>
        <w:tc>
          <w:tcPr>
            <w:tcW w:w="3301" w:type="dxa"/>
            <w:shd w:val="clear" w:color="auto" w:fill="auto"/>
          </w:tcPr>
          <w:p w:rsidR="00F4209C" w:rsidRPr="006A428E" w:rsidRDefault="00F4209C" w:rsidP="00AB7A35">
            <w:pPr>
              <w:rPr>
                <w:szCs w:val="24"/>
                <w:lang w:eastAsia="lt-LT"/>
              </w:rPr>
            </w:pPr>
            <w:r w:rsidRPr="006A428E">
              <w:rPr>
                <w:szCs w:val="24"/>
                <w:lang w:eastAsia="lt-LT"/>
              </w:rPr>
              <w:t>Kiti svarbūs kriterijai</w:t>
            </w:r>
          </w:p>
        </w:tc>
        <w:tc>
          <w:tcPr>
            <w:tcW w:w="4083" w:type="dxa"/>
            <w:shd w:val="clear" w:color="auto" w:fill="auto"/>
          </w:tcPr>
          <w:p w:rsidR="00F4209C" w:rsidRPr="006A428E" w:rsidRDefault="00F4209C" w:rsidP="00AB7A35">
            <w:pPr>
              <w:rPr>
                <w:szCs w:val="24"/>
                <w:lang w:eastAsia="lt-LT"/>
              </w:rPr>
            </w:pPr>
            <w:r w:rsidRPr="006A428E">
              <w:rPr>
                <w:szCs w:val="24"/>
                <w:lang w:eastAsia="lt-LT"/>
              </w:rPr>
              <w:t>Nėra.</w:t>
            </w:r>
          </w:p>
        </w:tc>
        <w:tc>
          <w:tcPr>
            <w:tcW w:w="3420" w:type="dxa"/>
            <w:shd w:val="clear" w:color="auto" w:fill="auto"/>
          </w:tcPr>
          <w:p w:rsidR="00F4209C" w:rsidRPr="006A428E" w:rsidRDefault="00F4209C" w:rsidP="00AB7A35">
            <w:pPr>
              <w:rPr>
                <w:szCs w:val="24"/>
                <w:lang w:eastAsia="lt-LT"/>
              </w:rPr>
            </w:pPr>
          </w:p>
        </w:tc>
        <w:tc>
          <w:tcPr>
            <w:tcW w:w="2611" w:type="dxa"/>
            <w:shd w:val="clear" w:color="auto" w:fill="auto"/>
          </w:tcPr>
          <w:p w:rsidR="00F4209C" w:rsidRPr="006A428E" w:rsidRDefault="00F4209C" w:rsidP="00AB7A35">
            <w:pPr>
              <w:rPr>
                <w:szCs w:val="24"/>
                <w:lang w:eastAsia="lt-LT"/>
              </w:rPr>
            </w:pPr>
            <w:r w:rsidRPr="006A428E">
              <w:rPr>
                <w:szCs w:val="24"/>
                <w:lang w:eastAsia="lt-LT"/>
              </w:rPr>
              <w:t>□ tenkina</w:t>
            </w:r>
          </w:p>
          <w:p w:rsidR="00F4209C" w:rsidRPr="006A428E" w:rsidRDefault="00F4209C" w:rsidP="00AB7A35">
            <w:pPr>
              <w:rPr>
                <w:szCs w:val="24"/>
                <w:lang w:eastAsia="lt-LT"/>
              </w:rPr>
            </w:pPr>
            <w:r w:rsidRPr="006A428E">
              <w:rPr>
                <w:szCs w:val="24"/>
                <w:lang w:eastAsia="lt-LT"/>
              </w:rPr>
              <w:t>□ netenkina</w:t>
            </w:r>
          </w:p>
        </w:tc>
      </w:tr>
    </w:tbl>
    <w:p w:rsidR="002D5183" w:rsidRPr="006A428E" w:rsidRDefault="002D5183" w:rsidP="00AB7A35">
      <w:pPr>
        <w:tabs>
          <w:tab w:val="left" w:pos="6237"/>
        </w:tabs>
        <w:rPr>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E008D6" w:rsidRPr="006A428E" w:rsidTr="002C22BF">
        <w:trPr>
          <w:trHeight w:val="23"/>
        </w:trPr>
        <w:tc>
          <w:tcPr>
            <w:tcW w:w="7164" w:type="dxa"/>
            <w:gridSpan w:val="2"/>
            <w:shd w:val="clear" w:color="auto" w:fill="auto"/>
          </w:tcPr>
          <w:p w:rsidR="002C22BF" w:rsidRPr="006A428E" w:rsidRDefault="002C22BF" w:rsidP="00AB7A35">
            <w:pPr>
              <w:rPr>
                <w:szCs w:val="24"/>
                <w:lang w:eastAsia="lt-LT"/>
              </w:rPr>
            </w:pPr>
            <w:r w:rsidRPr="006A428E">
              <w:rPr>
                <w:szCs w:val="24"/>
                <w:lang w:eastAsia="lt-LT"/>
              </w:rPr>
              <w:t>Teisės akto projekto tiesioginis rengėjas:</w:t>
            </w:r>
          </w:p>
        </w:tc>
        <w:tc>
          <w:tcPr>
            <w:tcW w:w="7118" w:type="dxa"/>
            <w:gridSpan w:val="2"/>
            <w:shd w:val="clear" w:color="auto" w:fill="auto"/>
          </w:tcPr>
          <w:p w:rsidR="002C22BF" w:rsidRPr="006A428E" w:rsidRDefault="002C22BF" w:rsidP="00AB7A35">
            <w:pPr>
              <w:rPr>
                <w:szCs w:val="24"/>
                <w:lang w:eastAsia="lt-LT"/>
              </w:rPr>
            </w:pPr>
            <w:r w:rsidRPr="006A428E">
              <w:rPr>
                <w:szCs w:val="24"/>
                <w:lang w:eastAsia="lt-LT"/>
              </w:rPr>
              <w:t>Teisės akto projekto vertintojas:</w:t>
            </w:r>
          </w:p>
        </w:tc>
      </w:tr>
      <w:tr w:rsidR="00E008D6" w:rsidRPr="006A428E" w:rsidTr="00715DA8">
        <w:trPr>
          <w:trHeight w:val="23"/>
        </w:trPr>
        <w:tc>
          <w:tcPr>
            <w:tcW w:w="5103" w:type="dxa"/>
            <w:tcBorders>
              <w:bottom w:val="single" w:sz="4" w:space="0" w:color="auto"/>
            </w:tcBorders>
            <w:shd w:val="clear" w:color="auto" w:fill="auto"/>
            <w:vAlign w:val="bottom"/>
          </w:tcPr>
          <w:p w:rsidR="002C22BF" w:rsidRPr="006A428E" w:rsidRDefault="002C22BF" w:rsidP="00AB7A35">
            <w:pPr>
              <w:rPr>
                <w:szCs w:val="24"/>
                <w:lang w:eastAsia="lt-LT"/>
              </w:rPr>
            </w:pPr>
            <w:r w:rsidRPr="006A428E">
              <w:rPr>
                <w:szCs w:val="24"/>
                <w:lang w:eastAsia="lt-LT"/>
              </w:rPr>
              <w:t xml:space="preserve">Aplinkos ministerijos </w:t>
            </w:r>
            <w:r w:rsidR="00246CC1" w:rsidRPr="006A428E">
              <w:rPr>
                <w:szCs w:val="24"/>
              </w:rPr>
              <w:t>Gamtos apsaugos politikos grupės vyriausi</w:t>
            </w:r>
            <w:r w:rsidR="00AB7A35" w:rsidRPr="006A428E">
              <w:rPr>
                <w:szCs w:val="24"/>
              </w:rPr>
              <w:t>oji specialistė</w:t>
            </w:r>
            <w:r w:rsidR="00246CC1" w:rsidRPr="006A428E">
              <w:rPr>
                <w:szCs w:val="24"/>
              </w:rPr>
              <w:t xml:space="preserve"> </w:t>
            </w:r>
          </w:p>
        </w:tc>
        <w:tc>
          <w:tcPr>
            <w:tcW w:w="2061" w:type="dxa"/>
            <w:tcBorders>
              <w:bottom w:val="single" w:sz="4" w:space="0" w:color="auto"/>
            </w:tcBorders>
            <w:shd w:val="clear" w:color="auto" w:fill="auto"/>
            <w:vAlign w:val="bottom"/>
          </w:tcPr>
          <w:p w:rsidR="002C22BF" w:rsidRPr="006A428E" w:rsidRDefault="003D0DBA" w:rsidP="00AB7A35">
            <w:pPr>
              <w:rPr>
                <w:szCs w:val="24"/>
                <w:lang w:eastAsia="lt-LT"/>
              </w:rPr>
            </w:pPr>
            <w:r w:rsidRPr="006A428E">
              <w:rPr>
                <w:szCs w:val="24"/>
              </w:rPr>
              <w:t xml:space="preserve">Justina </w:t>
            </w:r>
            <w:proofErr w:type="spellStart"/>
            <w:r w:rsidRPr="006A428E">
              <w:rPr>
                <w:szCs w:val="24"/>
              </w:rPr>
              <w:t>Čunderova</w:t>
            </w:r>
            <w:proofErr w:type="spellEnd"/>
          </w:p>
        </w:tc>
        <w:tc>
          <w:tcPr>
            <w:tcW w:w="5027" w:type="dxa"/>
            <w:tcBorders>
              <w:bottom w:val="single" w:sz="4" w:space="0" w:color="auto"/>
            </w:tcBorders>
            <w:shd w:val="clear" w:color="auto" w:fill="auto"/>
            <w:vAlign w:val="bottom"/>
          </w:tcPr>
          <w:p w:rsidR="002C22BF" w:rsidRPr="006A428E" w:rsidRDefault="00EA7850" w:rsidP="00AB7A35">
            <w:pPr>
              <w:rPr>
                <w:szCs w:val="24"/>
                <w:lang w:eastAsia="lt-LT"/>
              </w:rPr>
            </w:pPr>
            <w:r w:rsidRPr="006A428E">
              <w:rPr>
                <w:szCs w:val="24"/>
                <w:lang w:eastAsia="lt-LT"/>
              </w:rPr>
              <w:t xml:space="preserve">Aplinkos ministerijos </w:t>
            </w:r>
            <w:r w:rsidR="00EA740F" w:rsidRPr="006A428E">
              <w:rPr>
                <w:szCs w:val="24"/>
                <w:lang w:eastAsia="lt-LT"/>
              </w:rPr>
              <w:t>Korupcijos prevencijos ir vidaus tyrimų</w:t>
            </w:r>
            <w:r w:rsidRPr="006A428E">
              <w:rPr>
                <w:szCs w:val="24"/>
                <w:lang w:eastAsia="lt-LT"/>
              </w:rPr>
              <w:t xml:space="preserve"> skyriaus vyriausioji specialistė</w:t>
            </w:r>
          </w:p>
        </w:tc>
        <w:tc>
          <w:tcPr>
            <w:tcW w:w="2091" w:type="dxa"/>
            <w:tcBorders>
              <w:bottom w:val="single" w:sz="4" w:space="0" w:color="auto"/>
            </w:tcBorders>
            <w:shd w:val="clear" w:color="auto" w:fill="auto"/>
            <w:vAlign w:val="bottom"/>
          </w:tcPr>
          <w:p w:rsidR="002C22BF" w:rsidRPr="006A428E" w:rsidRDefault="00EA740F" w:rsidP="00AB7A35">
            <w:pPr>
              <w:rPr>
                <w:szCs w:val="24"/>
                <w:lang w:eastAsia="lt-LT"/>
              </w:rPr>
            </w:pPr>
            <w:r w:rsidRPr="006A428E">
              <w:rPr>
                <w:szCs w:val="24"/>
                <w:lang w:eastAsia="lt-LT"/>
              </w:rPr>
              <w:t xml:space="preserve">Rita </w:t>
            </w:r>
            <w:proofErr w:type="spellStart"/>
            <w:r w:rsidRPr="006A428E">
              <w:rPr>
                <w:szCs w:val="24"/>
                <w:lang w:eastAsia="lt-LT"/>
              </w:rPr>
              <w:t>Rusak</w:t>
            </w:r>
            <w:proofErr w:type="spellEnd"/>
          </w:p>
        </w:tc>
      </w:tr>
      <w:tr w:rsidR="00E008D6" w:rsidRPr="006A428E" w:rsidTr="00715DA8">
        <w:trPr>
          <w:trHeight w:val="23"/>
        </w:trPr>
        <w:tc>
          <w:tcPr>
            <w:tcW w:w="5103" w:type="dxa"/>
            <w:tcBorders>
              <w:top w:val="single" w:sz="4" w:space="0" w:color="auto"/>
            </w:tcBorders>
            <w:shd w:val="clear" w:color="auto" w:fill="auto"/>
            <w:vAlign w:val="bottom"/>
          </w:tcPr>
          <w:p w:rsidR="002C22BF" w:rsidRPr="006A428E" w:rsidRDefault="002C22BF" w:rsidP="00AB7A35">
            <w:pPr>
              <w:rPr>
                <w:szCs w:val="24"/>
                <w:lang w:eastAsia="lt-LT"/>
              </w:rPr>
            </w:pPr>
            <w:r w:rsidRPr="006A428E">
              <w:rPr>
                <w:szCs w:val="24"/>
                <w:lang w:eastAsia="lt-LT"/>
              </w:rPr>
              <w:t>(pareigos)</w:t>
            </w:r>
          </w:p>
        </w:tc>
        <w:tc>
          <w:tcPr>
            <w:tcW w:w="2061" w:type="dxa"/>
            <w:tcBorders>
              <w:top w:val="single" w:sz="4" w:space="0" w:color="auto"/>
            </w:tcBorders>
            <w:shd w:val="clear" w:color="auto" w:fill="auto"/>
            <w:vAlign w:val="bottom"/>
          </w:tcPr>
          <w:p w:rsidR="002C22BF" w:rsidRPr="006A428E" w:rsidRDefault="002C22BF" w:rsidP="00AB7A35">
            <w:pPr>
              <w:rPr>
                <w:szCs w:val="24"/>
                <w:lang w:eastAsia="lt-LT"/>
              </w:rPr>
            </w:pPr>
            <w:r w:rsidRPr="006A428E">
              <w:rPr>
                <w:szCs w:val="24"/>
                <w:lang w:eastAsia="lt-LT"/>
              </w:rPr>
              <w:t>(vardas ir pavardė)</w:t>
            </w:r>
          </w:p>
        </w:tc>
        <w:tc>
          <w:tcPr>
            <w:tcW w:w="5027" w:type="dxa"/>
            <w:tcBorders>
              <w:top w:val="single" w:sz="4" w:space="0" w:color="auto"/>
            </w:tcBorders>
            <w:shd w:val="clear" w:color="auto" w:fill="auto"/>
            <w:vAlign w:val="bottom"/>
          </w:tcPr>
          <w:p w:rsidR="002C22BF" w:rsidRPr="006A428E" w:rsidRDefault="002C22BF" w:rsidP="00AB7A35">
            <w:pPr>
              <w:rPr>
                <w:szCs w:val="24"/>
                <w:lang w:eastAsia="lt-LT"/>
              </w:rPr>
            </w:pPr>
            <w:r w:rsidRPr="006A428E">
              <w:rPr>
                <w:szCs w:val="24"/>
                <w:lang w:eastAsia="lt-LT"/>
              </w:rPr>
              <w:t>(pareigos)</w:t>
            </w:r>
          </w:p>
        </w:tc>
        <w:tc>
          <w:tcPr>
            <w:tcW w:w="2091" w:type="dxa"/>
            <w:tcBorders>
              <w:top w:val="single" w:sz="4" w:space="0" w:color="auto"/>
            </w:tcBorders>
            <w:shd w:val="clear" w:color="auto" w:fill="auto"/>
            <w:vAlign w:val="bottom"/>
          </w:tcPr>
          <w:p w:rsidR="002C22BF" w:rsidRPr="006A428E" w:rsidRDefault="002C22BF" w:rsidP="00AB7A35">
            <w:pPr>
              <w:rPr>
                <w:szCs w:val="24"/>
                <w:lang w:eastAsia="lt-LT"/>
              </w:rPr>
            </w:pPr>
            <w:r w:rsidRPr="006A428E">
              <w:rPr>
                <w:szCs w:val="24"/>
                <w:lang w:eastAsia="lt-LT"/>
              </w:rPr>
              <w:t>(vardas ir pavardė)</w:t>
            </w:r>
          </w:p>
        </w:tc>
      </w:tr>
      <w:tr w:rsidR="00E008D6" w:rsidRPr="006A428E" w:rsidTr="00715DA8">
        <w:trPr>
          <w:trHeight w:val="617"/>
        </w:trPr>
        <w:tc>
          <w:tcPr>
            <w:tcW w:w="5103" w:type="dxa"/>
            <w:tcBorders>
              <w:bottom w:val="single" w:sz="4" w:space="0" w:color="auto"/>
            </w:tcBorders>
            <w:shd w:val="clear" w:color="auto" w:fill="auto"/>
            <w:vAlign w:val="bottom"/>
          </w:tcPr>
          <w:p w:rsidR="002C22BF" w:rsidRPr="006A428E" w:rsidRDefault="002C22BF" w:rsidP="00AB7A35">
            <w:pPr>
              <w:rPr>
                <w:szCs w:val="24"/>
                <w:lang w:eastAsia="lt-LT"/>
              </w:rPr>
            </w:pPr>
          </w:p>
        </w:tc>
        <w:tc>
          <w:tcPr>
            <w:tcW w:w="2061" w:type="dxa"/>
            <w:tcBorders>
              <w:bottom w:val="single" w:sz="4" w:space="0" w:color="auto"/>
            </w:tcBorders>
            <w:shd w:val="clear" w:color="auto" w:fill="auto"/>
            <w:vAlign w:val="bottom"/>
          </w:tcPr>
          <w:p w:rsidR="002C22BF" w:rsidRPr="006A428E" w:rsidRDefault="002C22BF" w:rsidP="00AB7A35">
            <w:pPr>
              <w:rPr>
                <w:szCs w:val="24"/>
                <w:lang w:eastAsia="lt-LT"/>
              </w:rPr>
            </w:pPr>
          </w:p>
        </w:tc>
        <w:tc>
          <w:tcPr>
            <w:tcW w:w="5027" w:type="dxa"/>
            <w:tcBorders>
              <w:bottom w:val="single" w:sz="4" w:space="0" w:color="auto"/>
            </w:tcBorders>
            <w:shd w:val="clear" w:color="auto" w:fill="auto"/>
            <w:vAlign w:val="bottom"/>
          </w:tcPr>
          <w:p w:rsidR="002C22BF" w:rsidRPr="006A428E" w:rsidRDefault="002C22BF" w:rsidP="00AB7A35">
            <w:pPr>
              <w:rPr>
                <w:szCs w:val="24"/>
                <w:lang w:eastAsia="lt-LT"/>
              </w:rPr>
            </w:pPr>
          </w:p>
        </w:tc>
        <w:tc>
          <w:tcPr>
            <w:tcW w:w="2091" w:type="dxa"/>
            <w:tcBorders>
              <w:bottom w:val="single" w:sz="4" w:space="0" w:color="auto"/>
            </w:tcBorders>
            <w:shd w:val="clear" w:color="auto" w:fill="auto"/>
            <w:vAlign w:val="bottom"/>
          </w:tcPr>
          <w:p w:rsidR="002C22BF" w:rsidRPr="006A428E" w:rsidRDefault="002C22BF" w:rsidP="00AB7A35">
            <w:pPr>
              <w:rPr>
                <w:szCs w:val="24"/>
                <w:lang w:eastAsia="lt-LT"/>
              </w:rPr>
            </w:pPr>
          </w:p>
        </w:tc>
      </w:tr>
      <w:tr w:rsidR="002C22BF" w:rsidRPr="006A428E" w:rsidTr="00715DA8">
        <w:trPr>
          <w:trHeight w:val="23"/>
        </w:trPr>
        <w:tc>
          <w:tcPr>
            <w:tcW w:w="5103" w:type="dxa"/>
            <w:tcBorders>
              <w:top w:val="single" w:sz="4" w:space="0" w:color="auto"/>
            </w:tcBorders>
            <w:shd w:val="clear" w:color="auto" w:fill="auto"/>
            <w:vAlign w:val="bottom"/>
          </w:tcPr>
          <w:p w:rsidR="002C22BF" w:rsidRPr="006A428E" w:rsidRDefault="002C22BF" w:rsidP="00AB7A35">
            <w:pPr>
              <w:jc w:val="center"/>
              <w:rPr>
                <w:szCs w:val="24"/>
                <w:lang w:eastAsia="lt-LT"/>
              </w:rPr>
            </w:pPr>
            <w:r w:rsidRPr="006A428E">
              <w:rPr>
                <w:szCs w:val="24"/>
                <w:lang w:eastAsia="lt-LT"/>
              </w:rPr>
              <w:t>(parašas)</w:t>
            </w:r>
          </w:p>
        </w:tc>
        <w:tc>
          <w:tcPr>
            <w:tcW w:w="2061" w:type="dxa"/>
            <w:tcBorders>
              <w:top w:val="single" w:sz="4" w:space="0" w:color="auto"/>
            </w:tcBorders>
            <w:shd w:val="clear" w:color="auto" w:fill="auto"/>
            <w:vAlign w:val="bottom"/>
          </w:tcPr>
          <w:p w:rsidR="002C22BF" w:rsidRPr="006A428E" w:rsidRDefault="002C22BF" w:rsidP="00AB7A35">
            <w:pPr>
              <w:jc w:val="center"/>
              <w:rPr>
                <w:szCs w:val="24"/>
                <w:lang w:eastAsia="lt-LT"/>
              </w:rPr>
            </w:pPr>
            <w:r w:rsidRPr="006A428E">
              <w:rPr>
                <w:szCs w:val="24"/>
                <w:lang w:eastAsia="lt-LT"/>
              </w:rPr>
              <w:t>(data)</w:t>
            </w:r>
          </w:p>
        </w:tc>
        <w:tc>
          <w:tcPr>
            <w:tcW w:w="5027" w:type="dxa"/>
            <w:tcBorders>
              <w:top w:val="single" w:sz="4" w:space="0" w:color="auto"/>
            </w:tcBorders>
            <w:shd w:val="clear" w:color="auto" w:fill="auto"/>
            <w:vAlign w:val="bottom"/>
          </w:tcPr>
          <w:p w:rsidR="002C22BF" w:rsidRPr="006A428E" w:rsidRDefault="002C22BF" w:rsidP="00AB7A35">
            <w:pPr>
              <w:jc w:val="center"/>
              <w:rPr>
                <w:szCs w:val="24"/>
                <w:lang w:eastAsia="lt-LT"/>
              </w:rPr>
            </w:pPr>
            <w:r w:rsidRPr="006A428E">
              <w:rPr>
                <w:szCs w:val="24"/>
                <w:lang w:eastAsia="lt-LT"/>
              </w:rPr>
              <w:t>(parašas)</w:t>
            </w:r>
          </w:p>
        </w:tc>
        <w:tc>
          <w:tcPr>
            <w:tcW w:w="2091" w:type="dxa"/>
            <w:tcBorders>
              <w:top w:val="single" w:sz="4" w:space="0" w:color="auto"/>
            </w:tcBorders>
            <w:shd w:val="clear" w:color="auto" w:fill="auto"/>
            <w:vAlign w:val="bottom"/>
          </w:tcPr>
          <w:p w:rsidR="002C22BF" w:rsidRPr="006A428E" w:rsidRDefault="002C22BF" w:rsidP="00AB7A35">
            <w:pPr>
              <w:jc w:val="center"/>
              <w:rPr>
                <w:szCs w:val="24"/>
                <w:lang w:eastAsia="lt-LT"/>
              </w:rPr>
            </w:pPr>
            <w:r w:rsidRPr="006A428E">
              <w:rPr>
                <w:szCs w:val="24"/>
                <w:lang w:eastAsia="lt-LT"/>
              </w:rPr>
              <w:t>(data)</w:t>
            </w:r>
          </w:p>
        </w:tc>
      </w:tr>
    </w:tbl>
    <w:p w:rsidR="00F532B6" w:rsidRPr="006A428E" w:rsidRDefault="00F532B6" w:rsidP="00AB7A35">
      <w:pPr>
        <w:rPr>
          <w:szCs w:val="24"/>
        </w:rPr>
      </w:pPr>
    </w:p>
    <w:sectPr w:rsidR="00F532B6" w:rsidRPr="006A428E" w:rsidSect="00BD3767">
      <w:headerReference w:type="default" r:id="rId9"/>
      <w:pgSz w:w="16838" w:h="11906" w:orient="landscape"/>
      <w:pgMar w:top="1701" w:right="1701"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auto"/>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030195">
      <w:rPr>
        <w:noProof/>
      </w:rPr>
      <w:t>3</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5432F"/>
    <w:multiLevelType w:val="hybridMultilevel"/>
    <w:tmpl w:val="629440CE"/>
    <w:lvl w:ilvl="0" w:tplc="0B90056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30195"/>
    <w:rsid w:val="000707D8"/>
    <w:rsid w:val="000747AE"/>
    <w:rsid w:val="000C14DC"/>
    <w:rsid w:val="000C7518"/>
    <w:rsid w:val="000E2096"/>
    <w:rsid w:val="00110296"/>
    <w:rsid w:val="00112293"/>
    <w:rsid w:val="00124D41"/>
    <w:rsid w:val="00143D1D"/>
    <w:rsid w:val="001732AB"/>
    <w:rsid w:val="00182F06"/>
    <w:rsid w:val="00184776"/>
    <w:rsid w:val="001861D7"/>
    <w:rsid w:val="001A5F50"/>
    <w:rsid w:val="001B1CB1"/>
    <w:rsid w:val="001B5888"/>
    <w:rsid w:val="001C7F09"/>
    <w:rsid w:val="001D79DB"/>
    <w:rsid w:val="001E3E96"/>
    <w:rsid w:val="00243C45"/>
    <w:rsid w:val="00246747"/>
    <w:rsid w:val="00246CC1"/>
    <w:rsid w:val="00253E87"/>
    <w:rsid w:val="00291066"/>
    <w:rsid w:val="002B2056"/>
    <w:rsid w:val="002B6BA0"/>
    <w:rsid w:val="002C0C53"/>
    <w:rsid w:val="002C22BF"/>
    <w:rsid w:val="002C38F3"/>
    <w:rsid w:val="002D22B0"/>
    <w:rsid w:val="002D3BE1"/>
    <w:rsid w:val="002D5183"/>
    <w:rsid w:val="002E5F36"/>
    <w:rsid w:val="003146E9"/>
    <w:rsid w:val="00324856"/>
    <w:rsid w:val="0035114C"/>
    <w:rsid w:val="00374345"/>
    <w:rsid w:val="0038160F"/>
    <w:rsid w:val="00387902"/>
    <w:rsid w:val="00391349"/>
    <w:rsid w:val="003A0FBA"/>
    <w:rsid w:val="003C21CA"/>
    <w:rsid w:val="003D0DBA"/>
    <w:rsid w:val="00400681"/>
    <w:rsid w:val="00411CF9"/>
    <w:rsid w:val="004312C6"/>
    <w:rsid w:val="004501A3"/>
    <w:rsid w:val="00493A3B"/>
    <w:rsid w:val="00495321"/>
    <w:rsid w:val="00495A4F"/>
    <w:rsid w:val="004E1B6F"/>
    <w:rsid w:val="004F4EDC"/>
    <w:rsid w:val="0050095C"/>
    <w:rsid w:val="005012EC"/>
    <w:rsid w:val="00503FEC"/>
    <w:rsid w:val="00526924"/>
    <w:rsid w:val="00546BAB"/>
    <w:rsid w:val="00565B58"/>
    <w:rsid w:val="00583907"/>
    <w:rsid w:val="00586C8B"/>
    <w:rsid w:val="00595D53"/>
    <w:rsid w:val="005C5470"/>
    <w:rsid w:val="005C56DE"/>
    <w:rsid w:val="005E2C49"/>
    <w:rsid w:val="006063C2"/>
    <w:rsid w:val="00643BC4"/>
    <w:rsid w:val="00657938"/>
    <w:rsid w:val="006658F7"/>
    <w:rsid w:val="00686053"/>
    <w:rsid w:val="006A428E"/>
    <w:rsid w:val="006A545B"/>
    <w:rsid w:val="00703B8D"/>
    <w:rsid w:val="00715DA8"/>
    <w:rsid w:val="0076434A"/>
    <w:rsid w:val="00777E80"/>
    <w:rsid w:val="007876A9"/>
    <w:rsid w:val="007B4ABE"/>
    <w:rsid w:val="007E0B51"/>
    <w:rsid w:val="007E0F13"/>
    <w:rsid w:val="007E19CF"/>
    <w:rsid w:val="007E6088"/>
    <w:rsid w:val="007F7D55"/>
    <w:rsid w:val="0082022D"/>
    <w:rsid w:val="008515B9"/>
    <w:rsid w:val="00883D78"/>
    <w:rsid w:val="008C17C3"/>
    <w:rsid w:val="0090151F"/>
    <w:rsid w:val="0090202E"/>
    <w:rsid w:val="009357DE"/>
    <w:rsid w:val="00935FF1"/>
    <w:rsid w:val="00936731"/>
    <w:rsid w:val="009418CA"/>
    <w:rsid w:val="00946A11"/>
    <w:rsid w:val="009A2098"/>
    <w:rsid w:val="009A28CC"/>
    <w:rsid w:val="009A5A78"/>
    <w:rsid w:val="009C167C"/>
    <w:rsid w:val="009D0B40"/>
    <w:rsid w:val="009D3094"/>
    <w:rsid w:val="009E5F85"/>
    <w:rsid w:val="00A00D62"/>
    <w:rsid w:val="00A245CB"/>
    <w:rsid w:val="00A474F9"/>
    <w:rsid w:val="00A67A1C"/>
    <w:rsid w:val="00A738AD"/>
    <w:rsid w:val="00A73AC3"/>
    <w:rsid w:val="00A82046"/>
    <w:rsid w:val="00A87CC5"/>
    <w:rsid w:val="00AB7A35"/>
    <w:rsid w:val="00AC41C4"/>
    <w:rsid w:val="00AD0BB3"/>
    <w:rsid w:val="00AD3ACF"/>
    <w:rsid w:val="00AE05DE"/>
    <w:rsid w:val="00AF5050"/>
    <w:rsid w:val="00B03889"/>
    <w:rsid w:val="00B27D98"/>
    <w:rsid w:val="00B44257"/>
    <w:rsid w:val="00B56D8B"/>
    <w:rsid w:val="00B6471B"/>
    <w:rsid w:val="00B65D16"/>
    <w:rsid w:val="00B672B6"/>
    <w:rsid w:val="00B70305"/>
    <w:rsid w:val="00B70EF1"/>
    <w:rsid w:val="00BB7644"/>
    <w:rsid w:val="00BC0E36"/>
    <w:rsid w:val="00BD3767"/>
    <w:rsid w:val="00BD4800"/>
    <w:rsid w:val="00BF035E"/>
    <w:rsid w:val="00BF617E"/>
    <w:rsid w:val="00C13164"/>
    <w:rsid w:val="00C21C1E"/>
    <w:rsid w:val="00C2730A"/>
    <w:rsid w:val="00C451CF"/>
    <w:rsid w:val="00C5628A"/>
    <w:rsid w:val="00C601C5"/>
    <w:rsid w:val="00C83FE2"/>
    <w:rsid w:val="00CA5606"/>
    <w:rsid w:val="00CB3CF6"/>
    <w:rsid w:val="00CF541C"/>
    <w:rsid w:val="00D045BA"/>
    <w:rsid w:val="00D21CD8"/>
    <w:rsid w:val="00D3502A"/>
    <w:rsid w:val="00D433FD"/>
    <w:rsid w:val="00D862EE"/>
    <w:rsid w:val="00DA077B"/>
    <w:rsid w:val="00DC2592"/>
    <w:rsid w:val="00DD3651"/>
    <w:rsid w:val="00DE1DB8"/>
    <w:rsid w:val="00E008D6"/>
    <w:rsid w:val="00E11F97"/>
    <w:rsid w:val="00E33987"/>
    <w:rsid w:val="00E710AE"/>
    <w:rsid w:val="00E73112"/>
    <w:rsid w:val="00E96D39"/>
    <w:rsid w:val="00E972E6"/>
    <w:rsid w:val="00EA740F"/>
    <w:rsid w:val="00EA7850"/>
    <w:rsid w:val="00EB11B7"/>
    <w:rsid w:val="00EB3E64"/>
    <w:rsid w:val="00ED524C"/>
    <w:rsid w:val="00EE0F26"/>
    <w:rsid w:val="00EE72D0"/>
    <w:rsid w:val="00EF01F9"/>
    <w:rsid w:val="00F069A9"/>
    <w:rsid w:val="00F15A8F"/>
    <w:rsid w:val="00F20628"/>
    <w:rsid w:val="00F4102C"/>
    <w:rsid w:val="00F4209C"/>
    <w:rsid w:val="00F532B6"/>
    <w:rsid w:val="00F56CC9"/>
    <w:rsid w:val="00F63E5C"/>
    <w:rsid w:val="00F67B2D"/>
    <w:rsid w:val="00F701DE"/>
    <w:rsid w:val="00F7286E"/>
    <w:rsid w:val="00F7376B"/>
    <w:rsid w:val="00FB3D08"/>
    <w:rsid w:val="00FD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1,Diagrama Char1"/>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 w:type="character" w:customStyle="1" w:styleId="HeaderChar1">
    <w:name w:val="Header Char1"/>
    <w:aliases w:val="Char Char,Diagrama Char"/>
    <w:basedOn w:val="DefaultParagraphFont"/>
    <w:locked/>
    <w:rsid w:val="008515B9"/>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1,Diagrama Char1"/>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unhideWhenUsed/>
    <w:rsid w:val="00686053"/>
    <w:pPr>
      <w:tabs>
        <w:tab w:val="center" w:pos="4819"/>
        <w:tab w:val="right" w:pos="9638"/>
      </w:tabs>
    </w:pPr>
  </w:style>
  <w:style w:type="character" w:customStyle="1" w:styleId="FooterChar">
    <w:name w:val="Footer Char"/>
    <w:link w:val="Footer"/>
    <w:uiPriority w:val="99"/>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ListParagraph">
    <w:name w:val="List Paragraph"/>
    <w:basedOn w:val="Normal"/>
    <w:uiPriority w:val="34"/>
    <w:qFormat/>
    <w:rsid w:val="00F4102C"/>
    <w:pPr>
      <w:autoSpaceDN w:val="0"/>
      <w:spacing w:after="200" w:line="276" w:lineRule="auto"/>
      <w:ind w:left="720"/>
      <w:contextualSpacing/>
    </w:pPr>
    <w:rPr>
      <w:rFonts w:eastAsia="Calibri"/>
      <w:szCs w:val="22"/>
      <w:lang w:eastAsia="lt-LT"/>
    </w:rPr>
  </w:style>
  <w:style w:type="character" w:customStyle="1" w:styleId="HeaderChar1">
    <w:name w:val="Header Char1"/>
    <w:aliases w:val="Char Char,Diagrama Char"/>
    <w:basedOn w:val="DefaultParagraphFont"/>
    <w:locked/>
    <w:rsid w:val="008515B9"/>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 w:id="458307507">
      <w:bodyDiv w:val="1"/>
      <w:marLeft w:val="0"/>
      <w:marRight w:val="0"/>
      <w:marTop w:val="0"/>
      <w:marBottom w:val="0"/>
      <w:divBdr>
        <w:top w:val="none" w:sz="0" w:space="0" w:color="auto"/>
        <w:left w:val="none" w:sz="0" w:space="0" w:color="auto"/>
        <w:bottom w:val="none" w:sz="0" w:space="0" w:color="auto"/>
        <w:right w:val="none" w:sz="0" w:space="0" w:color="auto"/>
      </w:divBdr>
      <w:divsChild>
        <w:div w:id="1065569298">
          <w:marLeft w:val="0"/>
          <w:marRight w:val="0"/>
          <w:marTop w:val="0"/>
          <w:marBottom w:val="0"/>
          <w:divBdr>
            <w:top w:val="none" w:sz="0" w:space="0" w:color="auto"/>
            <w:left w:val="none" w:sz="0" w:space="0" w:color="auto"/>
            <w:bottom w:val="none" w:sz="0" w:space="0" w:color="auto"/>
            <w:right w:val="none" w:sz="0" w:space="0" w:color="auto"/>
          </w:divBdr>
        </w:div>
        <w:div w:id="164793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stina.cunderova@a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2021-08-04T12:27:00Z</dcterms:created>
  <dc:creator>r.uselyte</dc:creator>
  <cp:lastModifiedBy>Justina Čunderova</cp:lastModifiedBy>
  <dcterms:modified xsi:type="dcterms:W3CDTF">2021-11-03T06:34:00Z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