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B7" w:rsidRDefault="00E04AF3">
      <w:pPr>
        <w:jc w:val="both"/>
        <w:rPr>
          <w:rFonts w:ascii="Times New Roman" w:hAnsi="Times New Roman"/>
          <w:lang w:val="lt-LT"/>
        </w:rPr>
      </w:pPr>
      <w:bookmarkStart w:id="0" w:name="_GoBack"/>
      <w:bookmarkEnd w:id="0"/>
      <w:r>
        <w:rPr>
          <w:rFonts w:ascii="Times New Roman" w:hAnsi="Times New Roman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3595329</wp:posOffset>
                </wp:positionH>
                <wp:positionV relativeFrom="paragraph">
                  <wp:posOffset>8869</wp:posOffset>
                </wp:positionV>
                <wp:extent cx="1000079" cy="685800"/>
                <wp:effectExtent l="0" t="0" r="0" b="0"/>
                <wp:wrapSquare wrapText="bothSides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079" cy="6858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023B7" w:rsidRDefault="00E04AF3">
                            <w:pPr>
                              <w:pStyle w:val="paveikslas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eastAsia="lt-LT"/>
                              </w:rPr>
                              <w:drawing>
                                <wp:inline distT="0" distB="0" distL="0" distR="0">
                                  <wp:extent cx="1000125" cy="666753"/>
                                  <wp:effectExtent l="0" t="0" r="9525" b="0"/>
                                  <wp:docPr id="1" name="Paveikslėlis 1" descr="LOGOnespalv-maz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0125" cy="666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83.1pt;margin-top:.7pt;width:78.75pt;height:54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" filled="f" stroked="f">
                <v:textbox inset="0,0,0,0">
                  <w:txbxContent>
                    <w:p w:rsidR="003023B7" w:rsidRDefault="00E04AF3">
                      <w:pPr>
                        <w:pStyle w:val="paveikslas"/>
                        <w:jc w:val="both"/>
                      </w:pPr>
                      <w:r>
                        <w:rPr>
                          <w:rFonts w:ascii="Times New Roman" w:hAnsi="Times New Roman"/>
                          <w:noProof/>
                          <w:lang w:eastAsia="lt-LT"/>
                        </w:rPr>
                        <w:drawing>
                          <wp:inline distT="0" distB="0" distL="0" distR="0">
                            <wp:extent cx="1000125" cy="666753"/>
                            <wp:effectExtent l="0" t="0" r="9525" b="0"/>
                            <wp:docPr id="1" name="Paveikslėlis 1" descr="LOGOnespalv-maz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0125" cy="666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023B7" w:rsidRDefault="003023B7">
      <w:pPr>
        <w:jc w:val="both"/>
        <w:rPr>
          <w:rFonts w:ascii="Times New Roman" w:hAnsi="Times New Roman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lang w:val="lt-LT"/>
        </w:rPr>
      </w:pPr>
    </w:p>
    <w:p w:rsidR="003023B7" w:rsidRDefault="00E04AF3">
      <w:pPr>
        <w:jc w:val="center"/>
      </w:pPr>
      <w:r>
        <w:rPr>
          <w:rFonts w:ascii="Times New Roman" w:hAnsi="Times New Roman"/>
          <w:b/>
          <w:sz w:val="28"/>
        </w:rPr>
        <w:t>LIETUVOS RESPUBLIKOS ŽEMĖS ŪKIO MINISTERIJA</w:t>
      </w:r>
    </w:p>
    <w:p w:rsidR="003023B7" w:rsidRDefault="003023B7">
      <w:pPr>
        <w:jc w:val="both"/>
        <w:rPr>
          <w:rFonts w:ascii="Times New Roman" w:hAnsi="Times New Roman"/>
          <w:lang w:val="lt-LT"/>
        </w:rPr>
      </w:pPr>
    </w:p>
    <w:p w:rsidR="003023B7" w:rsidRDefault="00E04AF3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883859</wp:posOffset>
                </wp:positionH>
                <wp:positionV relativeFrom="page">
                  <wp:posOffset>9350288</wp:posOffset>
                </wp:positionV>
                <wp:extent cx="6344198" cy="924549"/>
                <wp:effectExtent l="0" t="0" r="0" b="0"/>
                <wp:wrapTopAndBottom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4198" cy="92454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023B7" w:rsidRDefault="00E04AF3">
                            <w:pPr>
                              <w:pStyle w:val="apacia"/>
                              <w:rPr>
                                <w:rFonts w:ascii="Times New Roman" w:hAnsi="Times New Roman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:rsidR="003023B7" w:rsidRDefault="003023B7">
                            <w:pPr>
                              <w:pStyle w:val="apacia"/>
                              <w:rPr>
                                <w:rFonts w:ascii="Times New Roman" w:hAnsi="Times New Roman"/>
                                <w:lang w:val="lt-LT"/>
                              </w:rPr>
                            </w:pPr>
                          </w:p>
                          <w:p w:rsidR="003023B7" w:rsidRDefault="00E04AF3">
                            <w:pPr>
                              <w:pStyle w:val="apacia"/>
                              <w:rPr>
                                <w:rFonts w:ascii="Times New Roman" w:hAnsi="Times New Roman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lang w:val="lt-LT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69.6pt;margin-top:736.25pt;width:499.55pt;height:72.8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" filled="f" stroked="f">
                <v:textbox style="mso-fit-shape-to-text:t" inset="0,0,0,0">
                  <w:txbxContent>
                    <w:p w:rsidR="003023B7" w:rsidRDefault="00E04AF3">
                      <w:pPr>
                        <w:pStyle w:val="apacia"/>
                        <w:rPr>
                          <w:rFonts w:ascii="Times New Roman" w:hAnsi="Times New Roman"/>
                          <w:lang w:val="lt-LT"/>
                        </w:rPr>
                      </w:pPr>
                      <w:r>
                        <w:rPr>
                          <w:rFonts w:ascii="Times New Roman" w:hAnsi="Times New Roman"/>
                          <w:lang w:val="lt-LT"/>
                        </w:rPr>
                        <w:t>________________________________________________________________________________________________</w:t>
                      </w:r>
                    </w:p>
                    <w:p w:rsidR="003023B7" w:rsidRDefault="003023B7">
                      <w:pPr>
                        <w:pStyle w:val="apacia"/>
                        <w:rPr>
                          <w:rFonts w:ascii="Times New Roman" w:hAnsi="Times New Roman"/>
                          <w:lang w:val="lt-LT"/>
                        </w:rPr>
                      </w:pPr>
                    </w:p>
                    <w:p w:rsidR="003023B7" w:rsidRDefault="00E04AF3">
                      <w:pPr>
                        <w:pStyle w:val="apacia"/>
                        <w:rPr>
                          <w:rFonts w:ascii="Times New Roman" w:hAnsi="Times New Roman"/>
                          <w:lang w:val="lt-LT"/>
                        </w:rPr>
                      </w:pP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  <w:r>
                        <w:rPr>
                          <w:rFonts w:ascii="Times New Roman" w:hAnsi="Times New Roman"/>
                          <w:lang w:val="lt-LT"/>
                        </w:rPr>
                        <w:tab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3023B7" w:rsidRDefault="003023B7">
      <w:pPr>
        <w:jc w:val="both"/>
        <w:rPr>
          <w:rFonts w:ascii="Times New Roman" w:hAnsi="Times New Roman"/>
          <w:lang w:val="lt-LT"/>
        </w:rPr>
      </w:pPr>
    </w:p>
    <w:tbl>
      <w:tblPr>
        <w:tblW w:w="11398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551"/>
        <w:gridCol w:w="2289"/>
        <w:gridCol w:w="2531"/>
        <w:gridCol w:w="2291"/>
      </w:tblGrid>
      <w:tr w:rsidR="003023B7">
        <w:tblPrEx>
          <w:tblCellMar>
            <w:top w:w="0" w:type="dxa"/>
            <w:bottom w:w="0" w:type="dxa"/>
          </w:tblCellMar>
        </w:tblPrEx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Biudžetinė </w:t>
            </w:r>
            <w:r>
              <w:rPr>
                <w:rFonts w:ascii="Times New Roman" w:hAnsi="Times New Roman"/>
                <w:sz w:val="14"/>
                <w:lang w:val="lt-LT"/>
              </w:rPr>
              <w:t>įstaiga</w:t>
            </w:r>
          </w:p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3023B7" w:rsidRDefault="00E04AF3">
            <w:r>
              <w:rPr>
                <w:rFonts w:ascii="Times New Roman" w:hAnsi="Times New Roman"/>
                <w:sz w:val="14"/>
                <w:lang w:val="lt-LT"/>
              </w:rPr>
              <w:t xml:space="preserve">Faks.  (8 5)  239 1212  El. paštas </w:t>
            </w:r>
            <w:hyperlink r:id="rId8" w:history="1">
              <w:r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3023B7" w:rsidRDefault="00E04AF3">
            <w:hyperlink r:id="rId9" w:history="1">
              <w:r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3023B7" w:rsidRDefault="003023B7">
            <w:pPr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Atsiskaitomoji sąskaita </w:t>
            </w:r>
          </w:p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3023B7" w:rsidRDefault="00E04AF3">
            <w:pPr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 </w:t>
            </w:r>
          </w:p>
          <w:p w:rsidR="003023B7" w:rsidRDefault="003023B7">
            <w:pPr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3023B7" w:rsidRDefault="003023B7">
      <w:pPr>
        <w:rPr>
          <w:rFonts w:ascii="Times New Roman" w:hAnsi="Times New Roman"/>
          <w:sz w:val="1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lang w:val="lt-LT"/>
        </w:rPr>
      </w:pPr>
    </w:p>
    <w:tbl>
      <w:tblPr>
        <w:tblW w:w="9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0"/>
        <w:gridCol w:w="296"/>
        <w:gridCol w:w="1755"/>
        <w:gridCol w:w="530"/>
        <w:gridCol w:w="2354"/>
      </w:tblGrid>
      <w:tr w:rsidR="003023B7">
        <w:tblPrEx>
          <w:tblCellMar>
            <w:top w:w="0" w:type="dxa"/>
            <w:bottom w:w="0" w:type="dxa"/>
          </w:tblCellMar>
        </w:tblPrEx>
        <w:tc>
          <w:tcPr>
            <w:tcW w:w="492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E04AF3">
            <w:pPr>
              <w:spacing w:after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finansų ministerijai</w:t>
            </w:r>
          </w:p>
          <w:p w:rsidR="003023B7" w:rsidRDefault="003023B7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E04AF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3023B7">
        <w:tblPrEx>
          <w:tblCellMar>
            <w:top w:w="0" w:type="dxa"/>
            <w:bottom w:w="0" w:type="dxa"/>
          </w:tblCellMar>
        </w:tblPrEx>
        <w:tc>
          <w:tcPr>
            <w:tcW w:w="49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E04AF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E04AF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3023B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B7" w:rsidRDefault="003023B7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3023B7" w:rsidRDefault="003023B7">
      <w:pPr>
        <w:jc w:val="both"/>
        <w:rPr>
          <w:rFonts w:ascii="Times New Roman" w:hAnsi="Times New Roman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lang w:val="lt-LT"/>
        </w:rPr>
      </w:pPr>
    </w:p>
    <w:p w:rsidR="003023B7" w:rsidRDefault="00E04AF3">
      <w:pPr>
        <w:overflowPunct/>
        <w:textAlignment w:val="auto"/>
      </w:pPr>
      <w:r>
        <w:rPr>
          <w:b/>
        </w:rPr>
        <w:t xml:space="preserve">DĖL LIETUVOS RESPUBLIKOS VYRIAUSYBĖS NUTARIMO PROJEKTO </w:t>
      </w:r>
    </w:p>
    <w:p w:rsidR="003023B7" w:rsidRDefault="003023B7">
      <w:pPr>
        <w:jc w:val="both"/>
        <w:rPr>
          <w:rFonts w:ascii="Times New Roman" w:hAnsi="Times New Roman"/>
          <w:lang w:val="lt-LT"/>
        </w:rPr>
      </w:pPr>
    </w:p>
    <w:p w:rsidR="003023B7" w:rsidRDefault="003023B7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:rsidR="003023B7" w:rsidRDefault="00E04AF3">
      <w:pPr>
        <w:spacing w:line="360" w:lineRule="auto"/>
        <w:ind w:firstLine="720"/>
        <w:jc w:val="both"/>
      </w:pPr>
      <w:r>
        <w:rPr>
          <w:rFonts w:ascii="Times New Roman" w:hAnsi="Times New Roman"/>
          <w:szCs w:val="24"/>
          <w:lang w:val="lt-LT"/>
        </w:rPr>
        <w:t xml:space="preserve">Pastabų ar pasiūlymų dėl Jūsų pateikto </w:t>
      </w:r>
      <w:r>
        <w:rPr>
          <w:rFonts w:ascii="Times New Roman" w:hAnsi="Times New Roman"/>
          <w:szCs w:val="24"/>
          <w:lang w:val="lt-LT"/>
        </w:rPr>
        <w:t xml:space="preserve">derinti </w:t>
      </w:r>
      <w:r>
        <w:rPr>
          <w:lang w:val="lt-LT"/>
        </w:rPr>
        <w:t>Lietuvos Respublikos Vyriausybės nutarimo „Dėl valstybės ilgalaikio materialiojo turto, reikalingo centralizuotai valdyti perduoto administracinės ir kitos paskirties valstybės nekilnojamojo turto valdymo ir naudojimo tikslams ir šį turtą naudojanč</w:t>
      </w:r>
      <w:r>
        <w:rPr>
          <w:lang w:val="lt-LT"/>
        </w:rPr>
        <w:t>ių asmenų poreikiams tenkinti, perdavimo</w:t>
      </w:r>
      <w:r>
        <w:rPr>
          <w:rFonts w:eastAsia="Calibri"/>
          <w:caps/>
          <w:lang w:val="lt-LT"/>
        </w:rPr>
        <w:t>“</w:t>
      </w:r>
      <w:r>
        <w:rPr>
          <w:lang w:val="lt-LT"/>
        </w:rPr>
        <w:t xml:space="preserve"> projekto </w:t>
      </w:r>
      <w:r>
        <w:rPr>
          <w:rFonts w:ascii="Times New Roman" w:hAnsi="Times New Roman"/>
          <w:szCs w:val="24"/>
          <w:lang w:val="lt-LT" w:eastAsia="lt-LT"/>
        </w:rPr>
        <w:t>neturime.</w:t>
      </w:r>
    </w:p>
    <w:p w:rsidR="003023B7" w:rsidRDefault="003023B7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:rsidR="003023B7" w:rsidRDefault="00E04AF3">
      <w:pPr>
        <w:spacing w:line="276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Ministerijos kancleris                                                                                        Valdas Aleknavičius</w:t>
      </w: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3023B7">
      <w:pPr>
        <w:jc w:val="both"/>
        <w:rPr>
          <w:rFonts w:ascii="Times New Roman" w:hAnsi="Times New Roman"/>
          <w:szCs w:val="24"/>
          <w:lang w:val="lt-LT"/>
        </w:rPr>
      </w:pPr>
    </w:p>
    <w:p w:rsidR="003023B7" w:rsidRDefault="00E04AF3">
      <w:pPr>
        <w:jc w:val="both"/>
      </w:pPr>
      <w:r>
        <w:rPr>
          <w:rFonts w:ascii="Times New Roman" w:hAnsi="Times New Roman"/>
          <w:szCs w:val="24"/>
          <w:lang w:val="lt-LT"/>
        </w:rPr>
        <w:t xml:space="preserve">Evaldas </w:t>
      </w:r>
      <w:proofErr w:type="spellStart"/>
      <w:r>
        <w:rPr>
          <w:rFonts w:ascii="Times New Roman" w:hAnsi="Times New Roman"/>
          <w:szCs w:val="24"/>
          <w:lang w:val="lt-LT"/>
        </w:rPr>
        <w:t>Antaniūnas</w:t>
      </w:r>
      <w:proofErr w:type="spellEnd"/>
      <w:r>
        <w:rPr>
          <w:rFonts w:ascii="Times New Roman" w:hAnsi="Times New Roman"/>
          <w:szCs w:val="24"/>
          <w:lang w:val="lt-LT"/>
        </w:rPr>
        <w:t>, tel. 239 1051</w:t>
      </w:r>
    </w:p>
    <w:sectPr w:rsidR="003023B7">
      <w:footerReference w:type="default" r:id="rId10"/>
      <w:pgSz w:w="11907" w:h="16840"/>
      <w:pgMar w:top="1247" w:right="567" w:bottom="1134" w:left="1701" w:header="28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4AF3">
      <w:r>
        <w:separator/>
      </w:r>
    </w:p>
  </w:endnote>
  <w:endnote w:type="continuationSeparator" w:id="0">
    <w:p w:rsidR="00000000" w:rsidRDefault="00E0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B5" w:rsidRDefault="00E04AF3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4AF3">
      <w:r>
        <w:rPr>
          <w:color w:val="000000"/>
        </w:rPr>
        <w:separator/>
      </w:r>
    </w:p>
  </w:footnote>
  <w:footnote w:type="continuationSeparator" w:id="0">
    <w:p w:rsidR="00000000" w:rsidRDefault="00E04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23B7"/>
    <w:rsid w:val="003023B7"/>
    <w:rsid w:val="00D158C0"/>
    <w:rsid w:val="00E0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  <w:overflowPunct w:val="0"/>
      <w:autoSpaceDE w:val="0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pPr>
      <w:keepNext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Pr>
      <w:sz w:val="8"/>
      <w:lang w:val="lt-LT"/>
    </w:rPr>
  </w:style>
  <w:style w:type="paragraph" w:customStyle="1" w:styleId="remas1">
    <w:name w:val="remas1"/>
    <w:basedOn w:val="prastasis"/>
    <w:pPr>
      <w:jc w:val="center"/>
    </w:pPr>
    <w:rPr>
      <w:b/>
      <w:sz w:val="28"/>
    </w:rPr>
  </w:style>
  <w:style w:type="paragraph" w:customStyle="1" w:styleId="REMAS2">
    <w:name w:val="REMAS2"/>
    <w:basedOn w:val="prastasis"/>
    <w:pPr>
      <w:jc w:val="center"/>
    </w:pPr>
    <w:rPr>
      <w:sz w:val="20"/>
    </w:rPr>
  </w:style>
  <w:style w:type="paragraph" w:customStyle="1" w:styleId="k1">
    <w:name w:val="k1"/>
    <w:basedOn w:val="prastasis"/>
    <w:rPr>
      <w:b/>
    </w:rPr>
  </w:style>
  <w:style w:type="paragraph" w:customStyle="1" w:styleId="k2">
    <w:name w:val="k2"/>
    <w:basedOn w:val="prastasis"/>
    <w:rPr>
      <w:b/>
    </w:rPr>
  </w:style>
  <w:style w:type="paragraph" w:customStyle="1" w:styleId="k3">
    <w:name w:val="k3"/>
    <w:basedOn w:val="prastasis"/>
    <w:pPr>
      <w:jc w:val="right"/>
    </w:pPr>
    <w:rPr>
      <w:b/>
    </w:rPr>
  </w:style>
  <w:style w:type="paragraph" w:customStyle="1" w:styleId="k4">
    <w:name w:val="k4"/>
    <w:basedOn w:val="prastasis"/>
    <w:pPr>
      <w:jc w:val="right"/>
    </w:pPr>
    <w:rPr>
      <w:b/>
    </w:rPr>
  </w:style>
  <w:style w:type="paragraph" w:customStyle="1" w:styleId="remas4">
    <w:name w:val="remas4"/>
    <w:basedOn w:val="prastasis"/>
    <w:rPr>
      <w:sz w:val="22"/>
    </w:rPr>
  </w:style>
  <w:style w:type="paragraph" w:customStyle="1" w:styleId="remas5">
    <w:name w:val="remas5"/>
    <w:basedOn w:val="prastasis"/>
    <w:rPr>
      <w:sz w:val="22"/>
    </w:rPr>
  </w:style>
  <w:style w:type="paragraph" w:customStyle="1" w:styleId="k10">
    <w:name w:val="k10"/>
    <w:basedOn w:val="prastasis"/>
    <w:rPr>
      <w:b/>
    </w:rPr>
  </w:style>
  <w:style w:type="paragraph" w:customStyle="1" w:styleId="k11">
    <w:name w:val="k11"/>
    <w:basedOn w:val="prastasis"/>
    <w:rPr>
      <w:b/>
    </w:rPr>
  </w:style>
  <w:style w:type="paragraph" w:customStyle="1" w:styleId="k12">
    <w:name w:val="k12"/>
    <w:basedOn w:val="prastasis"/>
    <w:rPr>
      <w:b/>
    </w:rPr>
  </w:style>
  <w:style w:type="paragraph" w:customStyle="1" w:styleId="k15">
    <w:name w:val="k15"/>
    <w:basedOn w:val="prastasis"/>
    <w:rPr>
      <w:b/>
    </w:rPr>
  </w:style>
  <w:style w:type="paragraph" w:customStyle="1" w:styleId="k20">
    <w:name w:val="k20"/>
    <w:basedOn w:val="prastasis"/>
    <w:rPr>
      <w:b/>
    </w:rPr>
  </w:style>
  <w:style w:type="paragraph" w:customStyle="1" w:styleId="k21">
    <w:name w:val="k21"/>
    <w:basedOn w:val="prastasis"/>
  </w:style>
  <w:style w:type="paragraph" w:customStyle="1" w:styleId="k22">
    <w:name w:val="k22"/>
    <w:basedOn w:val="prastasis"/>
    <w:rPr>
      <w:b/>
    </w:rPr>
  </w:style>
  <w:style w:type="paragraph" w:customStyle="1" w:styleId="k25">
    <w:name w:val="k25"/>
    <w:basedOn w:val="prastasis"/>
  </w:style>
  <w:style w:type="paragraph" w:customStyle="1" w:styleId="remas20">
    <w:name w:val="remas20"/>
    <w:basedOn w:val="prastasis"/>
    <w:rPr>
      <w:sz w:val="22"/>
    </w:rPr>
  </w:style>
  <w:style w:type="paragraph" w:customStyle="1" w:styleId="daturemas">
    <w:name w:val="datu remas"/>
    <w:basedOn w:val="prastasis"/>
    <w:pPr>
      <w:spacing w:line="360" w:lineRule="auto"/>
    </w:pPr>
    <w:rPr>
      <w:sz w:val="20"/>
    </w:rPr>
  </w:style>
  <w:style w:type="paragraph" w:customStyle="1" w:styleId="kkk">
    <w:name w:val="kkk"/>
    <w:basedOn w:val="prastasis"/>
    <w:rPr>
      <w:sz w:val="22"/>
    </w:rPr>
  </w:style>
  <w:style w:type="paragraph" w:customStyle="1" w:styleId="lll">
    <w:name w:val="lll"/>
    <w:basedOn w:val="prastasis"/>
    <w:rPr>
      <w:sz w:val="22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customStyle="1" w:styleId="apacia">
    <w:name w:val="apacia"/>
    <w:basedOn w:val="prastasis"/>
    <w:rPr>
      <w:sz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pPr>
      <w:ind w:left="720"/>
    </w:pPr>
  </w:style>
  <w:style w:type="paragraph" w:styleId="Paprastasistekstas">
    <w:name w:val="Plain Text"/>
    <w:basedOn w:val="prastasis"/>
    <w:pPr>
      <w:overflowPunct/>
      <w:autoSpaceDE/>
      <w:textAlignment w:val="auto"/>
    </w:pPr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Numatytasispastraiposriftas"/>
    <w:rPr>
      <w:rFonts w:ascii="Calibri" w:eastAsia="Calibri" w:hAnsi="Calibri" w:cs="Times New Roman"/>
      <w:sz w:val="22"/>
      <w:szCs w:val="21"/>
      <w:lang w:eastAsia="en-US"/>
    </w:rPr>
  </w:style>
  <w:style w:type="paragraph" w:styleId="Betarp">
    <w:name w:val="No Spacing"/>
    <w:pPr>
      <w:suppressAutoHyphens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  <w:overflowPunct w:val="0"/>
      <w:autoSpaceDE w:val="0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pPr>
      <w:keepNext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Pr>
      <w:sz w:val="8"/>
      <w:lang w:val="lt-LT"/>
    </w:rPr>
  </w:style>
  <w:style w:type="paragraph" w:customStyle="1" w:styleId="remas1">
    <w:name w:val="remas1"/>
    <w:basedOn w:val="prastasis"/>
    <w:pPr>
      <w:jc w:val="center"/>
    </w:pPr>
    <w:rPr>
      <w:b/>
      <w:sz w:val="28"/>
    </w:rPr>
  </w:style>
  <w:style w:type="paragraph" w:customStyle="1" w:styleId="REMAS2">
    <w:name w:val="REMAS2"/>
    <w:basedOn w:val="prastasis"/>
    <w:pPr>
      <w:jc w:val="center"/>
    </w:pPr>
    <w:rPr>
      <w:sz w:val="20"/>
    </w:rPr>
  </w:style>
  <w:style w:type="paragraph" w:customStyle="1" w:styleId="k1">
    <w:name w:val="k1"/>
    <w:basedOn w:val="prastasis"/>
    <w:rPr>
      <w:b/>
    </w:rPr>
  </w:style>
  <w:style w:type="paragraph" w:customStyle="1" w:styleId="k2">
    <w:name w:val="k2"/>
    <w:basedOn w:val="prastasis"/>
    <w:rPr>
      <w:b/>
    </w:rPr>
  </w:style>
  <w:style w:type="paragraph" w:customStyle="1" w:styleId="k3">
    <w:name w:val="k3"/>
    <w:basedOn w:val="prastasis"/>
    <w:pPr>
      <w:jc w:val="right"/>
    </w:pPr>
    <w:rPr>
      <w:b/>
    </w:rPr>
  </w:style>
  <w:style w:type="paragraph" w:customStyle="1" w:styleId="k4">
    <w:name w:val="k4"/>
    <w:basedOn w:val="prastasis"/>
    <w:pPr>
      <w:jc w:val="right"/>
    </w:pPr>
    <w:rPr>
      <w:b/>
    </w:rPr>
  </w:style>
  <w:style w:type="paragraph" w:customStyle="1" w:styleId="remas4">
    <w:name w:val="remas4"/>
    <w:basedOn w:val="prastasis"/>
    <w:rPr>
      <w:sz w:val="22"/>
    </w:rPr>
  </w:style>
  <w:style w:type="paragraph" w:customStyle="1" w:styleId="remas5">
    <w:name w:val="remas5"/>
    <w:basedOn w:val="prastasis"/>
    <w:rPr>
      <w:sz w:val="22"/>
    </w:rPr>
  </w:style>
  <w:style w:type="paragraph" w:customStyle="1" w:styleId="k10">
    <w:name w:val="k10"/>
    <w:basedOn w:val="prastasis"/>
    <w:rPr>
      <w:b/>
    </w:rPr>
  </w:style>
  <w:style w:type="paragraph" w:customStyle="1" w:styleId="k11">
    <w:name w:val="k11"/>
    <w:basedOn w:val="prastasis"/>
    <w:rPr>
      <w:b/>
    </w:rPr>
  </w:style>
  <w:style w:type="paragraph" w:customStyle="1" w:styleId="k12">
    <w:name w:val="k12"/>
    <w:basedOn w:val="prastasis"/>
    <w:rPr>
      <w:b/>
    </w:rPr>
  </w:style>
  <w:style w:type="paragraph" w:customStyle="1" w:styleId="k15">
    <w:name w:val="k15"/>
    <w:basedOn w:val="prastasis"/>
    <w:rPr>
      <w:b/>
    </w:rPr>
  </w:style>
  <w:style w:type="paragraph" w:customStyle="1" w:styleId="k20">
    <w:name w:val="k20"/>
    <w:basedOn w:val="prastasis"/>
    <w:rPr>
      <w:b/>
    </w:rPr>
  </w:style>
  <w:style w:type="paragraph" w:customStyle="1" w:styleId="k21">
    <w:name w:val="k21"/>
    <w:basedOn w:val="prastasis"/>
  </w:style>
  <w:style w:type="paragraph" w:customStyle="1" w:styleId="k22">
    <w:name w:val="k22"/>
    <w:basedOn w:val="prastasis"/>
    <w:rPr>
      <w:b/>
    </w:rPr>
  </w:style>
  <w:style w:type="paragraph" w:customStyle="1" w:styleId="k25">
    <w:name w:val="k25"/>
    <w:basedOn w:val="prastasis"/>
  </w:style>
  <w:style w:type="paragraph" w:customStyle="1" w:styleId="remas20">
    <w:name w:val="remas20"/>
    <w:basedOn w:val="prastasis"/>
    <w:rPr>
      <w:sz w:val="22"/>
    </w:rPr>
  </w:style>
  <w:style w:type="paragraph" w:customStyle="1" w:styleId="daturemas">
    <w:name w:val="datu remas"/>
    <w:basedOn w:val="prastasis"/>
    <w:pPr>
      <w:spacing w:line="360" w:lineRule="auto"/>
    </w:pPr>
    <w:rPr>
      <w:sz w:val="20"/>
    </w:rPr>
  </w:style>
  <w:style w:type="paragraph" w:customStyle="1" w:styleId="kkk">
    <w:name w:val="kkk"/>
    <w:basedOn w:val="prastasis"/>
    <w:rPr>
      <w:sz w:val="22"/>
    </w:rPr>
  </w:style>
  <w:style w:type="paragraph" w:customStyle="1" w:styleId="lll">
    <w:name w:val="lll"/>
    <w:basedOn w:val="prastasis"/>
    <w:rPr>
      <w:sz w:val="22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customStyle="1" w:styleId="apacia">
    <w:name w:val="apacia"/>
    <w:basedOn w:val="prastasis"/>
    <w:rPr>
      <w:sz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pPr>
      <w:ind w:left="720"/>
    </w:pPr>
  </w:style>
  <w:style w:type="paragraph" w:styleId="Paprastasistekstas">
    <w:name w:val="Plain Text"/>
    <w:basedOn w:val="prastasis"/>
    <w:pPr>
      <w:overflowPunct/>
      <w:autoSpaceDE/>
      <w:textAlignment w:val="auto"/>
    </w:pPr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Numatytasispastraiposriftas"/>
    <w:rPr>
      <w:rFonts w:ascii="Calibri" w:eastAsia="Calibri" w:hAnsi="Calibri" w:cs="Times New Roman"/>
      <w:sz w:val="22"/>
      <w:szCs w:val="21"/>
      <w:lang w:eastAsia="en-US"/>
    </w:rPr>
  </w:style>
  <w:style w:type="paragraph" w:styleId="Betarp">
    <w:name w:val="No Spacing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2DD571E9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2DD571E9.dotx</Template>
  <TotalTime>1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Laimutė Raibienė</cp:lastModifiedBy>
  <cp:revision>2</cp:revision>
  <dcterms:created xsi:type="dcterms:W3CDTF">2021-11-08T06:50:00Z</dcterms:created>
  <dcterms:modified xsi:type="dcterms:W3CDTF">2021-11-08T06:50:00Z</dcterms:modified>
</cp:coreProperties>
</file>