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9AC" w:rsidRDefault="00B119AC" w:rsidP="00102ABE">
      <w:pPr>
        <w:framePr w:w="2487" w:h="847" w:hRule="exact" w:hSpace="181" w:wrap="notBeside" w:vAnchor="page" w:hAnchor="page" w:x="8895" w:y="15901"/>
      </w:pPr>
      <w:r>
        <w:t xml:space="preserve"> </w:t>
      </w:r>
      <w:bookmarkStart w:id="0" w:name="Paieskos_Nuoroda"/>
      <w:r>
        <w:fldChar w:fldCharType="begin">
          <w:ffData>
            <w:name w:val="Paieskos_Nuoroda"/>
            <w:enabled/>
            <w:calcOnExit w:val="0"/>
            <w:textInput>
              <w:maxLength w:val="30"/>
            </w:textInput>
          </w:ffData>
        </w:fldChar>
      </w:r>
      <w:r>
        <w:instrText xml:space="preserve"> FORMTEXT </w:instrText>
      </w:r>
      <w:r>
        <w:fldChar w:fldCharType="separate"/>
      </w:r>
      <w:r w:rsidR="0097494B">
        <w:rPr>
          <w:noProof/>
        </w:rPr>
        <w:t>2020-R95-I-51666</w:t>
      </w:r>
      <w:r>
        <w:fldChar w:fldCharType="end"/>
      </w:r>
      <w:bookmarkEnd w:id="0"/>
    </w:p>
    <w:p w:rsidR="00B119AC" w:rsidRDefault="00B119AC">
      <w:pPr>
        <w:rPr>
          <w:sz w:val="2"/>
        </w:rPr>
      </w:pPr>
    </w:p>
    <w:p w:rsidR="00B119AC" w:rsidRDefault="00B119AC">
      <w:pPr>
        <w:rPr>
          <w:sz w:val="2"/>
        </w:rPr>
      </w:pPr>
    </w:p>
    <w:tbl>
      <w:tblPr>
        <w:tblpPr w:leftFromText="181" w:rightFromText="181" w:vertAnchor="page" w:tblpY="341"/>
        <w:tblOverlap w:val="never"/>
        <w:tblW w:w="0" w:type="auto"/>
        <w:tblLayout w:type="fixed"/>
        <w:tblLook w:val="0000" w:firstRow="0" w:lastRow="0" w:firstColumn="0" w:lastColumn="0" w:noHBand="0" w:noVBand="0"/>
      </w:tblPr>
      <w:tblGrid>
        <w:gridCol w:w="4860"/>
        <w:gridCol w:w="4818"/>
      </w:tblGrid>
      <w:tr w:rsidR="00B119AC" w:rsidTr="009655B4">
        <w:trPr>
          <w:cantSplit/>
          <w:trHeight w:hRule="exact" w:val="737"/>
        </w:trPr>
        <w:tc>
          <w:tcPr>
            <w:tcW w:w="4860" w:type="dxa"/>
          </w:tcPr>
          <w:p w:rsidR="00B119AC" w:rsidRDefault="00B119AC"/>
        </w:tc>
        <w:tc>
          <w:tcPr>
            <w:tcW w:w="4818" w:type="dxa"/>
          </w:tcPr>
          <w:p w:rsidR="00B119AC" w:rsidRDefault="00B119AC" w:rsidP="0024237F">
            <w:pPr>
              <w:tabs>
                <w:tab w:val="right" w:pos="2671"/>
              </w:tabs>
              <w:jc w:val="right"/>
            </w:pPr>
          </w:p>
        </w:tc>
      </w:tr>
      <w:tr w:rsidR="00B119AC">
        <w:trPr>
          <w:cantSplit/>
          <w:trHeight w:hRule="exact" w:val="896"/>
        </w:trPr>
        <w:tc>
          <w:tcPr>
            <w:tcW w:w="9678" w:type="dxa"/>
            <w:gridSpan w:val="2"/>
          </w:tcPr>
          <w:p w:rsidR="00B119AC" w:rsidRDefault="005F6BAA">
            <w:pPr>
              <w:tabs>
                <w:tab w:val="right" w:pos="2671"/>
              </w:tabs>
              <w:jc w:val="center"/>
              <w:rPr>
                <w:sz w:val="18"/>
              </w:rPr>
            </w:pPr>
            <w:r>
              <w:rPr>
                <w:noProof/>
                <w:lang w:eastAsia="lt-LT"/>
              </w:rPr>
              <w:drawing>
                <wp:inline distT="0" distB="0" distL="0" distR="0">
                  <wp:extent cx="447675" cy="5048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p>
        </w:tc>
      </w:tr>
      <w:bookmarkStart w:id="1" w:name="Sudarytojas"/>
      <w:tr w:rsidR="00B119AC">
        <w:trPr>
          <w:cantSplit/>
          <w:trHeight w:val="737"/>
        </w:trPr>
        <w:tc>
          <w:tcPr>
            <w:tcW w:w="9678" w:type="dxa"/>
            <w:gridSpan w:val="2"/>
            <w:vAlign w:val="bottom"/>
          </w:tcPr>
          <w:p w:rsidR="00B119AC" w:rsidRDefault="00B119AC">
            <w:pPr>
              <w:pStyle w:val="Antrat1"/>
              <w:ind w:left="851" w:right="851"/>
              <w:rPr>
                <w:caps/>
                <w:sz w:val="26"/>
              </w:rPr>
            </w:pPr>
            <w:r>
              <w:rPr>
                <w:caps/>
                <w:sz w:val="26"/>
              </w:rPr>
              <w:fldChar w:fldCharType="begin">
                <w:ffData>
                  <w:name w:val="Sudarytojas"/>
                  <w:enabled/>
                  <w:calcOnExit w:val="0"/>
                  <w:statusText w:type="text" w:val="Sudarytojas"/>
                  <w:textInput>
                    <w:default w:val="VALSTYBINIO SOCIALINIO DRAUDIMO FONDO VALDYBOS (miesto) SKYRIUS"/>
                    <w:maxLength w:val="200"/>
                  </w:textInput>
                </w:ffData>
              </w:fldChar>
            </w:r>
            <w:r>
              <w:rPr>
                <w:caps/>
                <w:sz w:val="26"/>
              </w:rPr>
              <w:instrText xml:space="preserve"> FORMTEXT </w:instrText>
            </w:r>
            <w:r>
              <w:rPr>
                <w:caps/>
                <w:sz w:val="26"/>
              </w:rPr>
            </w:r>
            <w:r>
              <w:rPr>
                <w:caps/>
                <w:sz w:val="26"/>
              </w:rPr>
              <w:fldChar w:fldCharType="separate"/>
            </w:r>
            <w:r w:rsidR="0097494B">
              <w:rPr>
                <w:caps/>
                <w:noProof/>
                <w:sz w:val="26"/>
              </w:rPr>
              <w:t>Valstybinio socialinio draudimo fondo valdyba prie Socialinės apsaugos ir darbo ministerijos</w:t>
            </w:r>
            <w:r>
              <w:rPr>
                <w:caps/>
                <w:sz w:val="26"/>
              </w:rPr>
              <w:fldChar w:fldCharType="end"/>
            </w:r>
            <w:bookmarkEnd w:id="1"/>
          </w:p>
        </w:tc>
      </w:tr>
      <w:tr w:rsidR="00B119AC">
        <w:trPr>
          <w:cantSplit/>
          <w:trHeight w:val="454"/>
        </w:trPr>
        <w:tc>
          <w:tcPr>
            <w:tcW w:w="9678" w:type="dxa"/>
            <w:gridSpan w:val="2"/>
            <w:tcBorders>
              <w:bottom w:val="single" w:sz="4" w:space="0" w:color="auto"/>
            </w:tcBorders>
            <w:tcMar>
              <w:left w:w="57" w:type="dxa"/>
              <w:right w:w="57" w:type="dxa"/>
            </w:tcMar>
            <w:vAlign w:val="bottom"/>
          </w:tcPr>
          <w:p w:rsidR="00B119AC" w:rsidRDefault="00B119AC">
            <w:pPr>
              <w:jc w:val="center"/>
              <w:rPr>
                <w:sz w:val="16"/>
              </w:rPr>
            </w:pPr>
          </w:p>
          <w:p w:rsidR="00B119AC" w:rsidRDefault="00B119AC">
            <w:pPr>
              <w:jc w:val="center"/>
              <w:rPr>
                <w:sz w:val="16"/>
              </w:rPr>
            </w:pPr>
            <w:r>
              <w:rPr>
                <w:sz w:val="16"/>
              </w:rPr>
              <w:t xml:space="preserve">Biudžetinė įstaiga, </w:t>
            </w:r>
            <w:bookmarkStart w:id="2" w:name="Sudarytojo_Adresas"/>
            <w:r>
              <w:rPr>
                <w:sz w:val="16"/>
              </w:rPr>
              <w:fldChar w:fldCharType="begin">
                <w:ffData>
                  <w:name w:val="Sudarytojo_Adresas"/>
                  <w:enabled/>
                  <w:calcOnExit w:val="0"/>
                  <w:statusText w:type="text" w:val="Sudarytojo duomenys: adresas, telefonas, faksas, el. paštas ir kt."/>
                  <w:textInput>
                    <w:default w:val="Gatvė g. 00, LT-00000 Miestas"/>
                    <w:maxLength w:val="120"/>
                  </w:textInput>
                </w:ffData>
              </w:fldChar>
            </w:r>
            <w:r>
              <w:rPr>
                <w:sz w:val="16"/>
              </w:rPr>
              <w:instrText xml:space="preserve"> FORMTEXT </w:instrText>
            </w:r>
            <w:r>
              <w:rPr>
                <w:sz w:val="16"/>
              </w:rPr>
            </w:r>
            <w:r>
              <w:rPr>
                <w:sz w:val="16"/>
              </w:rPr>
              <w:fldChar w:fldCharType="separate"/>
            </w:r>
            <w:r w:rsidR="0097494B">
              <w:rPr>
                <w:noProof/>
                <w:sz w:val="16"/>
              </w:rPr>
              <w:t>Konstitucijos pr. 12-101,  LT-09308 Vilnius</w:t>
            </w:r>
            <w:r>
              <w:rPr>
                <w:sz w:val="16"/>
              </w:rPr>
              <w:fldChar w:fldCharType="end"/>
            </w:r>
            <w:bookmarkEnd w:id="2"/>
            <w:r>
              <w:rPr>
                <w:sz w:val="16"/>
              </w:rPr>
              <w:t xml:space="preserve">, </w:t>
            </w:r>
          </w:p>
          <w:p w:rsidR="00B119AC" w:rsidRDefault="00B119AC" w:rsidP="005923AD">
            <w:pPr>
              <w:jc w:val="center"/>
              <w:rPr>
                <w:sz w:val="16"/>
              </w:rPr>
            </w:pPr>
            <w:r>
              <w:rPr>
                <w:sz w:val="16"/>
              </w:rPr>
              <w:t xml:space="preserve">tel. </w:t>
            </w:r>
            <w:bookmarkStart w:id="3" w:name="Sudarytojo_tel"/>
            <w:r>
              <w:rPr>
                <w:sz w:val="16"/>
              </w:rPr>
              <w:fldChar w:fldCharType="begin">
                <w:ffData>
                  <w:name w:val="Sudarytojo_tel"/>
                  <w:enabled/>
                  <w:calcOnExit w:val="0"/>
                  <w:textInput>
                    <w:default w:val="(8 0) 000 00 00"/>
                  </w:textInput>
                </w:ffData>
              </w:fldChar>
            </w:r>
            <w:r>
              <w:rPr>
                <w:sz w:val="16"/>
              </w:rPr>
              <w:instrText xml:space="preserve"> FORMTEXT </w:instrText>
            </w:r>
            <w:r>
              <w:rPr>
                <w:sz w:val="16"/>
              </w:rPr>
            </w:r>
            <w:r>
              <w:rPr>
                <w:sz w:val="16"/>
              </w:rPr>
              <w:fldChar w:fldCharType="separate"/>
            </w:r>
            <w:r w:rsidR="0097494B">
              <w:rPr>
                <w:noProof/>
                <w:sz w:val="16"/>
              </w:rPr>
              <w:t>(8 5)  272 4864</w:t>
            </w:r>
            <w:r>
              <w:rPr>
                <w:sz w:val="16"/>
              </w:rPr>
              <w:fldChar w:fldCharType="end"/>
            </w:r>
            <w:bookmarkEnd w:id="3"/>
            <w:r>
              <w:rPr>
                <w:sz w:val="16"/>
              </w:rPr>
              <w:t>,</w:t>
            </w:r>
            <w:r w:rsidR="00FD15A1">
              <w:rPr>
                <w:sz w:val="16"/>
              </w:rPr>
              <w:t xml:space="preserve"> </w:t>
            </w:r>
            <w:r>
              <w:rPr>
                <w:sz w:val="16"/>
              </w:rPr>
              <w:t xml:space="preserve"> el. p. </w:t>
            </w:r>
            <w:bookmarkStart w:id="4" w:name="Sudarytojo_eml"/>
            <w:r>
              <w:rPr>
                <w:sz w:val="16"/>
              </w:rPr>
              <w:fldChar w:fldCharType="begin">
                <w:ffData>
                  <w:name w:val="Sudarytojo_eml"/>
                  <w:enabled/>
                  <w:calcOnExit w:val="0"/>
                  <w:textInput>
                    <w:default w:val="miestas@sodra.lt"/>
                    <w:maxLength w:val="40"/>
                  </w:textInput>
                </w:ffData>
              </w:fldChar>
            </w:r>
            <w:r>
              <w:rPr>
                <w:sz w:val="16"/>
              </w:rPr>
              <w:instrText xml:space="preserve"> FORMTEXT </w:instrText>
            </w:r>
            <w:r>
              <w:rPr>
                <w:sz w:val="16"/>
              </w:rPr>
            </w:r>
            <w:r>
              <w:rPr>
                <w:sz w:val="16"/>
              </w:rPr>
              <w:fldChar w:fldCharType="separate"/>
            </w:r>
            <w:r w:rsidR="0097494B">
              <w:rPr>
                <w:noProof/>
                <w:sz w:val="16"/>
              </w:rPr>
              <w:t>info@sodra.lt</w:t>
            </w:r>
            <w:r>
              <w:rPr>
                <w:sz w:val="16"/>
              </w:rPr>
              <w:fldChar w:fldCharType="end"/>
            </w:r>
            <w:bookmarkEnd w:id="4"/>
            <w:r>
              <w:rPr>
                <w:sz w:val="16"/>
              </w:rPr>
              <w:t>,  informacija telefonu 1883.</w:t>
            </w:r>
          </w:p>
          <w:p w:rsidR="00B119AC" w:rsidRDefault="00B119AC">
            <w:pPr>
              <w:jc w:val="center"/>
              <w:rPr>
                <w:sz w:val="16"/>
              </w:rPr>
            </w:pPr>
            <w:r>
              <w:rPr>
                <w:sz w:val="16"/>
              </w:rPr>
              <w:t xml:space="preserve">Duomenys kaupiami ir saugomi Juridinių asmenų registre, kodas </w:t>
            </w:r>
            <w:bookmarkStart w:id="5" w:name="SudarKodas"/>
            <w:r>
              <w:rPr>
                <w:sz w:val="16"/>
              </w:rPr>
              <w:fldChar w:fldCharType="begin">
                <w:ffData>
                  <w:name w:val="SudarKodas"/>
                  <w:enabled/>
                  <w:calcOnExit w:val="0"/>
                  <w:statusText w:type="text" w:val="Įstaigos kodas"/>
                  <w:textInput>
                    <w:default w:val="000000000"/>
                    <w:maxLength w:val="11"/>
                  </w:textInput>
                </w:ffData>
              </w:fldChar>
            </w:r>
            <w:r>
              <w:rPr>
                <w:sz w:val="16"/>
              </w:rPr>
              <w:instrText xml:space="preserve"> FORMTEXT </w:instrText>
            </w:r>
            <w:r>
              <w:rPr>
                <w:sz w:val="16"/>
              </w:rPr>
            </w:r>
            <w:r>
              <w:rPr>
                <w:sz w:val="16"/>
              </w:rPr>
              <w:fldChar w:fldCharType="separate"/>
            </w:r>
            <w:r w:rsidR="0097494B">
              <w:rPr>
                <w:noProof/>
                <w:sz w:val="16"/>
              </w:rPr>
              <w:t>191630223</w:t>
            </w:r>
            <w:r>
              <w:rPr>
                <w:sz w:val="16"/>
              </w:rPr>
              <w:fldChar w:fldCharType="end"/>
            </w:r>
            <w:bookmarkEnd w:id="5"/>
          </w:p>
        </w:tc>
      </w:tr>
    </w:tbl>
    <w:p w:rsidR="00B119AC" w:rsidRDefault="00B119AC">
      <w:pPr>
        <w:pStyle w:val="Antrats"/>
        <w:tabs>
          <w:tab w:val="clear" w:pos="4153"/>
          <w:tab w:val="clear" w:pos="8306"/>
        </w:tabs>
      </w:pPr>
    </w:p>
    <w:tbl>
      <w:tblPr>
        <w:tblW w:w="9626" w:type="dxa"/>
        <w:tblLayout w:type="fixed"/>
        <w:tblCellMar>
          <w:left w:w="102" w:type="dxa"/>
          <w:right w:w="102" w:type="dxa"/>
        </w:tblCellMar>
        <w:tblLook w:val="0000" w:firstRow="0" w:lastRow="0" w:firstColumn="0" w:lastColumn="0" w:noHBand="0" w:noVBand="0"/>
      </w:tblPr>
      <w:tblGrid>
        <w:gridCol w:w="4962"/>
        <w:gridCol w:w="320"/>
        <w:gridCol w:w="4344"/>
      </w:tblGrid>
      <w:tr w:rsidR="00B119AC">
        <w:trPr>
          <w:cantSplit/>
          <w:trHeight w:val="555"/>
        </w:trPr>
        <w:tc>
          <w:tcPr>
            <w:tcW w:w="4962" w:type="dxa"/>
            <w:tcBorders>
              <w:bottom w:val="nil"/>
            </w:tcBorders>
          </w:tcPr>
          <w:bookmarkStart w:id="6" w:name="Adresatas"/>
          <w:p w:rsidR="00B119AC" w:rsidRDefault="00B119AC">
            <w:r>
              <w:fldChar w:fldCharType="begin">
                <w:ffData>
                  <w:name w:val="Adresatas"/>
                  <w:enabled/>
                  <w:calcOnExit w:val="0"/>
                  <w:statusText w:type="text" w:val="Adresatas (gavėjas)"/>
                  <w:textInput>
                    <w:default w:val="(Adresatas)"/>
                  </w:textInput>
                </w:ffData>
              </w:fldChar>
            </w:r>
            <w:r>
              <w:instrText xml:space="preserve"> FORMTEXT </w:instrText>
            </w:r>
            <w:r>
              <w:fldChar w:fldCharType="separate"/>
            </w:r>
            <w:r w:rsidR="0097494B">
              <w:rPr>
                <w:noProof/>
              </w:rPr>
              <w:t>Lietuvos Respublikos socialinės apsaugos ir darbo ministerijai</w:t>
            </w:r>
            <w:r>
              <w:fldChar w:fldCharType="end"/>
            </w:r>
            <w:bookmarkEnd w:id="6"/>
          </w:p>
          <w:bookmarkStart w:id="7" w:name="Adresatas_A"/>
          <w:p w:rsidR="00B119AC" w:rsidRDefault="00B119AC" w:rsidP="003C7B9F">
            <w:r>
              <w:fldChar w:fldCharType="begin">
                <w:ffData>
                  <w:name w:val="Adresatas_A"/>
                  <w:enabled/>
                  <w:calcOnExit w:val="0"/>
                  <w:statusText w:type="text" w:val="Gavėjo adresas"/>
                  <w:textInput/>
                </w:ffData>
              </w:fldChar>
            </w:r>
            <w:r>
              <w:instrText xml:space="preserve"> FORMTEXT </w:instrText>
            </w:r>
            <w:r>
              <w:fldChar w:fldCharType="separate"/>
            </w:r>
            <w:r w:rsidR="0097494B">
              <w:rPr>
                <w:noProof/>
              </w:rPr>
              <w:t>A. Vivulskio g. 11,  03610 Vilnius</w:t>
            </w:r>
            <w:r>
              <w:fldChar w:fldCharType="end"/>
            </w:r>
            <w:bookmarkEnd w:id="7"/>
          </w:p>
        </w:tc>
        <w:tc>
          <w:tcPr>
            <w:tcW w:w="320" w:type="dxa"/>
            <w:tcBorders>
              <w:bottom w:val="nil"/>
            </w:tcBorders>
          </w:tcPr>
          <w:p w:rsidR="00B119AC" w:rsidRDefault="00B119AC"/>
        </w:tc>
        <w:bookmarkStart w:id="8" w:name="Dok_Metai"/>
        <w:tc>
          <w:tcPr>
            <w:tcW w:w="4344" w:type="dxa"/>
            <w:tcBorders>
              <w:bottom w:val="nil"/>
            </w:tcBorders>
          </w:tcPr>
          <w:p w:rsidR="00B119AC" w:rsidRDefault="00B119AC">
            <w:pPr>
              <w:tabs>
                <w:tab w:val="left" w:pos="1198"/>
              </w:tabs>
            </w:pPr>
            <w:r>
              <w:fldChar w:fldCharType="begin">
                <w:ffData>
                  <w:name w:val="Dok_Metai"/>
                  <w:enabled/>
                  <w:calcOnExit w:val="0"/>
                  <w:textInput>
                    <w:type w:val="number"/>
                    <w:default w:val="2017"/>
                    <w:maxLength w:val="4"/>
                  </w:textInput>
                </w:ffData>
              </w:fldChar>
            </w:r>
            <w:r>
              <w:instrText xml:space="preserve"> FORMTEXT </w:instrText>
            </w:r>
            <w:r>
              <w:fldChar w:fldCharType="separate"/>
            </w:r>
            <w:r w:rsidR="0097494B">
              <w:rPr>
                <w:noProof/>
              </w:rPr>
              <w:t>2020</w:t>
            </w:r>
            <w:r>
              <w:fldChar w:fldCharType="end"/>
            </w:r>
            <w:bookmarkEnd w:id="8"/>
            <w:r>
              <w:t>-</w:t>
            </w:r>
            <w:bookmarkStart w:id="9" w:name="Dok_Menuo"/>
            <w:r>
              <w:fldChar w:fldCharType="begin">
                <w:ffData>
                  <w:name w:val="Dok_Menuo"/>
                  <w:enabled/>
                  <w:calcOnExit w:val="0"/>
                  <w:textInput>
                    <w:type w:val="number"/>
                    <w:maxLength w:val="2"/>
                    <w:format w:val="##"/>
                  </w:textInput>
                </w:ffData>
              </w:fldChar>
            </w:r>
            <w:r>
              <w:instrText xml:space="preserve"> FORMTEXT </w:instrText>
            </w:r>
            <w:r>
              <w:fldChar w:fldCharType="separate"/>
            </w:r>
            <w:r w:rsidR="0097494B">
              <w:rPr>
                <w:noProof/>
              </w:rPr>
              <w:t>11</w:t>
            </w:r>
            <w:r>
              <w:fldChar w:fldCharType="end"/>
            </w:r>
            <w:bookmarkEnd w:id="9"/>
            <w:r>
              <w:t>-</w:t>
            </w:r>
            <w:bookmarkStart w:id="10" w:name="Dok_Diena"/>
            <w:r>
              <w:fldChar w:fldCharType="begin">
                <w:ffData>
                  <w:name w:val="Dok_Diena"/>
                  <w:enabled/>
                  <w:calcOnExit w:val="0"/>
                  <w:textInput>
                    <w:default w:val="     "/>
                    <w:maxLength w:val="5"/>
                  </w:textInput>
                </w:ffData>
              </w:fldChar>
            </w:r>
            <w:r>
              <w:instrText xml:space="preserve"> FORMTEXT </w:instrText>
            </w:r>
            <w:r>
              <w:fldChar w:fldCharType="separate"/>
            </w:r>
            <w:r>
              <w:rPr>
                <w:noProof/>
              </w:rPr>
              <w:t xml:space="preserve">     </w:t>
            </w:r>
            <w:r>
              <w:fldChar w:fldCharType="end"/>
            </w:r>
            <w:bookmarkEnd w:id="10"/>
            <w:r>
              <w:tab/>
              <w:t xml:space="preserve"> </w:t>
            </w:r>
            <w:bookmarkStart w:id="11" w:name="Text1"/>
            <w:r>
              <w:fldChar w:fldCharType="begin">
                <w:ffData>
                  <w:name w:val="Text1"/>
                  <w:enabled/>
                  <w:calcOnExit w:val="0"/>
                  <w:textInput>
                    <w:default w:val=" Nr."/>
                  </w:textInput>
                </w:ffData>
              </w:fldChar>
            </w:r>
            <w:r>
              <w:instrText xml:space="preserve"> FORMTEXT </w:instrText>
            </w:r>
            <w:r>
              <w:fldChar w:fldCharType="separate"/>
            </w:r>
            <w:r>
              <w:rPr>
                <w:noProof/>
              </w:rPr>
              <w:t xml:space="preserve"> Nr.</w:t>
            </w:r>
            <w:r>
              <w:fldChar w:fldCharType="end"/>
            </w:r>
            <w:bookmarkEnd w:id="11"/>
            <w:r>
              <w:t xml:space="preserve"> </w:t>
            </w:r>
            <w:bookmarkStart w:id="12" w:name="Dok_Nr"/>
            <w:r>
              <w:fldChar w:fldCharType="begin">
                <w:ffData>
                  <w:name w:val="Dok_Nr"/>
                  <w:enabled/>
                  <w:calcOnExit w:val="0"/>
                  <w:statusText w:type="text" w:val="Dokumento registracijos numeris"/>
                  <w:textInput/>
                </w:ffData>
              </w:fldChar>
            </w:r>
            <w:r>
              <w:instrText xml:space="preserve"> FORMTEXT </w:instrText>
            </w:r>
            <w:r>
              <w:fldChar w:fldCharType="separate"/>
            </w:r>
            <w:r w:rsidR="0097494B">
              <w:rPr>
                <w:noProof/>
              </w:rPr>
              <w:t>(1.59E) I-</w:t>
            </w:r>
            <w:r>
              <w:fldChar w:fldCharType="end"/>
            </w:r>
            <w:bookmarkEnd w:id="12"/>
          </w:p>
          <w:bookmarkStart w:id="13" w:name="Text2"/>
          <w:p w:rsidR="00B119AC" w:rsidRDefault="00B119AC">
            <w:pPr>
              <w:tabs>
                <w:tab w:val="left" w:pos="1198"/>
              </w:tabs>
            </w:pPr>
            <w:r>
              <w:fldChar w:fldCharType="begin">
                <w:ffData>
                  <w:name w:val="Text2"/>
                  <w:enabled/>
                  <w:calcOnExit w:val="0"/>
                  <w:textInput>
                    <w:default w:val="Į"/>
                  </w:textInput>
                </w:ffData>
              </w:fldChar>
            </w:r>
            <w:r>
              <w:instrText xml:space="preserve"> FORMTEXT </w:instrText>
            </w:r>
            <w:r>
              <w:fldChar w:fldCharType="separate"/>
            </w:r>
            <w:r>
              <w:rPr>
                <w:noProof/>
              </w:rPr>
              <w:t>Į</w:t>
            </w:r>
            <w:r>
              <w:fldChar w:fldCharType="end"/>
            </w:r>
            <w:bookmarkEnd w:id="13"/>
            <w:r>
              <w:t xml:space="preserve"> </w:t>
            </w:r>
            <w:bookmarkStart w:id="14" w:name="Gauto_Data"/>
            <w:r>
              <w:fldChar w:fldCharType="begin">
                <w:ffData>
                  <w:name w:val="Gauto_Data"/>
                  <w:enabled/>
                  <w:calcOnExit/>
                  <w:statusText w:type="text" w:val="Gauto dokumento, į kurį atsakoma, data"/>
                  <w:textInput>
                    <w:maxLength w:val="10"/>
                  </w:textInput>
                </w:ffData>
              </w:fldChar>
            </w:r>
            <w:r>
              <w:instrText xml:space="preserve"> FORMTEXT </w:instrText>
            </w:r>
            <w:r>
              <w:fldChar w:fldCharType="separate"/>
            </w:r>
            <w:r w:rsidR="0097494B">
              <w:rPr>
                <w:noProof/>
              </w:rPr>
              <w:t>2020-10-23</w:t>
            </w:r>
            <w:r>
              <w:fldChar w:fldCharType="end"/>
            </w:r>
            <w:bookmarkEnd w:id="14"/>
            <w:r>
              <w:tab/>
            </w:r>
            <w:r>
              <w:fldChar w:fldCharType="begin">
                <w:ffData>
                  <w:name w:val=""/>
                  <w:enabled/>
                  <w:calcOnExit w:val="0"/>
                  <w:textInput>
                    <w:default w:val="  Nr."/>
                  </w:textInput>
                </w:ffData>
              </w:fldChar>
            </w:r>
            <w:r>
              <w:instrText xml:space="preserve"> FORMTEXT </w:instrText>
            </w:r>
            <w:r>
              <w:fldChar w:fldCharType="separate"/>
            </w:r>
            <w:r>
              <w:rPr>
                <w:noProof/>
              </w:rPr>
              <w:t xml:space="preserve">  Nr.</w:t>
            </w:r>
            <w:r>
              <w:fldChar w:fldCharType="end"/>
            </w:r>
            <w:r>
              <w:t xml:space="preserve"> </w:t>
            </w:r>
            <w:bookmarkStart w:id="15" w:name="Gauto_Nr"/>
            <w:r>
              <w:fldChar w:fldCharType="begin">
                <w:ffData>
                  <w:name w:val="Gauto_Nr"/>
                  <w:enabled/>
                  <w:calcOnExit/>
                  <w:textInput/>
                </w:ffData>
              </w:fldChar>
            </w:r>
            <w:r>
              <w:instrText xml:space="preserve"> FORMTEXT </w:instrText>
            </w:r>
            <w:r>
              <w:fldChar w:fldCharType="separate"/>
            </w:r>
            <w:r w:rsidR="0097494B">
              <w:rPr>
                <w:noProof/>
              </w:rPr>
              <w:t>(24.1E-56)STAP-862</w:t>
            </w:r>
            <w:r>
              <w:fldChar w:fldCharType="end"/>
            </w:r>
            <w:bookmarkEnd w:id="15"/>
          </w:p>
        </w:tc>
      </w:tr>
    </w:tbl>
    <w:p w:rsidR="00B119AC" w:rsidRDefault="00B119AC">
      <w:pPr>
        <w:pStyle w:val="Antrats"/>
        <w:tabs>
          <w:tab w:val="clear" w:pos="4153"/>
          <w:tab w:val="clear" w:pos="8306"/>
        </w:tabs>
      </w:pPr>
    </w:p>
    <w:p w:rsidR="00B119AC" w:rsidRDefault="00B119AC">
      <w:pPr>
        <w:pStyle w:val="Antrats"/>
        <w:tabs>
          <w:tab w:val="clear" w:pos="4153"/>
          <w:tab w:val="clear" w:pos="8306"/>
        </w:tabs>
      </w:pPr>
    </w:p>
    <w:tbl>
      <w:tblPr>
        <w:tblW w:w="0" w:type="auto"/>
        <w:tblLook w:val="0000" w:firstRow="0" w:lastRow="0" w:firstColumn="0" w:lastColumn="0" w:noHBand="0" w:noVBand="0"/>
      </w:tblPr>
      <w:tblGrid>
        <w:gridCol w:w="9638"/>
      </w:tblGrid>
      <w:tr w:rsidR="00B119AC">
        <w:tc>
          <w:tcPr>
            <w:tcW w:w="9639" w:type="dxa"/>
          </w:tcPr>
          <w:bookmarkStart w:id="16" w:name="Antraste"/>
          <w:p w:rsidR="00B119AC" w:rsidRDefault="00B119AC">
            <w:pPr>
              <w:rPr>
                <w:b/>
                <w:bCs/>
                <w:caps/>
              </w:rPr>
            </w:pPr>
            <w:r>
              <w:rPr>
                <w:b/>
                <w:bCs/>
                <w:caps/>
              </w:rPr>
              <w:fldChar w:fldCharType="begin">
                <w:ffData>
                  <w:name w:val="Antraste"/>
                  <w:enabled/>
                  <w:calcOnExit w:val="0"/>
                  <w:statusText w:type="text" w:val="Antraštė"/>
                  <w:textInput>
                    <w:default w:val="DĖL "/>
                  </w:textInput>
                </w:ffData>
              </w:fldChar>
            </w:r>
            <w:r>
              <w:rPr>
                <w:b/>
                <w:bCs/>
                <w:caps/>
              </w:rPr>
              <w:instrText xml:space="preserve"> FORMTEXT </w:instrText>
            </w:r>
            <w:r>
              <w:rPr>
                <w:b/>
                <w:bCs/>
                <w:caps/>
              </w:rPr>
            </w:r>
            <w:r>
              <w:rPr>
                <w:b/>
                <w:bCs/>
                <w:caps/>
              </w:rPr>
              <w:fldChar w:fldCharType="separate"/>
            </w:r>
            <w:r w:rsidR="0097494B">
              <w:rPr>
                <w:b/>
                <w:bCs/>
                <w:caps/>
                <w:noProof/>
              </w:rPr>
              <w:t>DĖL Lietuvos Respublikos Vyriausybės nutarimo „Dėl Lietuvos Respublikos Vyriausybės 2007 m. rugsėjo 26 d. nutarimo Nr. 1037 „Dėl Lietuvos Respublikos pensijų kaupimo dalyvių, pensijų kaupimo ir pensijų išmokų sutarčių registro nuostatų patvirtinimo“ pakeitimo“ projekto pateikimo derinti</w:t>
            </w:r>
            <w:r>
              <w:rPr>
                <w:b/>
                <w:bCs/>
                <w:caps/>
              </w:rPr>
              <w:fldChar w:fldCharType="end"/>
            </w:r>
            <w:bookmarkEnd w:id="16"/>
          </w:p>
        </w:tc>
      </w:tr>
    </w:tbl>
    <w:p w:rsidR="00B119AC" w:rsidRDefault="00B119AC"/>
    <w:p w:rsidR="00B119AC" w:rsidRDefault="00B119AC">
      <w:pPr>
        <w:sectPr w:rsidR="00B119AC" w:rsidSect="003552EB">
          <w:headerReference w:type="even" r:id="rId9"/>
          <w:headerReference w:type="default" r:id="rId10"/>
          <w:footerReference w:type="default" r:id="rId11"/>
          <w:pgSz w:w="11906" w:h="16838" w:code="9"/>
          <w:pgMar w:top="1134" w:right="567" w:bottom="1134" w:left="1701" w:header="567" w:footer="926" w:gutter="0"/>
          <w:cols w:space="708"/>
          <w:titlePg/>
          <w:docGrid w:linePitch="360"/>
        </w:sectPr>
      </w:pPr>
    </w:p>
    <w:p w:rsidR="003A4723" w:rsidRPr="00A17C68" w:rsidRDefault="003A4723" w:rsidP="003A4723">
      <w:pPr>
        <w:autoSpaceDE w:val="0"/>
        <w:autoSpaceDN w:val="0"/>
        <w:adjustRightInd w:val="0"/>
        <w:ind w:firstLine="567"/>
        <w:jc w:val="both"/>
        <w:rPr>
          <w:rFonts w:eastAsia="Calibri"/>
          <w:color w:val="000000"/>
        </w:rPr>
      </w:pPr>
      <w:r w:rsidRPr="00A17C68">
        <w:rPr>
          <w:rFonts w:eastAsia="Calibri"/>
          <w:color w:val="000000"/>
        </w:rPr>
        <w:t xml:space="preserve">Valstybinio socialinio draudimo fondo valdyboje prie Socialinės apsaugos ir darbo ministerijos (toliau – Fondo valdyba) išnagrinėjome  Lietuvos Respublikos socialinės apsaugos ir darbo ministerijos pateiktą derinimui Lietuvos Respublikos Vyriausybės nutarimo „Dėl Lietuvos Respublikos Vyriausybės 2007 m. rugsėjo 26 d. nutarimo Nr. 1037 „Dėl Lietuvos Respublikos pensijų kaupimo dalyvių, pensijų kaupimo ir pensijų išmokų sutarčių registro nuostatų patvirtinimo“ pakeitimo“ projektą Nr. </w:t>
      </w:r>
      <w:r w:rsidRPr="00A60130">
        <w:rPr>
          <w:rFonts w:eastAsia="Calibri"/>
          <w:color w:val="000000"/>
        </w:rPr>
        <w:t xml:space="preserve">20-11439(3) </w:t>
      </w:r>
      <w:r w:rsidRPr="00A17C68">
        <w:rPr>
          <w:rFonts w:eastAsia="Calibri"/>
          <w:color w:val="000000"/>
        </w:rPr>
        <w:t>(toliau – Nutarimo projektas, o juo keičiami nuostatai – Registro nuostatai).</w:t>
      </w:r>
    </w:p>
    <w:p w:rsidR="003A4723" w:rsidRDefault="003A4723" w:rsidP="003A4723">
      <w:pPr>
        <w:ind w:firstLine="567"/>
        <w:jc w:val="both"/>
      </w:pPr>
      <w:r w:rsidRPr="00A17C68">
        <w:t xml:space="preserve">Iš esmės </w:t>
      </w:r>
      <w:r w:rsidRPr="00D61CA8">
        <w:t xml:space="preserve">pritariame </w:t>
      </w:r>
      <w:r w:rsidRPr="00A17C68">
        <w:t xml:space="preserve">Nutarimo projektui, dauguma jo nuostatų suformuluota,  atsižvelgus į  Fondo valdybos 2020-09-15 rašte Nr. (1.59E) I-6341 „Dėl Vyriausybės 2007 m. rugsėjo 26 d. nutarimo Nr. 1037 „Dėl Lietuvos Respublikos pensijų kaupimo dalyvių, pensijų kaupimo ir pensijų išmokų sutarčių registro nuostatų patvirtinimo“ pakeitimo“ projekto“ išdėstytus pasiūlymus. Teikiame siūlymus dėl keleto </w:t>
      </w:r>
      <w:r>
        <w:t xml:space="preserve">Nutarimo </w:t>
      </w:r>
      <w:r w:rsidRPr="00A17C68">
        <w:t>projektu teikiamų Registro nuostatų punktų ir papunkčių:</w:t>
      </w:r>
    </w:p>
    <w:p w:rsidR="003A4723" w:rsidRPr="00A17C68" w:rsidRDefault="003A4723" w:rsidP="003A4723">
      <w:pPr>
        <w:ind w:firstLine="567"/>
        <w:jc w:val="both"/>
      </w:pPr>
    </w:p>
    <w:p w:rsidR="003A4723" w:rsidRPr="00A17C68" w:rsidRDefault="003A4723" w:rsidP="003A4723">
      <w:pPr>
        <w:ind w:firstLine="567"/>
        <w:contextualSpacing/>
        <w:jc w:val="both"/>
      </w:pPr>
      <w:r w:rsidRPr="00A17C68">
        <w:rPr>
          <w:rFonts w:eastAsia="Calibri"/>
        </w:rPr>
        <w:t>1. Siūlome Registro nuostatų 11.4</w:t>
      </w:r>
      <w:r w:rsidRPr="00A17C68">
        <w:rPr>
          <w:rFonts w:eastAsia="Calibri"/>
          <w:vertAlign w:val="superscript"/>
        </w:rPr>
        <w:t>1</w:t>
      </w:r>
      <w:r w:rsidRPr="00A17C68">
        <w:t xml:space="preserve">.1 papunktyje vartoti žodžio „sudarytojas“ </w:t>
      </w:r>
      <w:r w:rsidRPr="00A60130">
        <w:t>galininko linksnį</w:t>
      </w:r>
      <w:r w:rsidRPr="00A17C68">
        <w:t xml:space="preserve">, taip suderinti jį su tikslinamojo žodžio „dalyvį“ linksniu. Taip </w:t>
      </w:r>
      <w:r>
        <w:t xml:space="preserve">pat </w:t>
      </w:r>
      <w:r w:rsidRPr="00A17C68">
        <w:t xml:space="preserve">atkreipiame dėmesį, kad visi šio papunkčio skliausteliuose pateiktose nuorodose numatyti duomenys yra dalyvį identifikuojantys duomenys, jie visi (išskyrus asmens kodą, kurio asmuo gali neturėti) naudojami visais atvejais (gimimo data, be kita ko, yra sudėtinė asmens kodo dalis, tad šis duomuo tvarkomas visais atvejais, kai tvarkomas asmens kodas). Tuo tarpu dabartinė papunkčio redakcija gramatiškai gali būti aiškinama taip, kad 11.4.2, 11.1.7,11.1.8, 11.4.1 papunkčiuose nurodyti duomenys naudojami tik tada, kai dalyvis neturi asmens kodo). Siekdami išvengti dviprasmiško normos aiškinimo galimybės, siūlome </w:t>
      </w:r>
      <w:r w:rsidRPr="00A17C68">
        <w:rPr>
          <w:rFonts w:eastAsia="Calibri"/>
        </w:rPr>
        <w:t>11.4</w:t>
      </w:r>
      <w:r w:rsidRPr="00A17C68">
        <w:rPr>
          <w:rFonts w:eastAsia="Calibri"/>
          <w:vertAlign w:val="superscript"/>
        </w:rPr>
        <w:t>1</w:t>
      </w:r>
      <w:r w:rsidRPr="00A17C68">
        <w:t>.1 papunktį formuluoti taip (lyginamasis variantas):</w:t>
      </w:r>
    </w:p>
    <w:p w:rsidR="003A4723" w:rsidRDefault="003A4723" w:rsidP="003A4723">
      <w:pPr>
        <w:ind w:firstLine="709"/>
        <w:jc w:val="both"/>
        <w:rPr>
          <w:rStyle w:val="fontstyle01"/>
        </w:rPr>
      </w:pPr>
      <w:r w:rsidRPr="00A17C68">
        <w:t>„11.4</w:t>
      </w:r>
      <w:r w:rsidRPr="00A17C68">
        <w:rPr>
          <w:vertAlign w:val="superscript"/>
        </w:rPr>
        <w:t>1</w:t>
      </w:r>
      <w:r w:rsidRPr="00A17C68">
        <w:t xml:space="preserve">.1. </w:t>
      </w:r>
      <w:r w:rsidRPr="00A17C68">
        <w:rPr>
          <w:rStyle w:val="fontstyle01"/>
        </w:rPr>
        <w:t xml:space="preserve">prašymo </w:t>
      </w:r>
      <w:proofErr w:type="spellStart"/>
      <w:r w:rsidRPr="00A17C68">
        <w:rPr>
          <w:rStyle w:val="fontstyle01"/>
        </w:rPr>
        <w:t>sudarytoj</w:t>
      </w:r>
      <w:r w:rsidRPr="00A17C68">
        <w:rPr>
          <w:rStyle w:val="fontstyle01"/>
          <w:strike/>
        </w:rPr>
        <w:t>as</w:t>
      </w:r>
      <w:r w:rsidRPr="00A60130">
        <w:rPr>
          <w:rStyle w:val="fontstyle01"/>
          <w:b/>
        </w:rPr>
        <w:t>ą</w:t>
      </w:r>
      <w:proofErr w:type="spellEnd"/>
      <w:r w:rsidRPr="00A17C68">
        <w:rPr>
          <w:rStyle w:val="fontstyle01"/>
        </w:rPr>
        <w:t xml:space="preserve"> – dalyvį identifikuojantys duomenys (Nuostatų 11.1.1</w:t>
      </w:r>
      <w:r w:rsidRPr="00A17C68">
        <w:rPr>
          <w:rStyle w:val="fontstyle01"/>
          <w:b/>
        </w:rPr>
        <w:t>,</w:t>
      </w:r>
      <w:r w:rsidR="00AD4696">
        <w:rPr>
          <w:rStyle w:val="fontstyle01"/>
          <w:b/>
        </w:rPr>
        <w:t xml:space="preserve"> </w:t>
      </w:r>
      <w:r w:rsidR="00AD4696" w:rsidRPr="00552AF1">
        <w:rPr>
          <w:rStyle w:val="fontstyle01"/>
          <w:b/>
        </w:rPr>
        <w:t>11.1.7, 11.1.8</w:t>
      </w:r>
      <w:r w:rsidRPr="00A17C68">
        <w:rPr>
          <w:rStyle w:val="fontstyle01"/>
        </w:rPr>
        <w:t xml:space="preserve"> </w:t>
      </w:r>
      <w:r w:rsidRPr="00A17C68">
        <w:rPr>
          <w:rStyle w:val="fontstyle01"/>
          <w:strike/>
        </w:rPr>
        <w:t>ir 11.1.6 papunkčiai, o kai dalyvis neturi asmens kodo – Nuostatų</w:t>
      </w:r>
      <w:r w:rsidRPr="00AD4696">
        <w:t xml:space="preserve"> </w:t>
      </w:r>
      <w:r w:rsidR="00AD4696" w:rsidRPr="00AD4696">
        <w:t xml:space="preserve"> </w:t>
      </w:r>
      <w:r w:rsidR="00AD4696" w:rsidRPr="00AD4696">
        <w:rPr>
          <w:b/>
        </w:rPr>
        <w:t>11.4.1,</w:t>
      </w:r>
      <w:r w:rsidR="00AD4696" w:rsidRPr="00AD4696">
        <w:t xml:space="preserve"> </w:t>
      </w:r>
      <w:r w:rsidRPr="00A17C68">
        <w:rPr>
          <w:rStyle w:val="fontstyle01"/>
        </w:rPr>
        <w:t>11.4.2</w:t>
      </w:r>
      <w:r w:rsidRPr="00AD4696">
        <w:rPr>
          <w:rStyle w:val="fontstyle01"/>
          <w:strike/>
        </w:rPr>
        <w:t>, 11.1.7, 11.1.8</w:t>
      </w:r>
      <w:r w:rsidRPr="00AD4696">
        <w:rPr>
          <w:rStyle w:val="fontstyle01"/>
          <w:b/>
          <w:strike/>
        </w:rPr>
        <w:t>,</w:t>
      </w:r>
      <w:r w:rsidRPr="00AD4696">
        <w:rPr>
          <w:rStyle w:val="fontstyle01"/>
          <w:strike/>
        </w:rPr>
        <w:t xml:space="preserve"> ir 11.4.1</w:t>
      </w:r>
      <w:r w:rsidRPr="00A17C68">
        <w:rPr>
          <w:rStyle w:val="fontstyle01"/>
        </w:rPr>
        <w:t xml:space="preserve"> papunkčiai</w:t>
      </w:r>
      <w:r w:rsidRPr="00A60130">
        <w:rPr>
          <w:rStyle w:val="fontstyle01"/>
        </w:rPr>
        <w:t xml:space="preserve"> </w:t>
      </w:r>
      <w:r w:rsidRPr="00A17C68">
        <w:rPr>
          <w:rStyle w:val="fontstyle01"/>
          <w:b/>
        </w:rPr>
        <w:t>ir 11.1.6 papunktis, išskyrus atvejus, kai dalyvis neturi asmens kodo</w:t>
      </w:r>
      <w:r w:rsidRPr="00A17C68">
        <w:rPr>
          <w:rStyle w:val="fontstyle01"/>
        </w:rPr>
        <w:t>);</w:t>
      </w:r>
      <w:r w:rsidRPr="00A60130">
        <w:rPr>
          <w:rStyle w:val="fontstyle01"/>
        </w:rPr>
        <w:t>“.</w:t>
      </w:r>
    </w:p>
    <w:p w:rsidR="003A4723" w:rsidRPr="00A60130" w:rsidRDefault="003A4723" w:rsidP="003A4723">
      <w:pPr>
        <w:ind w:firstLine="709"/>
        <w:jc w:val="both"/>
        <w:rPr>
          <w:rStyle w:val="fontstyle01"/>
        </w:rPr>
      </w:pPr>
      <w:bookmarkStart w:id="17" w:name="_GoBack"/>
      <w:bookmarkEnd w:id="17"/>
    </w:p>
    <w:p w:rsidR="003A4723" w:rsidRPr="00D61CA8" w:rsidRDefault="003A4723" w:rsidP="003A4723">
      <w:pPr>
        <w:ind w:firstLine="709"/>
        <w:jc w:val="both"/>
      </w:pPr>
      <w:r w:rsidRPr="00A60130">
        <w:rPr>
          <w:rStyle w:val="fontstyle01"/>
        </w:rPr>
        <w:t xml:space="preserve">2. Atsižvelgiant į tai, kad </w:t>
      </w:r>
      <w:r w:rsidRPr="00A17C68">
        <w:t>11.4</w:t>
      </w:r>
      <w:r w:rsidRPr="00A17C68">
        <w:rPr>
          <w:vertAlign w:val="superscript"/>
        </w:rPr>
        <w:t>1</w:t>
      </w:r>
      <w:r w:rsidRPr="00A17C68">
        <w:t xml:space="preserve"> papunktyje vardinami </w:t>
      </w:r>
      <w:r w:rsidRPr="00D61CA8">
        <w:rPr>
          <w:i/>
        </w:rPr>
        <w:t>prašyme</w:t>
      </w:r>
      <w:r w:rsidRPr="00D61CA8">
        <w:t xml:space="preserve"> nurodyti kontaktiniai duomenys, kurie nebūtinai turi sutapti su asmens deklaruota ar faktine gyvenamąja vieta ir nėra skirti </w:t>
      </w:r>
      <w:r w:rsidRPr="00D61CA8">
        <w:lastRenderedPageBreak/>
        <w:t xml:space="preserve">joms pakeisti, taip pat </w:t>
      </w:r>
      <w:r w:rsidRPr="00D61CA8">
        <w:rPr>
          <w:i/>
        </w:rPr>
        <w:t>prašymo</w:t>
      </w:r>
      <w:r w:rsidRPr="00D61CA8">
        <w:t xml:space="preserve"> teikimas nėra saistomas sąlyga nurodyti tik deklaruotą ar faktinę gyvenamąją vietą, siūlome išbraukti perteklinius žodžius „</w:t>
      </w:r>
      <w:r w:rsidRPr="00D61CA8">
        <w:rPr>
          <w:b/>
          <w:lang w:eastAsia="lt-LT"/>
        </w:rPr>
        <w:t>deklaruotos arba faktinės gyvenamosios vietos</w:t>
      </w:r>
      <w:r w:rsidRPr="00D61CA8">
        <w:t xml:space="preserve">“, kitaip </w:t>
      </w:r>
      <w:r w:rsidRPr="00D61CA8">
        <w:rPr>
          <w:i/>
        </w:rPr>
        <w:t>prašymo</w:t>
      </w:r>
      <w:r w:rsidRPr="00D61CA8">
        <w:t xml:space="preserve"> pildymo ir teikimo procedūra ir Registro nuostatų reikalavimai dėl tvarkytinų duomenų prieštaraus tarpusavyje, nebus užtikrinta pareiga tvarkyti teisingus duomenis. Šiame papunktyje tvarkytini būtent kontaktiniai asmens duomenys, susiję su konkrečiu </w:t>
      </w:r>
      <w:r w:rsidRPr="00D61CA8">
        <w:rPr>
          <w:i/>
        </w:rPr>
        <w:t>prašymu</w:t>
      </w:r>
      <w:r w:rsidRPr="00D61CA8">
        <w:t xml:space="preserve"> dėl pensijų anuiteto įsigijimo,  kuriuos asmuo gali pasirinkti nevaržomai. </w:t>
      </w:r>
    </w:p>
    <w:p w:rsidR="003A4723" w:rsidRPr="00A17C68" w:rsidRDefault="003A4723" w:rsidP="003A4723">
      <w:pPr>
        <w:ind w:firstLine="709"/>
        <w:jc w:val="both"/>
      </w:pPr>
    </w:p>
    <w:p w:rsidR="003A4723" w:rsidRPr="00A17C68" w:rsidRDefault="003A4723" w:rsidP="003A4723">
      <w:pPr>
        <w:ind w:firstLine="709"/>
        <w:jc w:val="both"/>
        <w:rPr>
          <w:b/>
          <w:bCs/>
          <w:color w:val="000000"/>
          <w:lang w:eastAsia="lt-LT"/>
        </w:rPr>
      </w:pPr>
      <w:r w:rsidRPr="00A17C68">
        <w:t>3. 11.4</w:t>
      </w:r>
      <w:r w:rsidRPr="00A17C68">
        <w:rPr>
          <w:vertAlign w:val="superscript"/>
        </w:rPr>
        <w:t>1</w:t>
      </w:r>
      <w:r w:rsidRPr="00A17C68">
        <w:t xml:space="preserve">.5.6 papunkčio formuluotė leidžia ją aiškinti taip, kad vietoj </w:t>
      </w:r>
      <w:r w:rsidRPr="00A17C68">
        <w:rPr>
          <w:bCs/>
          <w:color w:val="000000"/>
          <w:lang w:eastAsia="lt-LT"/>
        </w:rPr>
        <w:t>užsienio valstybėje įregistruotoje kredito  įstaigoje turimos sąskaitos nurodomas įstaigos SWIFT (BIC) kodas, kai tuo tarpu šis duomuo turi būti nurodomas papildomai. Todėl siūlome šį papunktį formuluoti taip (lyginamasis variantas):</w:t>
      </w:r>
    </w:p>
    <w:p w:rsidR="003A4723" w:rsidRDefault="003A4723" w:rsidP="003A4723">
      <w:pPr>
        <w:ind w:firstLine="709"/>
        <w:jc w:val="both"/>
        <w:rPr>
          <w:bCs/>
          <w:color w:val="000000"/>
          <w:lang w:eastAsia="lt-LT"/>
        </w:rPr>
      </w:pPr>
      <w:r w:rsidRPr="00A17C68">
        <w:t>„11.4</w:t>
      </w:r>
      <w:r w:rsidRPr="00A17C68">
        <w:rPr>
          <w:vertAlign w:val="superscript"/>
        </w:rPr>
        <w:t>1</w:t>
      </w:r>
      <w:r w:rsidRPr="00A17C68">
        <w:t xml:space="preserve">.5.6. </w:t>
      </w:r>
      <w:r w:rsidRPr="00A17C68">
        <w:rPr>
          <w:bCs/>
          <w:color w:val="000000"/>
          <w:lang w:eastAsia="lt-LT"/>
        </w:rPr>
        <w:t>sąskaitos</w:t>
      </w:r>
      <w:r w:rsidRPr="00A17C68">
        <w:rPr>
          <w:color w:val="000000"/>
          <w:lang w:eastAsia="lt-LT"/>
        </w:rPr>
        <w:t>, į kurią prašoma pervesti pensijų anuitetą, duomenys:</w:t>
      </w:r>
      <w:r w:rsidRPr="00A17C68">
        <w:rPr>
          <w:bCs/>
          <w:color w:val="000000"/>
          <w:lang w:eastAsia="lt-LT"/>
        </w:rPr>
        <w:t xml:space="preserve"> numeris, o jei sąskaita yra užsienio valstybėje įregistruotoje kredito, mokėjimo ar elektroninių pinigų įstaigoje – </w:t>
      </w:r>
      <w:r w:rsidRPr="00A17C68">
        <w:rPr>
          <w:b/>
          <w:bCs/>
          <w:color w:val="000000"/>
          <w:lang w:eastAsia="lt-LT"/>
        </w:rPr>
        <w:t xml:space="preserve">ir </w:t>
      </w:r>
      <w:r w:rsidRPr="00A17C68">
        <w:rPr>
          <w:bCs/>
          <w:color w:val="000000"/>
          <w:lang w:eastAsia="lt-LT"/>
        </w:rPr>
        <w:t>nurodytos įstaigos SWIFT (BIC) kodas;“.</w:t>
      </w:r>
    </w:p>
    <w:p w:rsidR="003A4723" w:rsidRPr="00A17C68" w:rsidRDefault="003A4723" w:rsidP="003A4723">
      <w:pPr>
        <w:ind w:firstLine="709"/>
        <w:jc w:val="both"/>
        <w:rPr>
          <w:bCs/>
          <w:color w:val="000000"/>
          <w:lang w:eastAsia="lt-LT"/>
        </w:rPr>
      </w:pPr>
    </w:p>
    <w:p w:rsidR="003A4723" w:rsidRDefault="003A4723" w:rsidP="003A4723">
      <w:pPr>
        <w:ind w:firstLine="709"/>
        <w:jc w:val="both"/>
        <w:rPr>
          <w:bCs/>
          <w:lang w:eastAsia="lt-LT"/>
        </w:rPr>
      </w:pPr>
      <w:r w:rsidRPr="00A17C68">
        <w:rPr>
          <w:bCs/>
          <w:color w:val="000000"/>
          <w:lang w:eastAsia="lt-LT"/>
        </w:rPr>
        <w:t xml:space="preserve">4. Siūlome </w:t>
      </w:r>
      <w:r w:rsidRPr="00A17C68">
        <w:t>11.4</w:t>
      </w:r>
      <w:r w:rsidRPr="00A17C68">
        <w:rPr>
          <w:vertAlign w:val="superscript"/>
        </w:rPr>
        <w:t>1</w:t>
      </w:r>
      <w:r w:rsidRPr="00A17C68">
        <w:t xml:space="preserve">.5.7 papunktyje atsisakyti konkrečių </w:t>
      </w:r>
      <w:r w:rsidRPr="00A17C68">
        <w:rPr>
          <w:bCs/>
          <w:lang w:eastAsia="lt-LT"/>
        </w:rPr>
        <w:t>atstovavimo pagrindų variantų vardinimo (baigtinio sąrašo), nes tai gali sukelti praktinio įgyvendinimo problemų, atsiradus, paaiškėjus kitokiam atstovavimo pagrindui, numatytam teisės aktuose.</w:t>
      </w:r>
    </w:p>
    <w:p w:rsidR="003A4723" w:rsidRPr="00A17C68" w:rsidRDefault="003A4723" w:rsidP="003A4723">
      <w:pPr>
        <w:ind w:firstLine="709"/>
        <w:jc w:val="both"/>
        <w:rPr>
          <w:bCs/>
          <w:lang w:eastAsia="lt-LT"/>
        </w:rPr>
      </w:pPr>
    </w:p>
    <w:p w:rsidR="003A4723" w:rsidRDefault="003A4723" w:rsidP="003A4723">
      <w:pPr>
        <w:ind w:firstLine="709"/>
        <w:jc w:val="both"/>
      </w:pPr>
      <w:r w:rsidRPr="00A17C68">
        <w:t>5. Remdamiesi argumentais, nurodytais siūlymuose dėl Registrų nuostatų 11.4</w:t>
      </w:r>
      <w:r w:rsidRPr="00A17C68">
        <w:rPr>
          <w:vertAlign w:val="superscript"/>
        </w:rPr>
        <w:t>1</w:t>
      </w:r>
      <w:r w:rsidRPr="00A17C68">
        <w:t>.1 papunkčio,  siūlome analogiškai patikslinti Registrų nuostatų 11.4</w:t>
      </w:r>
      <w:r w:rsidRPr="00A17C68">
        <w:rPr>
          <w:vertAlign w:val="superscript"/>
        </w:rPr>
        <w:t>2</w:t>
      </w:r>
      <w:r w:rsidRPr="00A17C68">
        <w:t>.2 papunktį (skliausteliuose dėstomą tekstą)</w:t>
      </w:r>
      <w:r>
        <w:t xml:space="preserve"> ir jį išdėstyti taip</w:t>
      </w:r>
      <w:r w:rsidR="00AD4696">
        <w:t xml:space="preserve"> (lyginamasis variantas)</w:t>
      </w:r>
      <w:r>
        <w:t>:</w:t>
      </w:r>
    </w:p>
    <w:p w:rsidR="003A4723" w:rsidRPr="003F0ACF" w:rsidRDefault="003A4723" w:rsidP="003A4723">
      <w:pPr>
        <w:ind w:firstLine="709"/>
        <w:jc w:val="both"/>
      </w:pPr>
      <w:r w:rsidRPr="003F0ACF">
        <w:t>„11.4</w:t>
      </w:r>
      <w:r w:rsidRPr="003F0ACF">
        <w:rPr>
          <w:vertAlign w:val="superscript"/>
        </w:rPr>
        <w:t>2</w:t>
      </w:r>
      <w:r w:rsidRPr="003F0ACF">
        <w:t xml:space="preserve">.2. dalyvį, kuriam priimtas sprendimas, identifikuojantys duomenys </w:t>
      </w:r>
      <w:r w:rsidRPr="00A17C68">
        <w:rPr>
          <w:rStyle w:val="fontstyle01"/>
        </w:rPr>
        <w:t>(Nuostatų 11.1.1</w:t>
      </w:r>
      <w:r w:rsidRPr="00A17C68">
        <w:rPr>
          <w:rStyle w:val="fontstyle01"/>
          <w:b/>
        </w:rPr>
        <w:t>,</w:t>
      </w:r>
      <w:r w:rsidR="00AD4696">
        <w:rPr>
          <w:rStyle w:val="fontstyle01"/>
          <w:b/>
        </w:rPr>
        <w:t xml:space="preserve"> </w:t>
      </w:r>
      <w:r w:rsidRPr="00A17C68">
        <w:rPr>
          <w:rStyle w:val="fontstyle01"/>
        </w:rPr>
        <w:t xml:space="preserve"> </w:t>
      </w:r>
      <w:r w:rsidRPr="00A17C68">
        <w:rPr>
          <w:rStyle w:val="fontstyle01"/>
          <w:strike/>
        </w:rPr>
        <w:t>ir 11.1.6 papunkčiai, o kai dalyvis neturi asmens kodo – Nuostatų</w:t>
      </w:r>
      <w:r w:rsidR="00AD4696">
        <w:t xml:space="preserve"> </w:t>
      </w:r>
      <w:r w:rsidR="00AD4696" w:rsidRPr="00AD4696">
        <w:rPr>
          <w:rStyle w:val="fontstyle01"/>
          <w:b/>
        </w:rPr>
        <w:t>11.1.7, 11.1.8,</w:t>
      </w:r>
      <w:r w:rsidR="00AD4696" w:rsidRPr="00A17C68">
        <w:rPr>
          <w:rStyle w:val="fontstyle01"/>
        </w:rPr>
        <w:t xml:space="preserve"> </w:t>
      </w:r>
      <w:r w:rsidR="00AD4696" w:rsidRPr="00AD4696">
        <w:rPr>
          <w:rStyle w:val="fontstyle01"/>
          <w:b/>
        </w:rPr>
        <w:t>11.4.1,</w:t>
      </w:r>
      <w:r w:rsidR="00AD4696" w:rsidRPr="00A17C68">
        <w:rPr>
          <w:rStyle w:val="fontstyle01"/>
        </w:rPr>
        <w:t xml:space="preserve"> </w:t>
      </w:r>
      <w:r w:rsidRPr="00A17C68">
        <w:rPr>
          <w:rStyle w:val="fontstyle01"/>
        </w:rPr>
        <w:t xml:space="preserve">11.4.2, </w:t>
      </w:r>
      <w:r w:rsidRPr="00AD4696">
        <w:rPr>
          <w:rStyle w:val="fontstyle01"/>
          <w:strike/>
        </w:rPr>
        <w:t>11.1.7, 11.1.8</w:t>
      </w:r>
      <w:r w:rsidRPr="00AD4696">
        <w:rPr>
          <w:rStyle w:val="fontstyle01"/>
          <w:b/>
          <w:strike/>
        </w:rPr>
        <w:t>,</w:t>
      </w:r>
      <w:r w:rsidRPr="00AD4696">
        <w:rPr>
          <w:rStyle w:val="fontstyle01"/>
          <w:strike/>
        </w:rPr>
        <w:t xml:space="preserve"> ir</w:t>
      </w:r>
      <w:r w:rsidRPr="00A17C68">
        <w:rPr>
          <w:rStyle w:val="fontstyle01"/>
        </w:rPr>
        <w:t xml:space="preserve"> </w:t>
      </w:r>
      <w:r w:rsidRPr="00AD4696">
        <w:rPr>
          <w:rStyle w:val="fontstyle01"/>
          <w:strike/>
        </w:rPr>
        <w:t>11.4.1</w:t>
      </w:r>
      <w:r w:rsidRPr="00A17C68">
        <w:rPr>
          <w:rStyle w:val="fontstyle01"/>
        </w:rPr>
        <w:t xml:space="preserve"> papunkčiai</w:t>
      </w:r>
      <w:r w:rsidRPr="00A60130">
        <w:rPr>
          <w:rStyle w:val="fontstyle01"/>
        </w:rPr>
        <w:t xml:space="preserve"> </w:t>
      </w:r>
      <w:r w:rsidRPr="00A17C68">
        <w:rPr>
          <w:rStyle w:val="fontstyle01"/>
          <w:b/>
        </w:rPr>
        <w:t>ir 11.1.6 papunktis, išskyrus atvejus, kai dalyvis neturi asmens kodo</w:t>
      </w:r>
      <w:r w:rsidRPr="00A17C68">
        <w:rPr>
          <w:rStyle w:val="fontstyle01"/>
        </w:rPr>
        <w:t>)</w:t>
      </w:r>
      <w:r w:rsidRPr="003F0ACF">
        <w:rPr>
          <w:color w:val="000000"/>
        </w:rPr>
        <w:t>;</w:t>
      </w:r>
      <w:r>
        <w:t>“</w:t>
      </w:r>
    </w:p>
    <w:p w:rsidR="00AD4696" w:rsidRPr="00A17C68" w:rsidRDefault="00AD4696" w:rsidP="003A4723">
      <w:pPr>
        <w:ind w:firstLine="709"/>
        <w:jc w:val="both"/>
      </w:pPr>
    </w:p>
    <w:p w:rsidR="003A4723" w:rsidRPr="00D11DDA" w:rsidRDefault="003A4723" w:rsidP="003A4723">
      <w:pPr>
        <w:ind w:firstLine="709"/>
        <w:jc w:val="both"/>
      </w:pPr>
      <w:r w:rsidRPr="00D11DDA">
        <w:t>6. Remdamiesi argumentais, nurodytais siūlymuose dėl Registrų nuostatų 11.4</w:t>
      </w:r>
      <w:r w:rsidRPr="00D11DDA">
        <w:rPr>
          <w:vertAlign w:val="superscript"/>
        </w:rPr>
        <w:t>1</w:t>
      </w:r>
      <w:r w:rsidRPr="00D11DDA">
        <w:t>.5.6 papunkčio,  siūlome analogiškai patikslinti Registrų nuostatų 11.4</w:t>
      </w:r>
      <w:r w:rsidRPr="00D11DDA">
        <w:rPr>
          <w:vertAlign w:val="superscript"/>
        </w:rPr>
        <w:t>2</w:t>
      </w:r>
      <w:r w:rsidRPr="00D11DDA">
        <w:t>.3.6.</w:t>
      </w:r>
      <w:r w:rsidRPr="00D11DDA">
        <w:rPr>
          <w:color w:val="000000"/>
          <w:lang w:eastAsia="lt-LT"/>
        </w:rPr>
        <w:t xml:space="preserve"> </w:t>
      </w:r>
      <w:r w:rsidRPr="00D11DDA">
        <w:t>papunktį, ir jį išdėstyti taip</w:t>
      </w:r>
      <w:r w:rsidR="00AD4696">
        <w:t xml:space="preserve"> (lyginamasis variantas)</w:t>
      </w:r>
      <w:r w:rsidRPr="00D11DDA">
        <w:t>:</w:t>
      </w:r>
    </w:p>
    <w:p w:rsidR="003A4723" w:rsidRPr="00D11DDA" w:rsidRDefault="003A4723" w:rsidP="003A4723">
      <w:pPr>
        <w:ind w:firstLine="709"/>
        <w:jc w:val="both"/>
      </w:pPr>
      <w:r w:rsidRPr="00D11DDA">
        <w:t>„11.4</w:t>
      </w:r>
      <w:r w:rsidRPr="00D11DDA">
        <w:rPr>
          <w:vertAlign w:val="superscript"/>
        </w:rPr>
        <w:t>2</w:t>
      </w:r>
      <w:r w:rsidRPr="00D11DDA">
        <w:t>.3.6.</w:t>
      </w:r>
      <w:r w:rsidRPr="00D11DDA">
        <w:rPr>
          <w:color w:val="000000"/>
        </w:rPr>
        <w:t xml:space="preserve"> </w:t>
      </w:r>
      <w:r w:rsidRPr="00D11DDA">
        <w:rPr>
          <w:bCs/>
          <w:color w:val="000000"/>
          <w:lang w:eastAsia="lt-LT"/>
        </w:rPr>
        <w:t>sąskaitos</w:t>
      </w:r>
      <w:r w:rsidRPr="00D11DDA">
        <w:rPr>
          <w:color w:val="000000"/>
          <w:lang w:eastAsia="lt-LT"/>
        </w:rPr>
        <w:t>, į kurią prašoma pervesti pensijų anuitetą, duomenys:</w:t>
      </w:r>
      <w:r w:rsidRPr="00D11DDA">
        <w:rPr>
          <w:bCs/>
          <w:color w:val="000000"/>
          <w:lang w:eastAsia="lt-LT"/>
        </w:rPr>
        <w:t xml:space="preserve"> numeris, o jei sąskaita yra užsienio valstybėje įregistruotoje kredito, mokėjimo ar elektroninių pinigų įstaigoje – </w:t>
      </w:r>
      <w:r w:rsidRPr="00D11DDA">
        <w:rPr>
          <w:b/>
          <w:bCs/>
          <w:color w:val="000000"/>
          <w:lang w:eastAsia="lt-LT"/>
        </w:rPr>
        <w:t xml:space="preserve">ir </w:t>
      </w:r>
      <w:r w:rsidRPr="00D11DDA">
        <w:rPr>
          <w:bCs/>
          <w:color w:val="000000"/>
          <w:lang w:eastAsia="lt-LT"/>
        </w:rPr>
        <w:t>nurodytos įstaigos SWIFT (BIC) kodas;“</w:t>
      </w:r>
    </w:p>
    <w:p w:rsidR="003A4723" w:rsidRPr="00D11DDA" w:rsidRDefault="003A4723" w:rsidP="003A4723">
      <w:pPr>
        <w:ind w:firstLine="709"/>
        <w:jc w:val="both"/>
      </w:pPr>
    </w:p>
    <w:p w:rsidR="003A4723" w:rsidRPr="00A17C68" w:rsidRDefault="003A4723" w:rsidP="003A4723">
      <w:pPr>
        <w:ind w:firstLine="709"/>
        <w:jc w:val="both"/>
        <w:rPr>
          <w:rFonts w:eastAsia="Calibri"/>
        </w:rPr>
      </w:pPr>
      <w:r w:rsidRPr="00A17C68">
        <w:t>7. Siūlome Registr</w:t>
      </w:r>
      <w:r w:rsidR="00AD4696">
        <w:t>o</w:t>
      </w:r>
      <w:r w:rsidRPr="00A17C68">
        <w:t xml:space="preserve"> nuostatų 14 punkto priešpaskutiniame sakinyje atsisakyti detalizuojančių nuostatų ir vietoj dvitaškio dėti tašką – detalizuojančios nuorodos į papunkčius yra, viena vertus, netikslios ir, kita vertus, netikslingos praktinio taikymo požiūriu – pagal iki dvitaškio dėstomą formuluotę, aišku, jog bet kokie duomenys (informacija), jei jie pagal Registro nuostatus nėra gaunami i</w:t>
      </w:r>
      <w:r w:rsidR="00AD4696">
        <w:t>š</w:t>
      </w:r>
      <w:r w:rsidRPr="00A17C68">
        <w:t xml:space="preserve"> susijusių registrų ar pateikti duomenų teikėjų, yra įrašomi Fondo valdybos taikomųjų sistemų duomenų pagrindu. Tuo tarpu iš susijusių registrų gaunami duomenys ir iš duomenų teikėjų teikiami duomenys yra išvardinti Registro nuostatuose. Taip pat siūlome paskutinį šio papunkčio sakinį struktūriškai atskirti nuo likusio teksto ir  dėstyti atskiroje  pastraipoje. Atsižvelgdami į tai, kas išdėstyta, siūlome </w:t>
      </w:r>
      <w:r w:rsidRPr="00A17C68">
        <w:rPr>
          <w:rFonts w:eastAsia="Calibri"/>
        </w:rPr>
        <w:t xml:space="preserve"> Registro nuostatų 14 punktą išdėstyti taip (lyginamasis variantas):</w:t>
      </w:r>
    </w:p>
    <w:p w:rsidR="003A4723" w:rsidRPr="00A60130" w:rsidRDefault="003A4723" w:rsidP="003A4723">
      <w:pPr>
        <w:ind w:firstLine="567"/>
        <w:jc w:val="both"/>
        <w:rPr>
          <w:bCs/>
        </w:rPr>
      </w:pPr>
      <w:r w:rsidRPr="00A17C68">
        <w:t>„</w:t>
      </w:r>
      <w:r w:rsidRPr="00A60130">
        <w:t xml:space="preserve">14. </w:t>
      </w:r>
      <w:r w:rsidRPr="00A60130">
        <w:rPr>
          <w:bCs/>
        </w:rPr>
        <w:t xml:space="preserve">Dalyvius, įtrauktus į pensijų kaupimą Pensijų kaupimo įstatymo 6 straipsnyje nustatyta tvarka, sprendimus dėl pensijų anuiteto mokėjimo, dalyvio </w:t>
      </w:r>
      <w:proofErr w:type="spellStart"/>
      <w:r w:rsidRPr="00A60130">
        <w:rPr>
          <w:bCs/>
        </w:rPr>
        <w:t>atsisakymus</w:t>
      </w:r>
      <w:proofErr w:type="spellEnd"/>
      <w:r w:rsidRPr="00A60130">
        <w:rPr>
          <w:bCs/>
        </w:rPr>
        <w:t xml:space="preserve"> dalyvauti pensijų kaupime, </w:t>
      </w:r>
      <w:r w:rsidRPr="00A60130">
        <w:rPr>
          <w:bCs/>
          <w:color w:val="000000"/>
        </w:rPr>
        <w:t xml:space="preserve">dalyvio prašymus dėl pensijų anuiteto įsigijimo, pateiktus tiesiogiai Fondo valdybai ar jos teritoriniams skyriams, </w:t>
      </w:r>
      <w:r w:rsidRPr="00A60130">
        <w:rPr>
          <w:bCs/>
        </w:rPr>
        <w:t xml:space="preserve">dalyvio vienašališkus </w:t>
      </w:r>
      <w:proofErr w:type="spellStart"/>
      <w:r w:rsidRPr="00A60130">
        <w:rPr>
          <w:bCs/>
        </w:rPr>
        <w:t>atsisakymus</w:t>
      </w:r>
      <w:proofErr w:type="spellEnd"/>
      <w:r w:rsidRPr="00A60130">
        <w:rPr>
          <w:bCs/>
        </w:rPr>
        <w:t xml:space="preserve"> įsigyti pensijų anuitetą, pateiktus Pensijų kaupimo įstatymo 33 straipsnio 8 dalyje nustatyta tvarka, Fondo valdyba registruoja savo informacinės sistemos taikomųjų sistemų duomenų pagrindu. Registro objektų duomenis ir informaciją, kurie pagal Nuostatus nėra gaunami iš susijusių registrų ar teikiami duomenų teikėjų, Fondo valdyba įrašo savo informacinės sistemos taikomųjų sistemų duomenų pagrindu</w:t>
      </w:r>
      <w:r w:rsidRPr="00A17C68">
        <w:rPr>
          <w:bCs/>
          <w:strike/>
        </w:rPr>
        <w:t xml:space="preserve">: dalyvių, įtrauktų į pensijų kaupimą Pensijų kaupimo įstatymo 6 straipsnyje nustatyta tvarka, duomenis, nurodytus Nuostatų </w:t>
      </w:r>
      <w:r w:rsidRPr="00A60130">
        <w:rPr>
          <w:bCs/>
          <w:strike/>
        </w:rPr>
        <w:t>11.1.2</w:t>
      </w:r>
      <w:r w:rsidRPr="00A17C68">
        <w:rPr>
          <w:bCs/>
          <w:strike/>
        </w:rPr>
        <w:t>–11.1.5 ir 11.2.1 papunkčiuose, sprendimų dėl pensijų anuiteto mokėjimo duomenis, nurodytus Nuostatų 11.1.16, 11.4</w:t>
      </w:r>
      <w:r w:rsidRPr="00A17C68">
        <w:rPr>
          <w:bCs/>
          <w:strike/>
          <w:vertAlign w:val="superscript"/>
        </w:rPr>
        <w:t>2</w:t>
      </w:r>
      <w:r w:rsidRPr="00A17C68">
        <w:rPr>
          <w:bCs/>
          <w:strike/>
        </w:rPr>
        <w:t>.1, 11.4</w:t>
      </w:r>
      <w:r w:rsidRPr="00A17C68">
        <w:rPr>
          <w:bCs/>
          <w:strike/>
          <w:vertAlign w:val="superscript"/>
        </w:rPr>
        <w:t>2</w:t>
      </w:r>
      <w:r w:rsidRPr="00A17C68">
        <w:rPr>
          <w:bCs/>
          <w:strike/>
        </w:rPr>
        <w:t>.3, 11.4</w:t>
      </w:r>
      <w:r w:rsidRPr="00A17C68">
        <w:rPr>
          <w:bCs/>
          <w:strike/>
          <w:vertAlign w:val="superscript"/>
        </w:rPr>
        <w:t>2</w:t>
      </w:r>
      <w:r w:rsidRPr="00A17C68">
        <w:rPr>
          <w:bCs/>
          <w:strike/>
        </w:rPr>
        <w:t>.4 ir 11.4</w:t>
      </w:r>
      <w:r w:rsidRPr="00A17C68">
        <w:rPr>
          <w:bCs/>
          <w:strike/>
          <w:vertAlign w:val="superscript"/>
        </w:rPr>
        <w:t>2</w:t>
      </w:r>
      <w:r w:rsidRPr="00A17C68">
        <w:rPr>
          <w:bCs/>
          <w:strike/>
        </w:rPr>
        <w:t>.7</w:t>
      </w:r>
      <w:r w:rsidRPr="00A17C68">
        <w:rPr>
          <w:strike/>
        </w:rPr>
        <w:t xml:space="preserve"> </w:t>
      </w:r>
      <w:r w:rsidRPr="00A17C68">
        <w:rPr>
          <w:bCs/>
          <w:strike/>
        </w:rPr>
        <w:t xml:space="preserve">papunkčiuose, dalyvio atsisakymo dalyvauti pensijų kaupime duomenis  </w:t>
      </w:r>
      <w:r w:rsidRPr="00A60130">
        <w:rPr>
          <w:bCs/>
          <w:strike/>
        </w:rPr>
        <w:t>ir informaciją,</w:t>
      </w:r>
      <w:r w:rsidRPr="00A17C68">
        <w:rPr>
          <w:bCs/>
          <w:strike/>
        </w:rPr>
        <w:t xml:space="preserve"> nurodytus Nuostatų 11.1.13 ir 11.5.12 papunkčiuose, </w:t>
      </w:r>
      <w:r w:rsidRPr="00A17C68">
        <w:rPr>
          <w:bCs/>
          <w:strike/>
          <w:color w:val="000000"/>
        </w:rPr>
        <w:t>dalyvio prašymų dėl pensijų anuiteto įsigijimo, pateiktų tiesiogiai Fondo valdybai ar jos teritoriniams skyriams, duomenis, nurodytus Nuostatų 11.4</w:t>
      </w:r>
      <w:r w:rsidRPr="00A17C68">
        <w:rPr>
          <w:bCs/>
          <w:strike/>
          <w:color w:val="000000"/>
          <w:vertAlign w:val="superscript"/>
        </w:rPr>
        <w:t>1</w:t>
      </w:r>
      <w:r w:rsidRPr="00A17C68">
        <w:rPr>
          <w:bCs/>
          <w:strike/>
          <w:color w:val="000000"/>
        </w:rPr>
        <w:t>.2–11.4</w:t>
      </w:r>
      <w:r w:rsidRPr="00A17C68">
        <w:rPr>
          <w:bCs/>
          <w:strike/>
          <w:color w:val="000000"/>
          <w:vertAlign w:val="superscript"/>
        </w:rPr>
        <w:t>1</w:t>
      </w:r>
      <w:r w:rsidRPr="00A17C68">
        <w:rPr>
          <w:bCs/>
          <w:strike/>
          <w:color w:val="000000"/>
        </w:rPr>
        <w:t xml:space="preserve">.4 papunkčiuose, </w:t>
      </w:r>
      <w:r w:rsidRPr="00A17C68">
        <w:rPr>
          <w:bCs/>
          <w:strike/>
        </w:rPr>
        <w:t>dalyvio vienašališko atsisakymo įsigyti pensijų anuitetą, pateikto Pensijų kaupimo įstatymo 33 straipsnio 8 dalyje nustatyta tvarka, duomenis, nurodytus Nuostatų 11.1.7 ir 11.4</w:t>
      </w:r>
      <w:r w:rsidRPr="00A17C68">
        <w:rPr>
          <w:bCs/>
          <w:strike/>
          <w:vertAlign w:val="superscript"/>
        </w:rPr>
        <w:t>3</w:t>
      </w:r>
      <w:r w:rsidRPr="00A17C68">
        <w:rPr>
          <w:bCs/>
          <w:strike/>
        </w:rPr>
        <w:t xml:space="preserve"> papunkčiuose</w:t>
      </w:r>
      <w:r w:rsidRPr="00A60130">
        <w:rPr>
          <w:bCs/>
        </w:rPr>
        <w:t>.</w:t>
      </w:r>
    </w:p>
    <w:p w:rsidR="003A4723" w:rsidRPr="00A60130" w:rsidRDefault="003A4723" w:rsidP="003A4723">
      <w:pPr>
        <w:ind w:firstLine="567"/>
        <w:jc w:val="both"/>
      </w:pPr>
      <w:r w:rsidRPr="00A60130">
        <w:rPr>
          <w:bCs/>
        </w:rPr>
        <w:t xml:space="preserve"> </w:t>
      </w:r>
      <w:r w:rsidRPr="00A60130">
        <w:t xml:space="preserve">Registro duomenų teikėjai, teikiantys duomenis, informaciją, </w:t>
      </w:r>
      <w:r w:rsidRPr="00A60130">
        <w:rPr>
          <w:bCs/>
        </w:rPr>
        <w:t>dokumentų originalus</w:t>
      </w:r>
      <w:r w:rsidRPr="00A60130">
        <w:t xml:space="preserve"> ir (arba) jų kopijas Registro objektui registruoti, yra pensijų kaupimo bendrovės.“</w:t>
      </w:r>
    </w:p>
    <w:p w:rsidR="003A4723" w:rsidRPr="00A17C68" w:rsidRDefault="003A4723" w:rsidP="003A4723">
      <w:pPr>
        <w:ind w:firstLine="567"/>
        <w:jc w:val="both"/>
      </w:pPr>
    </w:p>
    <w:p w:rsidR="003A4723" w:rsidRPr="00A17C68" w:rsidRDefault="003A4723" w:rsidP="003A4723">
      <w:pPr>
        <w:ind w:firstLine="567"/>
        <w:jc w:val="both"/>
      </w:pPr>
      <w:r w:rsidRPr="00A17C68">
        <w:t>8. Pakartotinai siūlome užpildyti reguliavimo spragą ir papildyti Registro nuostatų 18 punktą paskutiniu sakiniu: „</w:t>
      </w:r>
      <w:r w:rsidRPr="00A17C68">
        <w:rPr>
          <w:b/>
          <w:bCs/>
        </w:rPr>
        <w:t>Tais pačiais terminais pensijų kaupimo bendrovė Fondo valdybai jos nustatyta tvarka ir priemonėmis teikia duomenis apie Nuostatų  24.3, 25.2, 27.2 papunkčiuose nurodytas aplinkybes.“</w:t>
      </w:r>
    </w:p>
    <w:p w:rsidR="003A4723" w:rsidRPr="00A17C68" w:rsidRDefault="003A4723" w:rsidP="003A4723">
      <w:pPr>
        <w:ind w:firstLine="567"/>
        <w:jc w:val="both"/>
      </w:pPr>
    </w:p>
    <w:p w:rsidR="003A4723" w:rsidRPr="00A17C68" w:rsidRDefault="003A4723" w:rsidP="003A4723">
      <w:pPr>
        <w:ind w:firstLine="567"/>
        <w:jc w:val="both"/>
      </w:pPr>
      <w:r w:rsidRPr="00A17C68">
        <w:t xml:space="preserve"> 9. Siūlome papildyti Registro nuostatų 20 punktą paskutiniu sakiniu (arba 20</w:t>
      </w:r>
      <w:r w:rsidRPr="00A17C68">
        <w:rPr>
          <w:vertAlign w:val="superscript"/>
        </w:rPr>
        <w:t>1</w:t>
      </w:r>
      <w:r w:rsidRPr="00A17C68">
        <w:t xml:space="preserve"> punktu): </w:t>
      </w:r>
    </w:p>
    <w:p w:rsidR="003A4723" w:rsidRPr="00A17C68" w:rsidRDefault="003A4723" w:rsidP="003A4723">
      <w:pPr>
        <w:ind w:firstLine="567"/>
        <w:jc w:val="both"/>
        <w:rPr>
          <w:b/>
        </w:rPr>
      </w:pPr>
      <w:r w:rsidRPr="00A17C68">
        <w:t>„</w:t>
      </w:r>
      <w:r w:rsidRPr="00A60130">
        <w:rPr>
          <w:b/>
        </w:rPr>
        <w:t>Fondo valdyba priima sprendimą įregistruoti</w:t>
      </w:r>
      <w:r w:rsidRPr="00A17C68">
        <w:rPr>
          <w:b/>
        </w:rPr>
        <w:t xml:space="preserve"> asmenų, įtrauktų į pensijų kaupimą Pensijų kaupimo įstatymo 6 straipsnyje nustatyta tvarka, dalyvavimą pensijų kaupime, gavusi iš pensijų kaupimo bendrovės patvirtinimą, jog pensijų kaupimo bendrovė gavo jai pateiktus įtrauktų asmenų sąrašus duomenų teikimo sutartyje nustatyta tvarka.“</w:t>
      </w:r>
    </w:p>
    <w:p w:rsidR="003A4723" w:rsidRPr="00A17C68" w:rsidRDefault="003A4723" w:rsidP="003A4723">
      <w:pPr>
        <w:ind w:firstLine="567"/>
        <w:jc w:val="both"/>
      </w:pPr>
    </w:p>
    <w:p w:rsidR="003A4723" w:rsidRPr="00A17C68" w:rsidRDefault="003A4723" w:rsidP="003A4723">
      <w:pPr>
        <w:ind w:firstLine="567"/>
        <w:jc w:val="both"/>
      </w:pPr>
      <w:r w:rsidRPr="00A17C68">
        <w:t>10. Siūlome patikslinti Registro nuostatų 27 punktą, jį išdėstant taip (lyginamasis variantas):</w:t>
      </w:r>
    </w:p>
    <w:p w:rsidR="003A4723" w:rsidRPr="00A17C68" w:rsidRDefault="003A4723" w:rsidP="003A4723">
      <w:pPr>
        <w:ind w:firstLine="567"/>
        <w:jc w:val="both"/>
      </w:pPr>
      <w:r w:rsidRPr="00A17C68">
        <w:t xml:space="preserve">„27. Fondo </w:t>
      </w:r>
      <w:r w:rsidRPr="00D11DDA">
        <w:t xml:space="preserve">valdyba išregistruoja pensijų išmokos sutartį </w:t>
      </w:r>
      <w:r w:rsidRPr="00A17C68">
        <w:rPr>
          <w:b/>
        </w:rPr>
        <w:t>(įrašo pensijų išmokų sutarties išregistravimo datą</w:t>
      </w:r>
      <w:r w:rsidRPr="00A17C68">
        <w:t>), kai:</w:t>
      </w:r>
    </w:p>
    <w:p w:rsidR="003A4723" w:rsidRPr="00A17C68" w:rsidRDefault="003A4723" w:rsidP="003A4723">
      <w:pPr>
        <w:ind w:firstLine="567"/>
        <w:jc w:val="both"/>
      </w:pPr>
      <w:r w:rsidRPr="00A17C68">
        <w:t>27.1. teismo sprendimu pensijų išmokos sutartis pripažįstama negaliojančia;</w:t>
      </w:r>
    </w:p>
    <w:p w:rsidR="003A4723" w:rsidRDefault="003A4723" w:rsidP="003A4723">
      <w:pPr>
        <w:ind w:firstLine="567"/>
        <w:jc w:val="both"/>
      </w:pPr>
      <w:r w:rsidRPr="00A17C68">
        <w:t>27.2. pensijų išmokos sutartis nutraukiama šalių susitarimu.“</w:t>
      </w:r>
    </w:p>
    <w:p w:rsidR="003A4723" w:rsidRPr="00A17C68" w:rsidRDefault="003A4723" w:rsidP="003A4723">
      <w:pPr>
        <w:ind w:firstLine="567"/>
        <w:jc w:val="both"/>
      </w:pPr>
    </w:p>
    <w:p w:rsidR="003A4723" w:rsidRPr="00A17C68" w:rsidRDefault="003A4723" w:rsidP="003A4723">
      <w:pPr>
        <w:ind w:firstLine="567"/>
        <w:jc w:val="both"/>
      </w:pPr>
      <w:r w:rsidRPr="00A17C68">
        <w:t>11. Siūlome Registro nuostatų 33 punkte išbraukti perteklinius ir dviprasmiškas interpretacijas leidžiančius žodžius „ir, esant poreikiui“.</w:t>
      </w:r>
    </w:p>
    <w:p w:rsidR="003A4723" w:rsidRPr="00A17C68" w:rsidRDefault="003A4723" w:rsidP="003A4723">
      <w:pPr>
        <w:ind w:firstLine="567"/>
        <w:jc w:val="both"/>
      </w:pPr>
    </w:p>
    <w:p w:rsidR="003A4723" w:rsidRPr="00A17C68" w:rsidRDefault="003A4723" w:rsidP="003A4723">
      <w:pPr>
        <w:ind w:firstLine="567"/>
        <w:jc w:val="both"/>
      </w:pPr>
      <w:r w:rsidRPr="00A17C68">
        <w:t xml:space="preserve">12. Siūlome Registro nuostatų 35 punkto antrą sakinį patikslinti – jame aiškiai įvardinti, kad atvykti asmuo turi ne tiesiog į Fondo valdybos teritorinį skyrių, o į tam skirtas jo patalpas – klientų aptarnavimo priimamuosius, taip pat išbraukti tiesioginę nuorodą į konkretų nebeaktualų prašymo teikimo būdą – teikiant skaitmeninę kopiją, siekiant užtikrinti praktinį normos įgyvendinimą, patikslinti, kad  prašymas gali būti teikiamas ne bet kokiomis elektroninių ryšių priemonėmis, o realiai prieinamomis, </w:t>
      </w:r>
      <w:proofErr w:type="spellStart"/>
      <w:r w:rsidRPr="00A17C68">
        <w:t>t.y</w:t>
      </w:r>
      <w:proofErr w:type="spellEnd"/>
      <w:r w:rsidRPr="00A17C68">
        <w:t>. Fondo valdybos taisyklėse, reglamentuojančiose asmenų aptarnavimo tvarką, nustatytomis elektroninių ryšių priemonėmis (pvz., Fondo valdyba nebenaudoja fakso). Šį sakinį siūlome išdėstyti taip: „</w:t>
      </w:r>
      <w:r w:rsidRPr="00A17C68">
        <w:rPr>
          <w:u w:color="FF0000"/>
        </w:rPr>
        <w:t>Prašym</w:t>
      </w:r>
      <w:r w:rsidRPr="00A17C68">
        <w:t xml:space="preserve">as leisti susipažinti su Registre tvarkomais savo duomenimis Fondo valdybai gali būti pateikiamas tiesiogiai (asmeniškai arba per atstovą) atvykus į bet </w:t>
      </w:r>
      <w:r w:rsidRPr="00A17C68">
        <w:rPr>
          <w:strike/>
        </w:rPr>
        <w:t xml:space="preserve">kurį Fondo valdybos teritorinį skyrių </w:t>
      </w:r>
      <w:r w:rsidRPr="00A17C68">
        <w:t xml:space="preserve"> </w:t>
      </w:r>
      <w:r w:rsidRPr="00A17C68">
        <w:rPr>
          <w:b/>
        </w:rPr>
        <w:t>kurio Fondo valdybos teritorinio skyriaus klientų priimamąjį</w:t>
      </w:r>
      <w:r w:rsidRPr="00A17C68">
        <w:t xml:space="preserve">, per kurjerį arba išsiųstas registruotu laišku, taip pat </w:t>
      </w:r>
      <w:r w:rsidRPr="00A17C68">
        <w:rPr>
          <w:strike/>
          <w:u w:color="FF0000"/>
        </w:rPr>
        <w:t>prašym</w:t>
      </w:r>
      <w:r w:rsidRPr="00A17C68">
        <w:rPr>
          <w:strike/>
        </w:rPr>
        <w:t>o skaitmeninė kopija gali būti pateikta Fondo valdybai</w:t>
      </w:r>
      <w:r w:rsidRPr="00A17C68">
        <w:t xml:space="preserve"> per Elektroninę gyventojų aptarnavimo sistemą ar kitomis </w:t>
      </w:r>
      <w:r w:rsidRPr="00A17C68">
        <w:rPr>
          <w:b/>
        </w:rPr>
        <w:t>Fondo valdybos taisyklėse, reglamentuojančiose asmenų aptarnavimo tvarką,</w:t>
      </w:r>
      <w:r w:rsidRPr="00A17C68">
        <w:t xml:space="preserve"> nustatytomis elektroninių ryšių priemonėmis.“ </w:t>
      </w:r>
    </w:p>
    <w:p w:rsidR="003A4723" w:rsidRPr="003A4723" w:rsidRDefault="003A4723" w:rsidP="003A4723">
      <w:pPr>
        <w:ind w:firstLine="567"/>
        <w:jc w:val="both"/>
      </w:pPr>
      <w:r w:rsidRPr="00A17C68">
        <w:t>Taip pat siūlome struktūriškai atskirti šio punkto trečiąjį ir ketvirtąjį sakinius, dėstant juos kaip atitinkamai antrąją ir trečiąją  jo pastraipas.</w:t>
      </w:r>
    </w:p>
    <w:p w:rsidR="003A4723" w:rsidRPr="00A17C68" w:rsidRDefault="003A4723" w:rsidP="003A4723">
      <w:pPr>
        <w:ind w:firstLine="567"/>
        <w:jc w:val="both"/>
      </w:pPr>
    </w:p>
    <w:p w:rsidR="003A4723" w:rsidRPr="00A17C68" w:rsidRDefault="003A4723" w:rsidP="003A4723">
      <w:pPr>
        <w:ind w:firstLine="709"/>
        <w:jc w:val="both"/>
      </w:pPr>
      <w:r w:rsidRPr="00A17C68">
        <w:t xml:space="preserve">13. Siūlome Registro nuostatų 41.6 – 41.8  papunkčiuose nevardinti asmenį identifikuojančių duomenų aibės nuorodomis į kitus papunkčius (identifikuojančių duomenų teikimas nėra susijęs su 41.6 – 41.8  papunkčių specifika; papunkčiuose, į kuriuos nukreipiama, nurodomi asmenį identifikuojantys duomenys, tvarkomi registre, kurių visa aibė nėra būtina kiekvienu duomenų mainų atveju), o  nurodyti tai apibendrinančia formuluote, pvz., „dalyvį identifikuojančius duomenis“ ar „dalyvį identifikuojančius duomenis, numatytus duomenų teikimo sutartyje“. </w:t>
      </w:r>
    </w:p>
    <w:p w:rsidR="003A4723" w:rsidRPr="00A17C68" w:rsidRDefault="003A4723" w:rsidP="003A4723">
      <w:pPr>
        <w:ind w:firstLine="709"/>
        <w:jc w:val="both"/>
        <w:rPr>
          <w:rFonts w:eastAsia="Calibri"/>
        </w:rPr>
      </w:pPr>
      <w:r w:rsidRPr="00A17C68">
        <w:t xml:space="preserve">Registro nuostatų 41.6 papunktyje, neturėtų būti numatytas, mūsų nuomone, perteklinių duomenų teikimas pensijų kaupimo bendrovėms – prašymo gavimo registravimo Fondo valdybos dokumentų valdymo sistemoje duomenys (registravimo data ir numeris), pakankamas duomuo yra prašymo gavimo data (Registro nuostatų </w:t>
      </w:r>
      <w:r w:rsidRPr="00A17C68">
        <w:rPr>
          <w:rFonts w:eastAsia="Calibri"/>
        </w:rPr>
        <w:t>11.4</w:t>
      </w:r>
      <w:r w:rsidRPr="00A17C68">
        <w:rPr>
          <w:rFonts w:eastAsia="Calibri"/>
          <w:vertAlign w:val="superscript"/>
        </w:rPr>
        <w:t>1</w:t>
      </w:r>
      <w:r w:rsidRPr="00A17C68">
        <w:rPr>
          <w:rFonts w:eastAsia="Calibri"/>
        </w:rPr>
        <w:t>.2 papunktis). Taip pat atkreipiame dėmesį, kad 11.4</w:t>
      </w:r>
      <w:r w:rsidRPr="00A17C68">
        <w:rPr>
          <w:rFonts w:eastAsia="Calibri"/>
          <w:vertAlign w:val="superscript"/>
        </w:rPr>
        <w:t>1</w:t>
      </w:r>
      <w:r w:rsidRPr="00A17C68">
        <w:rPr>
          <w:rFonts w:eastAsia="Calibri"/>
        </w:rPr>
        <w:t>.5.3 ir 11.4</w:t>
      </w:r>
      <w:r w:rsidRPr="00A17C68">
        <w:rPr>
          <w:rFonts w:eastAsia="Calibri"/>
          <w:vertAlign w:val="superscript"/>
        </w:rPr>
        <w:t>1</w:t>
      </w:r>
      <w:r w:rsidRPr="00A17C68">
        <w:rPr>
          <w:rFonts w:eastAsia="Calibri"/>
        </w:rPr>
        <w:t xml:space="preserve">.5.6 papunkčiuose yra numatyti duomenys, kurie tvarkomi tais atvejais, kai prašymas gaunamas ne tiesiogiai pensijų anuitetų mokėtojo (kaip numatyta </w:t>
      </w:r>
      <w:r w:rsidRPr="00A17C68">
        <w:t>41.6 papunktyje</w:t>
      </w:r>
      <w:r w:rsidRPr="00A17C68">
        <w:rPr>
          <w:rFonts w:eastAsia="Calibri"/>
        </w:rPr>
        <w:t>), o per pensijų kaupimo bendrovę, todėl 11.4</w:t>
      </w:r>
      <w:r w:rsidRPr="00A17C68">
        <w:rPr>
          <w:rFonts w:eastAsia="Calibri"/>
          <w:vertAlign w:val="superscript"/>
        </w:rPr>
        <w:t>1</w:t>
      </w:r>
      <w:r w:rsidRPr="00A17C68">
        <w:rPr>
          <w:rFonts w:eastAsia="Calibri"/>
        </w:rPr>
        <w:t>.5.3 ir 11.4</w:t>
      </w:r>
      <w:r w:rsidRPr="00A17C68">
        <w:rPr>
          <w:rFonts w:eastAsia="Calibri"/>
          <w:vertAlign w:val="superscript"/>
        </w:rPr>
        <w:t>1</w:t>
      </w:r>
      <w:r w:rsidRPr="00A17C68">
        <w:rPr>
          <w:rFonts w:eastAsia="Calibri"/>
        </w:rPr>
        <w:t>.5.6 papunkčiai 41</w:t>
      </w:r>
      <w:r w:rsidRPr="00A17C68">
        <w:t>.6 papunktyje</w:t>
      </w:r>
      <w:r w:rsidRPr="00A17C68">
        <w:rPr>
          <w:rFonts w:eastAsia="Calibri"/>
        </w:rPr>
        <w:t xml:space="preserve"> išbrauktini. Tuo tarpu kontaktinių duomenų ir sąskaitos duomenų, dalyvio pateiktų prašyme, duotame tiesiogiai pensijų anuitetų mokėtojui, teikimas pensijų kaupimo bendrovėms būtų perteklinis, nes objektyviai šioms bendrovėms tie duomenys nėra reikalingi, todėl ir 11.4</w:t>
      </w:r>
      <w:r w:rsidRPr="00A17C68">
        <w:rPr>
          <w:rFonts w:eastAsia="Calibri"/>
          <w:vertAlign w:val="superscript"/>
        </w:rPr>
        <w:t>1</w:t>
      </w:r>
      <w:r w:rsidRPr="00A17C68">
        <w:rPr>
          <w:rFonts w:eastAsia="Calibri"/>
        </w:rPr>
        <w:t>.5.3 ir 11.4</w:t>
      </w:r>
      <w:r w:rsidRPr="00A17C68">
        <w:rPr>
          <w:rFonts w:eastAsia="Calibri"/>
          <w:vertAlign w:val="superscript"/>
        </w:rPr>
        <w:t>1</w:t>
      </w:r>
      <w:r w:rsidRPr="00A17C68">
        <w:rPr>
          <w:rFonts w:eastAsia="Calibri"/>
        </w:rPr>
        <w:t xml:space="preserve">.5.6 papunkčiai 41.6 papunktyje brauktini. Registro nuostatų 41.7 papunktyje brauktinos nuostatos dėl perteklinės informacijos – dalyvio kontaktinės informacijos – teikimo pensijų kaupimo bendrovėms. Registro nuostatų 41.8 papunktis papildytinas, numatant, kad pensijų kaupimo bendrovėms papildomai teikiami duomenys apie pensijų išmokos sutarties, kurios pagrindu  gautina </w:t>
      </w:r>
      <w:r w:rsidRPr="00A17C68">
        <w:rPr>
          <w:bCs/>
          <w:lang w:eastAsia="lt-LT"/>
        </w:rPr>
        <w:t xml:space="preserve">vienkartinės įmokos suma, numerį </w:t>
      </w:r>
      <w:r w:rsidRPr="00A17C68">
        <w:rPr>
          <w:rFonts w:eastAsia="Calibri"/>
        </w:rPr>
        <w:t xml:space="preserve">Registro nuostatų </w:t>
      </w:r>
      <w:r w:rsidRPr="00A17C68">
        <w:rPr>
          <w:bCs/>
          <w:lang w:eastAsia="lt-LT"/>
        </w:rPr>
        <w:t xml:space="preserve">11.3.1 papunktyje nurodytas duomuo) ir </w:t>
      </w:r>
      <w:r w:rsidRPr="00A17C68">
        <w:rPr>
          <w:rFonts w:eastAsia="Calibri"/>
        </w:rPr>
        <w:t xml:space="preserve">sprendimu paskirtą pensijų anuiteto rūšį (Registro nuostatų </w:t>
      </w:r>
      <w:r w:rsidRPr="00A17C68">
        <w:rPr>
          <w:bCs/>
          <w:lang w:eastAsia="lt-LT"/>
        </w:rPr>
        <w:t>11.4</w:t>
      </w:r>
      <w:r w:rsidRPr="00A17C68">
        <w:rPr>
          <w:bCs/>
          <w:vertAlign w:val="superscript"/>
          <w:lang w:eastAsia="lt-LT"/>
        </w:rPr>
        <w:t>2</w:t>
      </w:r>
      <w:r w:rsidRPr="00A17C68">
        <w:rPr>
          <w:bCs/>
          <w:lang w:eastAsia="lt-LT"/>
        </w:rPr>
        <w:t xml:space="preserve">.3.1 papunktyje nurodytas duomuo). Šie duomenys reikalingi sklandžiam ir teisingam vienkartinės išmokos pervedimui ir  sudarytos pensijų išmokos sutarties atitikties priimtam </w:t>
      </w:r>
      <w:r w:rsidRPr="00A17C68">
        <w:rPr>
          <w:rFonts w:eastAsia="Calibri"/>
        </w:rPr>
        <w:t>sprendimui dėl pensijų anuiteto mokėjimo</w:t>
      </w:r>
      <w:r w:rsidRPr="00A17C68">
        <w:rPr>
          <w:bCs/>
          <w:lang w:eastAsia="lt-LT"/>
        </w:rPr>
        <w:t xml:space="preserve"> kontrolei.</w:t>
      </w:r>
      <w:r w:rsidRPr="00A17C68">
        <w:rPr>
          <w:b/>
          <w:bCs/>
          <w:lang w:eastAsia="lt-LT"/>
        </w:rPr>
        <w:t xml:space="preserve"> Atsižvelgiant į tai, kas išdėstyta, siūlome Registro nuostatų </w:t>
      </w:r>
      <w:r w:rsidRPr="00A17C68">
        <w:t xml:space="preserve">41.6 – 41.8  papunkčius išdėstyti taip (lyginamasis variantas): „41.6. </w:t>
      </w:r>
      <w:r w:rsidRPr="00A17C68">
        <w:rPr>
          <w:rFonts w:eastAsia="Calibri"/>
        </w:rPr>
        <w:t>pensijų anuitetų mokėtojo tiesiogiai gautą dalyvio prašymą dėl pensijų anuiteto įsigijimo (</w:t>
      </w:r>
      <w:r w:rsidRPr="00A17C68">
        <w:rPr>
          <w:rFonts w:eastAsia="Calibri"/>
          <w:b/>
        </w:rPr>
        <w:t>dalyvį identifikuojančius ir</w:t>
      </w:r>
      <w:r w:rsidRPr="00A17C68">
        <w:rPr>
          <w:rFonts w:eastAsia="Calibri"/>
        </w:rPr>
        <w:t xml:space="preserve"> </w:t>
      </w:r>
      <w:r w:rsidRPr="00A17C68">
        <w:rPr>
          <w:rFonts w:eastAsia="Calibri"/>
          <w:strike/>
        </w:rPr>
        <w:t>duomenis, nurodytus</w:t>
      </w:r>
      <w:r w:rsidRPr="00A17C68">
        <w:rPr>
          <w:rFonts w:eastAsia="Calibri"/>
        </w:rPr>
        <w:t xml:space="preserve"> Nuostatų </w:t>
      </w:r>
      <w:r w:rsidRPr="00A17C68">
        <w:rPr>
          <w:bCs/>
          <w:lang w:eastAsia="lt-LT"/>
        </w:rPr>
        <w:t>11.4</w:t>
      </w:r>
      <w:r w:rsidRPr="00A17C68">
        <w:rPr>
          <w:bCs/>
          <w:vertAlign w:val="superscript"/>
          <w:lang w:eastAsia="lt-LT"/>
        </w:rPr>
        <w:t>1</w:t>
      </w:r>
      <w:r w:rsidRPr="00A17C68">
        <w:rPr>
          <w:bCs/>
          <w:lang w:eastAsia="lt-LT"/>
        </w:rPr>
        <w:t xml:space="preserve">.2 papunktyje nurodytus duomenis </w:t>
      </w:r>
      <w:r w:rsidRPr="00A17C68">
        <w:rPr>
          <w:rFonts w:eastAsia="Calibri"/>
          <w:strike/>
        </w:rPr>
        <w:t>11.4</w:t>
      </w:r>
      <w:r w:rsidRPr="00A17C68">
        <w:rPr>
          <w:rFonts w:eastAsia="Calibri"/>
          <w:strike/>
          <w:vertAlign w:val="superscript"/>
        </w:rPr>
        <w:t>1</w:t>
      </w:r>
      <w:r w:rsidRPr="00A17C68">
        <w:rPr>
          <w:rFonts w:eastAsia="Calibri"/>
          <w:strike/>
        </w:rPr>
        <w:t>.1–11.4</w:t>
      </w:r>
      <w:r w:rsidRPr="00A17C68">
        <w:rPr>
          <w:rFonts w:eastAsia="Calibri"/>
          <w:strike/>
          <w:vertAlign w:val="superscript"/>
        </w:rPr>
        <w:t>1</w:t>
      </w:r>
      <w:r w:rsidRPr="00A17C68">
        <w:rPr>
          <w:rFonts w:eastAsia="Calibri"/>
          <w:strike/>
        </w:rPr>
        <w:t>.3</w:t>
      </w:r>
      <w:r w:rsidRPr="00A17C68">
        <w:rPr>
          <w:rFonts w:eastAsia="Calibri"/>
        </w:rPr>
        <w:t xml:space="preserve">, </w:t>
      </w:r>
      <w:r w:rsidRPr="00A17C68">
        <w:rPr>
          <w:rFonts w:eastAsia="Calibri"/>
          <w:strike/>
        </w:rPr>
        <w:t>11.4</w:t>
      </w:r>
      <w:r w:rsidRPr="00A17C68">
        <w:rPr>
          <w:rFonts w:eastAsia="Calibri"/>
          <w:strike/>
          <w:vertAlign w:val="superscript"/>
        </w:rPr>
        <w:t>1</w:t>
      </w:r>
      <w:r w:rsidRPr="00A17C68">
        <w:rPr>
          <w:rFonts w:eastAsia="Calibri"/>
          <w:strike/>
        </w:rPr>
        <w:t>.5.3 ir 11.4</w:t>
      </w:r>
      <w:r w:rsidRPr="00A17C68">
        <w:rPr>
          <w:rFonts w:eastAsia="Calibri"/>
          <w:strike/>
          <w:vertAlign w:val="superscript"/>
        </w:rPr>
        <w:t>1</w:t>
      </w:r>
      <w:r w:rsidRPr="00A17C68">
        <w:rPr>
          <w:rFonts w:eastAsia="Calibri"/>
          <w:strike/>
        </w:rPr>
        <w:t>.5.6</w:t>
      </w:r>
      <w:r w:rsidRPr="00A17C68">
        <w:rPr>
          <w:rFonts w:eastAsia="Calibri"/>
        </w:rPr>
        <w:t xml:space="preserve"> </w:t>
      </w:r>
      <w:r w:rsidRPr="00A17C68">
        <w:rPr>
          <w:rFonts w:eastAsia="Calibri"/>
          <w:strike/>
        </w:rPr>
        <w:t>papunkčiuose</w:t>
      </w:r>
      <w:r w:rsidRPr="00A17C68">
        <w:rPr>
          <w:rFonts w:eastAsia="Calibri"/>
        </w:rPr>
        <w:t>);</w:t>
      </w:r>
    </w:p>
    <w:p w:rsidR="003A4723" w:rsidRPr="00A17C68" w:rsidRDefault="003A4723" w:rsidP="003A4723">
      <w:pPr>
        <w:ind w:firstLine="709"/>
        <w:jc w:val="both"/>
        <w:rPr>
          <w:color w:val="000000"/>
        </w:rPr>
      </w:pPr>
      <w:r w:rsidRPr="00A17C68">
        <w:rPr>
          <w:caps/>
        </w:rPr>
        <w:t xml:space="preserve">41.7. </w:t>
      </w:r>
      <w:r w:rsidRPr="00A17C68">
        <w:rPr>
          <w:rFonts w:eastAsia="Calibri"/>
        </w:rPr>
        <w:t xml:space="preserve">dalyvio vienašališko atsisakymo įsigyti pensijų anuitetą </w:t>
      </w:r>
      <w:r w:rsidRPr="00A17C68">
        <w:rPr>
          <w:color w:val="000000"/>
        </w:rPr>
        <w:t>gavimą arba nurodyto atsisakymo negavimą Pensijų kaupimo įstatymo 33 straipsnio 8 dalyje nurodyta tvarka ir terminais (</w:t>
      </w:r>
      <w:r w:rsidRPr="00A17C68">
        <w:rPr>
          <w:b/>
          <w:color w:val="000000"/>
        </w:rPr>
        <w:t>pateikiant</w:t>
      </w:r>
      <w:r w:rsidRPr="00A17C68">
        <w:rPr>
          <w:color w:val="000000"/>
        </w:rPr>
        <w:t xml:space="preserve"> </w:t>
      </w:r>
      <w:r w:rsidRPr="00A17C68">
        <w:rPr>
          <w:rFonts w:eastAsia="Calibri"/>
          <w:b/>
        </w:rPr>
        <w:t>dalyvį identifikuojančius ir</w:t>
      </w:r>
      <w:r w:rsidRPr="00A17C68">
        <w:rPr>
          <w:rFonts w:eastAsia="Calibri"/>
        </w:rPr>
        <w:t xml:space="preserve"> </w:t>
      </w:r>
      <w:r w:rsidRPr="00A17C68">
        <w:rPr>
          <w:strike/>
          <w:color w:val="000000"/>
        </w:rPr>
        <w:t>duomenis, nurodytus</w:t>
      </w:r>
      <w:r w:rsidRPr="00A17C68">
        <w:rPr>
          <w:color w:val="000000"/>
        </w:rPr>
        <w:t xml:space="preserve"> Nuostatų </w:t>
      </w:r>
      <w:r w:rsidRPr="00A17C68">
        <w:rPr>
          <w:strike/>
          <w:color w:val="000000"/>
        </w:rPr>
        <w:t>11.1.6 papunktyje, o kai dalyvis neturi asmens kodo – Nuostatų 11.4.2, 11.1.7, 11.1.8, 11.4.1 ir</w:t>
      </w:r>
      <w:r w:rsidRPr="00A17C68">
        <w:t xml:space="preserve"> </w:t>
      </w:r>
      <w:r w:rsidRPr="00A17C68">
        <w:rPr>
          <w:color w:val="000000"/>
        </w:rPr>
        <w:t>11.4</w:t>
      </w:r>
      <w:r w:rsidRPr="00A17C68">
        <w:rPr>
          <w:color w:val="000000"/>
          <w:vertAlign w:val="superscript"/>
        </w:rPr>
        <w:t>3</w:t>
      </w:r>
      <w:r w:rsidRPr="00A17C68">
        <w:rPr>
          <w:color w:val="000000"/>
        </w:rPr>
        <w:t xml:space="preserve"> </w:t>
      </w:r>
      <w:r w:rsidRPr="00A17C68">
        <w:rPr>
          <w:b/>
          <w:color w:val="000000"/>
        </w:rPr>
        <w:t xml:space="preserve">papunktyje nurodytus </w:t>
      </w:r>
      <w:proofErr w:type="spellStart"/>
      <w:r w:rsidRPr="00A17C68">
        <w:rPr>
          <w:b/>
          <w:color w:val="000000"/>
        </w:rPr>
        <w:t>duomenis</w:t>
      </w:r>
      <w:r w:rsidRPr="00A17C68">
        <w:rPr>
          <w:strike/>
          <w:color w:val="000000"/>
        </w:rPr>
        <w:t>papunkčiuose</w:t>
      </w:r>
      <w:proofErr w:type="spellEnd"/>
      <w:r w:rsidRPr="00A17C68">
        <w:rPr>
          <w:strike/>
          <w:color w:val="000000"/>
        </w:rPr>
        <w:t xml:space="preserve"> ir prašyme dėl atsisakymo įsigyti pensijų anuitetą prašymo sudarytojo kontaktiniai duomenys – telefono ryšio numeris, elektroninio pašto adresas, deklaruotos arba faktinės gyvenamosios vietos adresas</w:t>
      </w:r>
      <w:r w:rsidRPr="00A17C68">
        <w:rPr>
          <w:color w:val="000000"/>
        </w:rPr>
        <w:t>);</w:t>
      </w:r>
    </w:p>
    <w:p w:rsidR="003A4723" w:rsidRPr="00A17C68" w:rsidRDefault="003A4723" w:rsidP="003A4723">
      <w:pPr>
        <w:ind w:firstLine="709"/>
        <w:jc w:val="both"/>
        <w:rPr>
          <w:color w:val="000000"/>
        </w:rPr>
      </w:pPr>
      <w:r w:rsidRPr="00A17C68">
        <w:rPr>
          <w:color w:val="000000"/>
        </w:rPr>
        <w:t xml:space="preserve"> 41.8. dalyvio prašymo </w:t>
      </w:r>
      <w:r w:rsidRPr="00A17C68">
        <w:rPr>
          <w:rFonts w:eastAsia="Calibri"/>
        </w:rPr>
        <w:t xml:space="preserve">dėl pensijų anuiteto įsigijimo pagrindu priimto sprendimo dėl pensijų anuiteto mokėjimo įsigaliojimą, jame numatytą </w:t>
      </w:r>
      <w:r w:rsidRPr="00A17C68">
        <w:rPr>
          <w:rFonts w:eastAsia="Calibri"/>
          <w:b/>
        </w:rPr>
        <w:t>pensijų anuiteto rūšį,</w:t>
      </w:r>
      <w:r w:rsidRPr="00A17C68">
        <w:rPr>
          <w:rFonts w:eastAsia="Calibri"/>
        </w:rPr>
        <w:t xml:space="preserve"> pensijų anuiteto gavėjo gautiną iš pensijų kaupimo bendrovės </w:t>
      </w:r>
      <w:r w:rsidRPr="00A17C68">
        <w:rPr>
          <w:bCs/>
          <w:lang w:eastAsia="lt-LT"/>
        </w:rPr>
        <w:t>vienkartinės įmokos sumą (</w:t>
      </w:r>
      <w:r w:rsidRPr="00A17C68">
        <w:rPr>
          <w:b/>
          <w:bCs/>
          <w:lang w:eastAsia="lt-LT"/>
        </w:rPr>
        <w:t>pateikiant</w:t>
      </w:r>
      <w:r w:rsidRPr="00A17C68">
        <w:rPr>
          <w:bCs/>
          <w:lang w:eastAsia="lt-LT"/>
        </w:rPr>
        <w:t xml:space="preserve"> </w:t>
      </w:r>
      <w:r w:rsidRPr="00A17C68">
        <w:rPr>
          <w:rFonts w:eastAsia="Calibri"/>
          <w:b/>
        </w:rPr>
        <w:t>dalyvį identifikuojančius ir</w:t>
      </w:r>
      <w:r w:rsidRPr="00A17C68">
        <w:rPr>
          <w:rFonts w:eastAsia="Calibri"/>
        </w:rPr>
        <w:t xml:space="preserve"> </w:t>
      </w:r>
      <w:r w:rsidRPr="00A17C68">
        <w:rPr>
          <w:bCs/>
          <w:strike/>
          <w:lang w:eastAsia="lt-LT"/>
        </w:rPr>
        <w:t>duomenis, nurodytus</w:t>
      </w:r>
      <w:r w:rsidRPr="00A17C68">
        <w:rPr>
          <w:bCs/>
          <w:lang w:eastAsia="lt-LT"/>
        </w:rPr>
        <w:t xml:space="preserve"> Nuostatų </w:t>
      </w:r>
      <w:r w:rsidRPr="00A17C68">
        <w:rPr>
          <w:b/>
          <w:bCs/>
          <w:lang w:eastAsia="lt-LT"/>
        </w:rPr>
        <w:t xml:space="preserve">11.3.1, </w:t>
      </w:r>
      <w:r w:rsidRPr="00A17C68">
        <w:rPr>
          <w:bCs/>
          <w:lang w:eastAsia="lt-LT"/>
        </w:rPr>
        <w:t>11.4</w:t>
      </w:r>
      <w:r w:rsidRPr="00A17C68">
        <w:rPr>
          <w:bCs/>
          <w:vertAlign w:val="superscript"/>
          <w:lang w:eastAsia="lt-LT"/>
        </w:rPr>
        <w:t>2</w:t>
      </w:r>
      <w:r w:rsidRPr="00A17C68">
        <w:rPr>
          <w:bCs/>
          <w:lang w:eastAsia="lt-LT"/>
        </w:rPr>
        <w:t xml:space="preserve">.1, </w:t>
      </w:r>
      <w:r w:rsidRPr="00A17C68">
        <w:rPr>
          <w:bCs/>
          <w:strike/>
          <w:lang w:eastAsia="lt-LT"/>
        </w:rPr>
        <w:t>11.4</w:t>
      </w:r>
      <w:r w:rsidRPr="00A17C68">
        <w:rPr>
          <w:bCs/>
          <w:strike/>
          <w:vertAlign w:val="superscript"/>
          <w:lang w:eastAsia="lt-LT"/>
        </w:rPr>
        <w:t>2</w:t>
      </w:r>
      <w:r w:rsidRPr="00A17C68">
        <w:rPr>
          <w:bCs/>
          <w:strike/>
          <w:lang w:eastAsia="lt-LT"/>
        </w:rPr>
        <w:t>.2,</w:t>
      </w:r>
      <w:r w:rsidRPr="00A17C68">
        <w:rPr>
          <w:bCs/>
          <w:lang w:eastAsia="lt-LT"/>
        </w:rPr>
        <w:t xml:space="preserve"> </w:t>
      </w:r>
      <w:r w:rsidRPr="00A17C68">
        <w:rPr>
          <w:b/>
          <w:bCs/>
          <w:lang w:eastAsia="lt-LT"/>
        </w:rPr>
        <w:t>11.4</w:t>
      </w:r>
      <w:r w:rsidRPr="00A17C68">
        <w:rPr>
          <w:b/>
          <w:bCs/>
          <w:vertAlign w:val="superscript"/>
          <w:lang w:eastAsia="lt-LT"/>
        </w:rPr>
        <w:t>2</w:t>
      </w:r>
      <w:r w:rsidRPr="00A17C68">
        <w:rPr>
          <w:b/>
          <w:bCs/>
          <w:lang w:eastAsia="lt-LT"/>
        </w:rPr>
        <w:t>.3.1,</w:t>
      </w:r>
      <w:r w:rsidRPr="00A17C68">
        <w:rPr>
          <w:bCs/>
          <w:lang w:eastAsia="lt-LT"/>
        </w:rPr>
        <w:t xml:space="preserve">  11.4</w:t>
      </w:r>
      <w:r w:rsidRPr="00A17C68">
        <w:rPr>
          <w:bCs/>
          <w:vertAlign w:val="superscript"/>
          <w:lang w:eastAsia="lt-LT"/>
        </w:rPr>
        <w:t>2</w:t>
      </w:r>
      <w:r w:rsidRPr="00A17C68">
        <w:rPr>
          <w:bCs/>
          <w:lang w:eastAsia="lt-LT"/>
        </w:rPr>
        <w:t>.3.2 ir 11.4</w:t>
      </w:r>
      <w:r w:rsidRPr="00A17C68">
        <w:rPr>
          <w:bCs/>
          <w:vertAlign w:val="superscript"/>
          <w:lang w:eastAsia="lt-LT"/>
        </w:rPr>
        <w:t>2</w:t>
      </w:r>
      <w:r w:rsidRPr="00A17C68">
        <w:rPr>
          <w:bCs/>
          <w:lang w:eastAsia="lt-LT"/>
        </w:rPr>
        <w:t xml:space="preserve">.4 papunkčiuose </w:t>
      </w:r>
      <w:r w:rsidRPr="00A17C68">
        <w:rPr>
          <w:b/>
          <w:bCs/>
          <w:lang w:eastAsia="lt-LT"/>
        </w:rPr>
        <w:t>numatytus duomenis</w:t>
      </w:r>
      <w:r w:rsidRPr="00A17C68">
        <w:rPr>
          <w:bCs/>
          <w:lang w:eastAsia="lt-LT"/>
        </w:rPr>
        <w:t>).“</w:t>
      </w:r>
    </w:p>
    <w:p w:rsidR="003A4723" w:rsidRDefault="003A4723" w:rsidP="003A4723">
      <w:pPr>
        <w:ind w:firstLine="709"/>
        <w:jc w:val="both"/>
        <w:rPr>
          <w:rFonts w:eastAsia="Calibri"/>
        </w:rPr>
      </w:pPr>
    </w:p>
    <w:p w:rsidR="003A4723" w:rsidRDefault="003A4723" w:rsidP="003A4723">
      <w:pPr>
        <w:ind w:firstLine="567"/>
        <w:jc w:val="both"/>
        <w:rPr>
          <w:bCs/>
        </w:rPr>
      </w:pPr>
    </w:p>
    <w:p w:rsidR="002404CA" w:rsidRDefault="002404CA" w:rsidP="002404CA">
      <w:pPr>
        <w:ind w:firstLine="567"/>
        <w:jc w:val="both"/>
        <w:rPr>
          <w:sz w:val="23"/>
          <w:szCs w:val="23"/>
        </w:rPr>
      </w:pPr>
    </w:p>
    <w:p w:rsidR="004B632C" w:rsidRPr="004B632C" w:rsidRDefault="004B632C" w:rsidP="004B632C">
      <w:pPr>
        <w:ind w:firstLine="567"/>
        <w:jc w:val="both"/>
        <w:rPr>
          <w:rStyle w:val="fontstyle01"/>
          <w:sz w:val="23"/>
          <w:szCs w:val="23"/>
        </w:rPr>
      </w:pPr>
    </w:p>
    <w:p w:rsidR="00B119AC" w:rsidRDefault="00B119AC" w:rsidP="00F614F7">
      <w:pPr>
        <w:ind w:firstLine="1134"/>
        <w:jc w:val="both"/>
        <w:sectPr w:rsidR="00B119AC" w:rsidSect="003552EB">
          <w:type w:val="continuous"/>
          <w:pgSz w:w="11906" w:h="16838" w:code="9"/>
          <w:pgMar w:top="397" w:right="567" w:bottom="1134" w:left="1701" w:header="567" w:footer="926" w:gutter="0"/>
          <w:cols w:space="708"/>
          <w:formProt w:val="0"/>
          <w:titlePg/>
          <w:docGrid w:linePitch="360"/>
        </w:sectPr>
      </w:pPr>
    </w:p>
    <w:bookmarkStart w:id="18" w:name="Yra_Priedu"/>
    <w:p w:rsidR="00B119AC" w:rsidRDefault="00B119AC" w:rsidP="00E51284">
      <w:pPr>
        <w:ind w:firstLine="1134"/>
        <w:jc w:val="both"/>
      </w:pPr>
      <w:r>
        <w:fldChar w:fldCharType="begin">
          <w:ffData>
            <w:name w:val="Yra_Priedu"/>
            <w:enabled/>
            <w:calcOnExit w:val="0"/>
            <w:ddList>
              <w:listEntry w:val="          "/>
              <w:listEntry w:val="PRIDEDAMA."/>
              <w:listEntry w:val="PRIDEDAMA:"/>
            </w:ddList>
          </w:ffData>
        </w:fldChar>
      </w:r>
      <w:r>
        <w:instrText xml:space="preserve"> FORMDROPDOWN </w:instrText>
      </w:r>
      <w:r w:rsidR="000049B0">
        <w:fldChar w:fldCharType="separate"/>
      </w:r>
      <w:r>
        <w:fldChar w:fldCharType="end"/>
      </w:r>
      <w:bookmarkEnd w:id="18"/>
      <w:r>
        <w:t xml:space="preserve"> </w:t>
      </w:r>
      <w:bookmarkStart w:id="19" w:name="Priedu_Aprasymas"/>
      <w:r>
        <w:fldChar w:fldCharType="begin">
          <w:ffData>
            <w:name w:val="Priedu_Aprasymas"/>
            <w:enabled/>
            <w:calcOnExit w:val="0"/>
            <w:statusText w:type="text" w:val="Priedų aprašymas"/>
            <w:textInput/>
          </w:ffData>
        </w:fldChar>
      </w:r>
      <w:r>
        <w:instrText xml:space="preserve"> FORMTEXT </w:instrText>
      </w:r>
      <w:r>
        <w:fldChar w:fldCharType="separate"/>
      </w:r>
      <w:r w:rsidR="0097494B">
        <w:rPr>
          <w:noProof/>
        </w:rPr>
        <w:t> </w:t>
      </w:r>
      <w:r w:rsidR="0097494B">
        <w:rPr>
          <w:noProof/>
        </w:rPr>
        <w:t> </w:t>
      </w:r>
      <w:r w:rsidR="0097494B">
        <w:rPr>
          <w:noProof/>
        </w:rPr>
        <w:t> </w:t>
      </w:r>
      <w:r w:rsidR="0097494B">
        <w:rPr>
          <w:noProof/>
        </w:rPr>
        <w:t> </w:t>
      </w:r>
      <w:r w:rsidR="0097494B">
        <w:rPr>
          <w:noProof/>
        </w:rPr>
        <w:t> </w:t>
      </w:r>
      <w:r>
        <w:fldChar w:fldCharType="end"/>
      </w:r>
      <w:bookmarkEnd w:id="19"/>
    </w:p>
    <w:p w:rsidR="00B119AC" w:rsidRDefault="00B119AC">
      <w:pPr>
        <w:jc w:val="both"/>
      </w:pPr>
    </w:p>
    <w:tbl>
      <w:tblPr>
        <w:tblW w:w="9468" w:type="dxa"/>
        <w:tblLayout w:type="fixed"/>
        <w:tblLook w:val="0000" w:firstRow="0" w:lastRow="0" w:firstColumn="0" w:lastColumn="0" w:noHBand="0" w:noVBand="0"/>
      </w:tblPr>
      <w:tblGrid>
        <w:gridCol w:w="9468"/>
      </w:tblGrid>
      <w:tr w:rsidR="00B119AC">
        <w:tc>
          <w:tcPr>
            <w:tcW w:w="9468" w:type="dxa"/>
          </w:tcPr>
          <w:bookmarkStart w:id="20" w:name="Dropdown1"/>
          <w:p w:rsidR="00B119AC" w:rsidRDefault="00B119AC" w:rsidP="00102ABE">
            <w:pPr>
              <w:framePr w:w="8589" w:h="2155" w:hSpace="181" w:wrap="notBeside" w:vAnchor="page" w:hAnchor="page" w:x="1641" w:y="14455"/>
            </w:pPr>
            <w:r>
              <w:fldChar w:fldCharType="begin">
                <w:ffData>
                  <w:name w:val="Dropdown1"/>
                  <w:enabled/>
                  <w:calcOnExit w:val="0"/>
                  <w:ddList>
                    <w:listEntry w:val="                                       "/>
                    <w:listEntry w:val="Siunčiama tik el. paštu."/>
                  </w:ddList>
                </w:ffData>
              </w:fldChar>
            </w:r>
            <w:r>
              <w:instrText xml:space="preserve"> FORMDROPDOWN </w:instrText>
            </w:r>
            <w:r w:rsidR="000049B0">
              <w:fldChar w:fldCharType="separate"/>
            </w:r>
            <w:r>
              <w:fldChar w:fldCharType="end"/>
            </w:r>
            <w:bookmarkEnd w:id="20"/>
            <w:r>
              <w:t xml:space="preserve"> </w:t>
            </w:r>
          </w:p>
        </w:tc>
      </w:tr>
      <w:tr w:rsidR="00B119AC">
        <w:tc>
          <w:tcPr>
            <w:tcW w:w="9468" w:type="dxa"/>
          </w:tcPr>
          <w:p w:rsidR="00B119AC" w:rsidRPr="006025BA" w:rsidRDefault="00B119AC" w:rsidP="00102ABE">
            <w:pPr>
              <w:framePr w:w="8589" w:h="2155" w:hSpace="181" w:wrap="notBeside" w:vAnchor="page" w:hAnchor="page" w:x="1641" w:y="14455"/>
              <w:rPr>
                <w:sz w:val="16"/>
                <w:szCs w:val="16"/>
              </w:rPr>
            </w:pPr>
          </w:p>
        </w:tc>
      </w:tr>
      <w:bookmarkStart w:id="21" w:name="Rengejas"/>
      <w:tr w:rsidR="00B119AC">
        <w:tc>
          <w:tcPr>
            <w:tcW w:w="9468" w:type="dxa"/>
          </w:tcPr>
          <w:p w:rsidR="002404CA" w:rsidRDefault="00B119AC" w:rsidP="004B632C">
            <w:pPr>
              <w:framePr w:w="8589" w:h="2155" w:hSpace="181" w:wrap="notBeside" w:vAnchor="page" w:hAnchor="page" w:x="1641" w:y="14455"/>
              <w:rPr>
                <w:noProof/>
                <w:sz w:val="22"/>
              </w:rPr>
            </w:pPr>
            <w:r>
              <w:rPr>
                <w:sz w:val="22"/>
              </w:rPr>
              <w:fldChar w:fldCharType="begin">
                <w:ffData>
                  <w:name w:val="Rengejas"/>
                  <w:enabled/>
                  <w:calcOnExit/>
                  <w:statusText w:type="text" w:val="Rengėjo vardas ir pavardė"/>
                  <w:textInput>
                    <w:default w:val="Rengėjo vardas ir pavardė"/>
                  </w:textInput>
                </w:ffData>
              </w:fldChar>
            </w:r>
            <w:r>
              <w:rPr>
                <w:sz w:val="22"/>
              </w:rPr>
              <w:instrText xml:space="preserve"> FORMTEXT </w:instrText>
            </w:r>
            <w:r>
              <w:rPr>
                <w:sz w:val="22"/>
              </w:rPr>
            </w:r>
            <w:r>
              <w:rPr>
                <w:sz w:val="22"/>
              </w:rPr>
              <w:fldChar w:fldCharType="separate"/>
            </w:r>
            <w:r w:rsidR="002404CA" w:rsidRPr="002404CA">
              <w:rPr>
                <w:noProof/>
                <w:sz w:val="22"/>
              </w:rPr>
              <w:t>Mantas Jautakis, tel. (8 5)  275 1035, el. p. Mantas.Jautakis@sodra.lt</w:t>
            </w:r>
          </w:p>
          <w:p w:rsidR="002404CA" w:rsidRDefault="0097494B" w:rsidP="004B632C">
            <w:pPr>
              <w:framePr w:w="8589" w:h="2155" w:hSpace="181" w:wrap="notBeside" w:vAnchor="page" w:hAnchor="page" w:x="1641" w:y="14455"/>
              <w:rPr>
                <w:noProof/>
                <w:sz w:val="22"/>
              </w:rPr>
            </w:pPr>
            <w:r>
              <w:rPr>
                <w:noProof/>
                <w:sz w:val="22"/>
              </w:rPr>
              <w:t>Donatas Špadas</w:t>
            </w:r>
            <w:r w:rsidR="00B119AC">
              <w:rPr>
                <w:sz w:val="22"/>
              </w:rPr>
              <w:fldChar w:fldCharType="end"/>
            </w:r>
            <w:bookmarkEnd w:id="21"/>
            <w:r w:rsidR="00B119AC">
              <w:rPr>
                <w:sz w:val="22"/>
              </w:rPr>
              <w:fldChar w:fldCharType="begin"/>
            </w:r>
            <w:r w:rsidR="00B119AC">
              <w:rPr>
                <w:sz w:val="22"/>
              </w:rPr>
              <w:instrText xml:space="preserve"> if rengejas = rengejo_kontaktai "" ", " </w:instrText>
            </w:r>
            <w:r w:rsidR="00B119AC">
              <w:rPr>
                <w:sz w:val="22"/>
              </w:rPr>
              <w:fldChar w:fldCharType="separate"/>
            </w:r>
            <w:r w:rsidR="002404CA">
              <w:rPr>
                <w:noProof/>
                <w:sz w:val="22"/>
              </w:rPr>
              <w:t xml:space="preserve">, </w:t>
            </w:r>
            <w:r w:rsidR="00B119AC">
              <w:rPr>
                <w:sz w:val="22"/>
              </w:rPr>
              <w:fldChar w:fldCharType="end"/>
            </w:r>
            <w:bookmarkStart w:id="22" w:name="Rengejo_Kontaktai"/>
            <w:r w:rsidR="00B119AC">
              <w:rPr>
                <w:sz w:val="22"/>
              </w:rPr>
              <w:fldChar w:fldCharType="begin">
                <w:ffData>
                  <w:name w:val="Rengejo_Kontaktai"/>
                  <w:enabled/>
                  <w:calcOnExit/>
                  <w:statusText w:type="text" w:val="Rengėjo kontaktinė informacija - telefonas, el. paštas"/>
                  <w:textInput>
                    <w:default w:val="(kontaktai)"/>
                  </w:textInput>
                </w:ffData>
              </w:fldChar>
            </w:r>
            <w:r w:rsidR="00B119AC">
              <w:rPr>
                <w:sz w:val="22"/>
              </w:rPr>
              <w:instrText xml:space="preserve"> FORMTEXT </w:instrText>
            </w:r>
            <w:r w:rsidR="00B119AC">
              <w:rPr>
                <w:sz w:val="22"/>
              </w:rPr>
            </w:r>
            <w:r w:rsidR="00B119AC">
              <w:rPr>
                <w:sz w:val="22"/>
              </w:rPr>
              <w:fldChar w:fldCharType="separate"/>
            </w:r>
            <w:r>
              <w:rPr>
                <w:noProof/>
                <w:sz w:val="22"/>
              </w:rPr>
              <w:t>tel. (8 5)  263 6067, el. p. Donatas.Spadas@sodra.lt</w:t>
            </w:r>
          </w:p>
          <w:p w:rsidR="00B119AC" w:rsidRDefault="00B119AC" w:rsidP="004B632C">
            <w:pPr>
              <w:framePr w:w="8589" w:h="2155" w:hSpace="181" w:wrap="notBeside" w:vAnchor="page" w:hAnchor="page" w:x="1641" w:y="14455"/>
            </w:pPr>
            <w:r>
              <w:rPr>
                <w:sz w:val="22"/>
              </w:rPr>
              <w:fldChar w:fldCharType="end"/>
            </w:r>
            <w:bookmarkEnd w:id="22"/>
          </w:p>
        </w:tc>
      </w:tr>
    </w:tbl>
    <w:p w:rsidR="00B119AC" w:rsidRPr="00E15F88" w:rsidRDefault="00B119AC" w:rsidP="00102ABE">
      <w:pPr>
        <w:framePr w:w="8589" w:h="2155" w:hSpace="181" w:wrap="notBeside" w:vAnchor="page" w:hAnchor="page" w:x="1641" w:y="14455"/>
        <w:rPr>
          <w:sz w:val="16"/>
          <w:szCs w:val="16"/>
        </w:rPr>
      </w:pPr>
    </w:p>
    <w:p w:rsidR="00B119AC" w:rsidRDefault="00B119AC" w:rsidP="00E51284">
      <w:pPr>
        <w:jc w:val="both"/>
      </w:pPr>
    </w:p>
    <w:sectPr w:rsidR="00B119AC" w:rsidSect="003552EB">
      <w:type w:val="continuous"/>
      <w:pgSz w:w="11906" w:h="16838" w:code="9"/>
      <w:pgMar w:top="397" w:right="567" w:bottom="1134" w:left="1701" w:header="567" w:footer="9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A1A" w:rsidRDefault="00955A1A">
      <w:r>
        <w:separator/>
      </w:r>
    </w:p>
  </w:endnote>
  <w:endnote w:type="continuationSeparator" w:id="0">
    <w:p w:rsidR="00955A1A" w:rsidRDefault="00955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4CA" w:rsidRDefault="002404CA">
    <w:pPr>
      <w:pStyle w:val="Porat"/>
    </w:pPr>
  </w:p>
  <w:p w:rsidR="002404CA" w:rsidRDefault="002404CA">
    <w:pPr>
      <w:pStyle w:val="Porat"/>
    </w:pPr>
  </w:p>
  <w:p w:rsidR="002404CA" w:rsidRDefault="002404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A1A" w:rsidRDefault="00955A1A">
      <w:r>
        <w:separator/>
      </w:r>
    </w:p>
  </w:footnote>
  <w:footnote w:type="continuationSeparator" w:id="0">
    <w:p w:rsidR="00955A1A" w:rsidRDefault="00955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4CA" w:rsidRDefault="002404CA">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4CA" w:rsidRDefault="002404CA">
    <w:pPr>
      <w:pStyle w:val="Antrat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0049B0">
      <w:rPr>
        <w:rStyle w:val="Puslapionumeris"/>
        <w:noProof/>
      </w:rPr>
      <w:t>2</w:t>
    </w:r>
    <w:r>
      <w:rPr>
        <w:rStyle w:val="Puslapionumeris"/>
      </w:rPr>
      <w:fldChar w:fldCharType="end"/>
    </w:r>
  </w:p>
  <w:p w:rsidR="002404CA" w:rsidRDefault="002404C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abstractNum w:abstractNumId="1" w15:restartNumberingAfterBreak="0">
    <w:nsid w:val="2BD011E3"/>
    <w:multiLevelType w:val="hybridMultilevel"/>
    <w:tmpl w:val="A36856D8"/>
    <w:lvl w:ilvl="0" w:tplc="6AFCBF4E">
      <w:start w:val="5"/>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5EF65218"/>
    <w:multiLevelType w:val="hybridMultilevel"/>
    <w:tmpl w:val="1A268006"/>
    <w:lvl w:ilvl="0" w:tplc="B456E4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ggPKq4Zz7f1oAeqDCpj5YZav7/odZCfovC04t2cam/pX5zyb79D+DnNf8Os6MUMiYsAudrud4DB5i7x3cxLg==" w:salt="zmiyB5x3j2/syt+2lBTGwg=="/>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3AD"/>
    <w:rsid w:val="000049B0"/>
    <w:rsid w:val="00050716"/>
    <w:rsid w:val="00064586"/>
    <w:rsid w:val="00066F91"/>
    <w:rsid w:val="00072473"/>
    <w:rsid w:val="000935F9"/>
    <w:rsid w:val="000B1CBF"/>
    <w:rsid w:val="000B5A33"/>
    <w:rsid w:val="000D481C"/>
    <w:rsid w:val="000E1808"/>
    <w:rsid w:val="00102ABE"/>
    <w:rsid w:val="0014047B"/>
    <w:rsid w:val="001417C4"/>
    <w:rsid w:val="001543C9"/>
    <w:rsid w:val="00165BE8"/>
    <w:rsid w:val="00176E6E"/>
    <w:rsid w:val="00190936"/>
    <w:rsid w:val="001B1CF9"/>
    <w:rsid w:val="001B2212"/>
    <w:rsid w:val="001C0B96"/>
    <w:rsid w:val="001C4DB9"/>
    <w:rsid w:val="001D0639"/>
    <w:rsid w:val="001E58D5"/>
    <w:rsid w:val="00210F31"/>
    <w:rsid w:val="002344C6"/>
    <w:rsid w:val="002404CA"/>
    <w:rsid w:val="0024237F"/>
    <w:rsid w:val="002748E3"/>
    <w:rsid w:val="002B194F"/>
    <w:rsid w:val="002B4372"/>
    <w:rsid w:val="002E4286"/>
    <w:rsid w:val="002E6AA2"/>
    <w:rsid w:val="002F2635"/>
    <w:rsid w:val="00305272"/>
    <w:rsid w:val="00310ADE"/>
    <w:rsid w:val="003552EB"/>
    <w:rsid w:val="003A4723"/>
    <w:rsid w:val="003B3781"/>
    <w:rsid w:val="003B3ACB"/>
    <w:rsid w:val="003C2C6B"/>
    <w:rsid w:val="003C494F"/>
    <w:rsid w:val="003C7B9F"/>
    <w:rsid w:val="003F1E65"/>
    <w:rsid w:val="0041785F"/>
    <w:rsid w:val="00427490"/>
    <w:rsid w:val="004353D2"/>
    <w:rsid w:val="00497BD7"/>
    <w:rsid w:val="004B632C"/>
    <w:rsid w:val="004C0CC4"/>
    <w:rsid w:val="00506D1C"/>
    <w:rsid w:val="00566BA2"/>
    <w:rsid w:val="005923AD"/>
    <w:rsid w:val="0059333A"/>
    <w:rsid w:val="005C073F"/>
    <w:rsid w:val="005E1829"/>
    <w:rsid w:val="005F6BAA"/>
    <w:rsid w:val="005F7926"/>
    <w:rsid w:val="006025BA"/>
    <w:rsid w:val="00631790"/>
    <w:rsid w:val="00632A31"/>
    <w:rsid w:val="00634E34"/>
    <w:rsid w:val="0064254A"/>
    <w:rsid w:val="00660640"/>
    <w:rsid w:val="00673044"/>
    <w:rsid w:val="00686A40"/>
    <w:rsid w:val="00694B33"/>
    <w:rsid w:val="006A282A"/>
    <w:rsid w:val="006B4A65"/>
    <w:rsid w:val="006D7A5E"/>
    <w:rsid w:val="006E2B9B"/>
    <w:rsid w:val="006E7E11"/>
    <w:rsid w:val="007453BC"/>
    <w:rsid w:val="007B0E8F"/>
    <w:rsid w:val="008157F8"/>
    <w:rsid w:val="00820D13"/>
    <w:rsid w:val="00822AAC"/>
    <w:rsid w:val="008421D3"/>
    <w:rsid w:val="00842F23"/>
    <w:rsid w:val="00847974"/>
    <w:rsid w:val="008504C8"/>
    <w:rsid w:val="0086184D"/>
    <w:rsid w:val="009021AF"/>
    <w:rsid w:val="009127A2"/>
    <w:rsid w:val="00924A8C"/>
    <w:rsid w:val="00947945"/>
    <w:rsid w:val="00955A1A"/>
    <w:rsid w:val="00961F79"/>
    <w:rsid w:val="009655B4"/>
    <w:rsid w:val="009719F0"/>
    <w:rsid w:val="0097494B"/>
    <w:rsid w:val="009A01D3"/>
    <w:rsid w:val="009B4572"/>
    <w:rsid w:val="009C6D8D"/>
    <w:rsid w:val="009D071C"/>
    <w:rsid w:val="009D1DD5"/>
    <w:rsid w:val="009D4F11"/>
    <w:rsid w:val="00A13D65"/>
    <w:rsid w:val="00A22089"/>
    <w:rsid w:val="00A25F32"/>
    <w:rsid w:val="00A26CDE"/>
    <w:rsid w:val="00A33464"/>
    <w:rsid w:val="00A677A7"/>
    <w:rsid w:val="00A936AA"/>
    <w:rsid w:val="00AA284E"/>
    <w:rsid w:val="00AB73E3"/>
    <w:rsid w:val="00AD3506"/>
    <w:rsid w:val="00AD4696"/>
    <w:rsid w:val="00AE1E83"/>
    <w:rsid w:val="00B10990"/>
    <w:rsid w:val="00B119AC"/>
    <w:rsid w:val="00BC6BFB"/>
    <w:rsid w:val="00BE65FE"/>
    <w:rsid w:val="00C3418E"/>
    <w:rsid w:val="00C53D8F"/>
    <w:rsid w:val="00C571D8"/>
    <w:rsid w:val="00C80A32"/>
    <w:rsid w:val="00C94FA8"/>
    <w:rsid w:val="00CC1287"/>
    <w:rsid w:val="00CD4A12"/>
    <w:rsid w:val="00D03961"/>
    <w:rsid w:val="00D05F7C"/>
    <w:rsid w:val="00D22772"/>
    <w:rsid w:val="00D25D81"/>
    <w:rsid w:val="00D265BD"/>
    <w:rsid w:val="00D32C2D"/>
    <w:rsid w:val="00D44A2E"/>
    <w:rsid w:val="00D4703C"/>
    <w:rsid w:val="00D5389E"/>
    <w:rsid w:val="00D57DF2"/>
    <w:rsid w:val="00D6065D"/>
    <w:rsid w:val="00D661DB"/>
    <w:rsid w:val="00D96BB2"/>
    <w:rsid w:val="00DB3DC1"/>
    <w:rsid w:val="00DC4E01"/>
    <w:rsid w:val="00DD1316"/>
    <w:rsid w:val="00DF0980"/>
    <w:rsid w:val="00DF7D86"/>
    <w:rsid w:val="00E05F82"/>
    <w:rsid w:val="00E10286"/>
    <w:rsid w:val="00E15596"/>
    <w:rsid w:val="00E15F88"/>
    <w:rsid w:val="00E25512"/>
    <w:rsid w:val="00E4491B"/>
    <w:rsid w:val="00E51284"/>
    <w:rsid w:val="00E55933"/>
    <w:rsid w:val="00E669B7"/>
    <w:rsid w:val="00E810C7"/>
    <w:rsid w:val="00EC7C34"/>
    <w:rsid w:val="00EE1845"/>
    <w:rsid w:val="00EF5DFC"/>
    <w:rsid w:val="00F24928"/>
    <w:rsid w:val="00F25D94"/>
    <w:rsid w:val="00F614F7"/>
    <w:rsid w:val="00F6534C"/>
    <w:rsid w:val="00F831D0"/>
    <w:rsid w:val="00FB4147"/>
    <w:rsid w:val="00FD15A1"/>
    <w:rsid w:val="00FD28F9"/>
    <w:rsid w:val="00FD4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6FF6E4CA-0380-401E-BBBA-7F325EC7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 w:type="paragraph" w:customStyle="1" w:styleId="Default">
    <w:name w:val="Default"/>
    <w:rsid w:val="004B632C"/>
    <w:pPr>
      <w:autoSpaceDE w:val="0"/>
      <w:autoSpaceDN w:val="0"/>
      <w:adjustRightInd w:val="0"/>
    </w:pPr>
    <w:rPr>
      <w:rFonts w:eastAsia="Calibri"/>
      <w:color w:val="000000"/>
      <w:sz w:val="24"/>
      <w:szCs w:val="24"/>
      <w:lang w:eastAsia="en-US"/>
    </w:rPr>
  </w:style>
  <w:style w:type="character" w:styleId="Komentaronuoroda">
    <w:name w:val="annotation reference"/>
    <w:uiPriority w:val="99"/>
    <w:semiHidden/>
    <w:unhideWhenUsed/>
    <w:rsid w:val="004B632C"/>
    <w:rPr>
      <w:sz w:val="16"/>
      <w:szCs w:val="16"/>
    </w:rPr>
  </w:style>
  <w:style w:type="paragraph" w:styleId="Komentarotekstas">
    <w:name w:val="annotation text"/>
    <w:basedOn w:val="prastasis"/>
    <w:link w:val="KomentarotekstasDiagrama"/>
    <w:uiPriority w:val="99"/>
    <w:semiHidden/>
    <w:unhideWhenUsed/>
    <w:rsid w:val="004B632C"/>
    <w:pPr>
      <w:ind w:left="851"/>
    </w:pPr>
    <w:rPr>
      <w:rFonts w:ascii="Calibri Light" w:eastAsia="Calibri" w:hAnsi="Calibri Light"/>
      <w:sz w:val="20"/>
      <w:szCs w:val="20"/>
    </w:rPr>
  </w:style>
  <w:style w:type="character" w:customStyle="1" w:styleId="KomentarotekstasDiagrama">
    <w:name w:val="Komentaro tekstas Diagrama"/>
    <w:link w:val="Komentarotekstas"/>
    <w:uiPriority w:val="99"/>
    <w:semiHidden/>
    <w:rsid w:val="004B632C"/>
    <w:rPr>
      <w:rFonts w:ascii="Calibri Light" w:eastAsia="Calibri" w:hAnsi="Calibri Light"/>
      <w:lang w:eastAsia="en-US"/>
    </w:rPr>
  </w:style>
  <w:style w:type="character" w:customStyle="1" w:styleId="fontstyle01">
    <w:name w:val="fontstyle01"/>
    <w:rsid w:val="004B632C"/>
    <w:rPr>
      <w:rFonts w:ascii="Times New Roman" w:hAnsi="Times New Roman" w:cs="Times New Roman" w:hint="default"/>
      <w:b w:val="0"/>
      <w:bCs w:val="0"/>
      <w:i w:val="0"/>
      <w:iCs w:val="0"/>
      <w:color w:val="000000"/>
      <w:sz w:val="24"/>
      <w:szCs w:val="24"/>
    </w:rPr>
  </w:style>
  <w:style w:type="paragraph" w:styleId="Sraopastraipa">
    <w:name w:val="List Paragraph"/>
    <w:basedOn w:val="prastasis"/>
    <w:uiPriority w:val="34"/>
    <w:qFormat/>
    <w:rsid w:val="004B632C"/>
    <w:pPr>
      <w:ind w:left="720"/>
      <w:contextualSpacing/>
    </w:pPr>
    <w:rPr>
      <w:rFonts w:ascii="Calibri Light" w:eastAsia="Calibri" w:hAnsi="Calibri Light"/>
    </w:rPr>
  </w:style>
  <w:style w:type="paragraph" w:styleId="Debesliotekstas">
    <w:name w:val="Balloon Text"/>
    <w:basedOn w:val="prastasis"/>
    <w:link w:val="DebesliotekstasDiagrama"/>
    <w:uiPriority w:val="99"/>
    <w:semiHidden/>
    <w:unhideWhenUsed/>
    <w:rsid w:val="004B632C"/>
    <w:rPr>
      <w:rFonts w:ascii="Segoe UI" w:hAnsi="Segoe UI" w:cs="Segoe UI"/>
      <w:sz w:val="18"/>
      <w:szCs w:val="18"/>
    </w:rPr>
  </w:style>
  <w:style w:type="character" w:customStyle="1" w:styleId="DebesliotekstasDiagrama">
    <w:name w:val="Debesėlio tekstas Diagrama"/>
    <w:link w:val="Debesliotekstas"/>
    <w:uiPriority w:val="99"/>
    <w:semiHidden/>
    <w:rsid w:val="004B632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993933">
      <w:bodyDiv w:val="1"/>
      <w:marLeft w:val="0"/>
      <w:marRight w:val="0"/>
      <w:marTop w:val="0"/>
      <w:marBottom w:val="0"/>
      <w:divBdr>
        <w:top w:val="none" w:sz="0" w:space="0" w:color="auto"/>
        <w:left w:val="none" w:sz="0" w:space="0" w:color="auto"/>
        <w:bottom w:val="none" w:sz="0" w:space="0" w:color="auto"/>
        <w:right w:val="none" w:sz="0" w:space="0" w:color="auto"/>
      </w:divBdr>
      <w:divsChild>
        <w:div w:id="486170535">
          <w:marLeft w:val="0"/>
          <w:marRight w:val="0"/>
          <w:marTop w:val="0"/>
          <w:marBottom w:val="0"/>
          <w:divBdr>
            <w:top w:val="none" w:sz="0" w:space="0" w:color="auto"/>
            <w:left w:val="none" w:sz="0" w:space="0" w:color="auto"/>
            <w:bottom w:val="none" w:sz="0" w:space="0" w:color="auto"/>
            <w:right w:val="none" w:sz="0" w:space="0" w:color="auto"/>
          </w:divBdr>
          <w:divsChild>
            <w:div w:id="1599750930">
              <w:marLeft w:val="0"/>
              <w:marRight w:val="0"/>
              <w:marTop w:val="0"/>
              <w:marBottom w:val="0"/>
              <w:divBdr>
                <w:top w:val="none" w:sz="0" w:space="0" w:color="auto"/>
                <w:left w:val="none" w:sz="0" w:space="0" w:color="auto"/>
                <w:bottom w:val="none" w:sz="0" w:space="0" w:color="auto"/>
                <w:right w:val="none" w:sz="0" w:space="0" w:color="auto"/>
              </w:divBdr>
              <w:divsChild>
                <w:div w:id="1596131791">
                  <w:marLeft w:val="0"/>
                  <w:marRight w:val="0"/>
                  <w:marTop w:val="0"/>
                  <w:marBottom w:val="0"/>
                  <w:divBdr>
                    <w:top w:val="none" w:sz="0" w:space="0" w:color="auto"/>
                    <w:left w:val="none" w:sz="0" w:space="0" w:color="auto"/>
                    <w:bottom w:val="none" w:sz="0" w:space="0" w:color="auto"/>
                    <w:right w:val="none" w:sz="0" w:space="0" w:color="auto"/>
                  </w:divBdr>
                  <w:divsChild>
                    <w:div w:id="1424837173">
                      <w:marLeft w:val="0"/>
                      <w:marRight w:val="0"/>
                      <w:marTop w:val="0"/>
                      <w:marBottom w:val="0"/>
                      <w:divBdr>
                        <w:top w:val="none" w:sz="0" w:space="0" w:color="auto"/>
                        <w:left w:val="none" w:sz="0" w:space="0" w:color="auto"/>
                        <w:bottom w:val="none" w:sz="0" w:space="0" w:color="auto"/>
                        <w:right w:val="none" w:sz="0" w:space="0" w:color="auto"/>
                      </w:divBdr>
                    </w:div>
                    <w:div w:id="20874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Business/!Prj!/SoDra/DMS/SoDros%20info/Blankai%20rastineje/rastu_blanka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C196A-60AA-4D9D-B94A-110575932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rastu_blankas</Template>
  <TotalTime>3</TotalTime>
  <Pages>4</Pages>
  <Words>9430</Words>
  <Characters>5376</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lpstr>
    </vt:vector>
  </TitlesOfParts>
  <Company>sodra</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2020-11-11T13:38:00Z</dcterms:created>
  <dc:creator>Valentina Zacharova</dc:creator>
  <cp:lastModifiedBy>Mantas Jautakis</cp:lastModifiedBy>
  <cp:lastPrinted>2006-07-10T07:19:00Z</cp:lastPrinted>
  <dcterms:modified xsi:type="dcterms:W3CDTF">2020-11-11T13:38:00Z</dcterms:modified>
  <cp:revision>2</cp:revision>
  <dc:title> </dc:title>
</cp:coreProperties>
</file>