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8C17C3" w:rsidP="008C17C3">
      <w:pPr>
        <w:ind w:left="9072"/>
        <w:rPr>
          <w:szCs w:val="24"/>
          <w:lang w:eastAsia="lt-LT"/>
        </w:rPr>
      </w:pPr>
      <w:r w:rsidRPr="00967EC5">
        <w:rPr>
          <w:szCs w:val="24"/>
          <w:lang w:eastAsia="lt-LT"/>
        </w:rPr>
        <w:t>Teisės aktų projektų antikorupcinio vertinimo taisyklių</w:t>
      </w:r>
    </w:p>
    <w:p w:rsidR="008C17C3" w:rsidRPr="00967EC5" w:rsidRDefault="008C17C3" w:rsidP="008C17C3">
      <w:pPr>
        <w:ind w:left="9072"/>
        <w:rPr>
          <w:color w:val="000000"/>
          <w:szCs w:val="24"/>
          <w:lang w:eastAsia="ar-SA"/>
        </w:rPr>
      </w:pPr>
      <w:r w:rsidRPr="00967EC5">
        <w:rPr>
          <w:color w:val="000000"/>
          <w:szCs w:val="24"/>
          <w:lang w:eastAsia="ar-SA"/>
        </w:rPr>
        <w:t>priedas</w:t>
      </w:r>
    </w:p>
    <w:p w:rsidR="008C17C3" w:rsidRPr="00967EC5" w:rsidRDefault="008C17C3" w:rsidP="008C17C3">
      <w:pPr>
        <w:tabs>
          <w:tab w:val="left" w:pos="6237"/>
        </w:tabs>
        <w:rPr>
          <w:color w:val="000000"/>
          <w:szCs w:val="24"/>
          <w:lang w:eastAsia="lt-LT"/>
        </w:rPr>
      </w:pPr>
    </w:p>
    <w:p w:rsidR="00246747" w:rsidRPr="00967EC5" w:rsidRDefault="008C17C3" w:rsidP="00246747">
      <w:pPr>
        <w:jc w:val="center"/>
        <w:rPr>
          <w:szCs w:val="24"/>
          <w:lang w:eastAsia="lt-LT"/>
        </w:rPr>
      </w:pPr>
      <w:r w:rsidRPr="00967EC5">
        <w:rPr>
          <w:szCs w:val="24"/>
          <w:lang w:eastAsia="lt-LT"/>
        </w:rPr>
        <w:t>(</w:t>
      </w:r>
      <w:r w:rsidRPr="00967EC5">
        <w:rPr>
          <w:b/>
          <w:szCs w:val="24"/>
          <w:lang w:eastAsia="lt-LT"/>
        </w:rPr>
        <w:t>Pažym</w:t>
      </w:r>
      <w:bookmarkStart w:id="0" w:name="_GoBack"/>
      <w:bookmarkEnd w:id="0"/>
      <w:r w:rsidRPr="00967EC5">
        <w:rPr>
          <w:b/>
          <w:szCs w:val="24"/>
          <w:lang w:eastAsia="lt-LT"/>
        </w:rPr>
        <w:t>os forma</w:t>
      </w:r>
      <w:r w:rsidR="00246747" w:rsidRPr="00967EC5">
        <w:rPr>
          <w:szCs w:val="24"/>
          <w:lang w:eastAsia="lt-LT"/>
        </w:rPr>
        <w:t>)</w:t>
      </w:r>
    </w:p>
    <w:p w:rsidR="008C17C3" w:rsidRPr="00967EC5" w:rsidRDefault="00B44257" w:rsidP="00246747">
      <w:pPr>
        <w:jc w:val="center"/>
        <w:rPr>
          <w:szCs w:val="24"/>
          <w:lang w:eastAsia="lt-LT"/>
        </w:rPr>
      </w:pPr>
      <w:r w:rsidRPr="00967EC5">
        <w:rPr>
          <w:b/>
          <w:szCs w:val="24"/>
          <w:lang w:eastAsia="lt-LT"/>
        </w:rPr>
        <w:t>TEISĖS AKTO PROJEKTO</w:t>
      </w:r>
      <w:r w:rsidR="008C17C3" w:rsidRPr="00967EC5">
        <w:rPr>
          <w:b/>
          <w:szCs w:val="24"/>
          <w:lang w:eastAsia="lt-LT"/>
        </w:rPr>
        <w:t xml:space="preserve"> ANTIKORUPCINIO VERTINIMO PAŽYMA</w:t>
      </w:r>
    </w:p>
    <w:p w:rsidR="008C17C3" w:rsidRPr="00967EC5" w:rsidRDefault="008C17C3" w:rsidP="008C17C3">
      <w:pPr>
        <w:rPr>
          <w:szCs w:val="24"/>
          <w:lang w:eastAsia="lt-LT"/>
        </w:rPr>
      </w:pPr>
    </w:p>
    <w:p w:rsidR="003A2B09" w:rsidRPr="00960603" w:rsidRDefault="008C17C3" w:rsidP="008B4296">
      <w:pPr>
        <w:jc w:val="both"/>
        <w:rPr>
          <w:caps/>
          <w:szCs w:val="24"/>
        </w:rPr>
      </w:pPr>
      <w:r w:rsidRPr="00960603">
        <w:rPr>
          <w:caps/>
          <w:szCs w:val="24"/>
        </w:rPr>
        <w:t>T</w:t>
      </w:r>
      <w:r w:rsidR="009418CA" w:rsidRPr="00960603">
        <w:rPr>
          <w:szCs w:val="24"/>
        </w:rPr>
        <w:t>eisės akto projekto pavadinimas</w:t>
      </w:r>
      <w:r w:rsidR="0017667D" w:rsidRPr="00960603">
        <w:rPr>
          <w:caps/>
          <w:szCs w:val="24"/>
        </w:rPr>
        <w:t xml:space="preserve">: </w:t>
      </w:r>
      <w:r w:rsidR="0017667D" w:rsidRPr="00960603">
        <w:rPr>
          <w:szCs w:val="24"/>
          <w:lang w:eastAsia="lt-LT"/>
        </w:rPr>
        <w:t>Lietuvos Respubl</w:t>
      </w:r>
      <w:r w:rsidR="000F7C0D" w:rsidRPr="00960603">
        <w:rPr>
          <w:szCs w:val="24"/>
          <w:lang w:eastAsia="lt-LT"/>
        </w:rPr>
        <w:t>ikos Vyriausybės nutarimo „Dėl S</w:t>
      </w:r>
      <w:r w:rsidR="0017667D" w:rsidRPr="00960603">
        <w:rPr>
          <w:szCs w:val="24"/>
          <w:lang w:eastAsia="lt-LT"/>
        </w:rPr>
        <w:t>tatinio informacinio modeliavimo metodų taikymo“ projektas</w:t>
      </w:r>
      <w:r w:rsidR="00B7512A" w:rsidRPr="00960603">
        <w:rPr>
          <w:szCs w:val="24"/>
        </w:rPr>
        <w:t xml:space="preserve"> </w:t>
      </w:r>
      <w:r w:rsidR="009418CA" w:rsidRPr="00960603">
        <w:rPr>
          <w:szCs w:val="24"/>
        </w:rPr>
        <w:t xml:space="preserve">(toliau – projektas). </w:t>
      </w:r>
    </w:p>
    <w:p w:rsidR="0017667D" w:rsidRPr="00960603" w:rsidRDefault="008C17C3" w:rsidP="001B0821">
      <w:pPr>
        <w:pStyle w:val="BodyText"/>
        <w:ind w:firstLine="0"/>
        <w:rPr>
          <w:rFonts w:eastAsia="Times New Roman" w:cs="Times New Roman"/>
        </w:rPr>
      </w:pPr>
      <w:r w:rsidRPr="00960603">
        <w:rPr>
          <w:lang w:eastAsia="lt-LT"/>
        </w:rPr>
        <w:t xml:space="preserve">Teisės akto projekto tiesioginis rengėjas: </w:t>
      </w:r>
      <w:r w:rsidR="009418CA" w:rsidRPr="00960603">
        <w:t xml:space="preserve">Aplinkos ministerijos </w:t>
      </w:r>
      <w:r w:rsidR="009418CA" w:rsidRPr="00960603">
        <w:rPr>
          <w:lang w:eastAsia="ar-SA"/>
        </w:rPr>
        <w:t xml:space="preserve">Statybos ir teritorijų planavimo politikos grupės </w:t>
      </w:r>
      <w:r w:rsidR="0017667D" w:rsidRPr="00960603">
        <w:rPr>
          <w:rFonts w:eastAsia="Times New Roman" w:cs="Times New Roman"/>
        </w:rPr>
        <w:t xml:space="preserve">vyriausiasis specialistas Tomas Boldorevas, tel. +37061804919, el. p. </w:t>
      </w:r>
      <w:proofErr w:type="spellStart"/>
      <w:r w:rsidR="0017667D" w:rsidRPr="00960603">
        <w:rPr>
          <w:rFonts w:eastAsia="Times New Roman" w:cs="Times New Roman"/>
        </w:rPr>
        <w:t>tomas.boldorevas@am.lt</w:t>
      </w:r>
      <w:proofErr w:type="spellEnd"/>
      <w:r w:rsidR="0017667D" w:rsidRPr="00960603">
        <w:rPr>
          <w:rFonts w:eastAsia="Times New Roman" w:cs="Times New Roman"/>
        </w:rPr>
        <w:t>.</w:t>
      </w:r>
    </w:p>
    <w:p w:rsidR="008C17C3" w:rsidRPr="00960603" w:rsidRDefault="008C17C3" w:rsidP="00246747">
      <w:pPr>
        <w:jc w:val="both"/>
        <w:rPr>
          <w:szCs w:val="24"/>
          <w:lang w:eastAsia="lt-LT"/>
        </w:rPr>
      </w:pPr>
      <w:r w:rsidRPr="00960603">
        <w:rPr>
          <w:szCs w:val="24"/>
          <w:lang w:eastAsia="lt-LT"/>
        </w:rPr>
        <w:t xml:space="preserve">Antikorupciniu požiūriu rizikingos teisės akto projekto nuostatos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1"/>
      </w:r>
      <w:r w:rsidRPr="00960603">
        <w:rPr>
          <w:szCs w:val="24"/>
          <w:lang w:eastAsia="lt-LT"/>
        </w:rPr>
        <w:t>: nėra</w:t>
      </w:r>
    </w:p>
    <w:p w:rsidR="008C17C3" w:rsidRPr="00960603" w:rsidRDefault="008C17C3" w:rsidP="00246747">
      <w:pPr>
        <w:jc w:val="both"/>
        <w:rPr>
          <w:szCs w:val="24"/>
          <w:lang w:eastAsia="lt-LT"/>
        </w:rPr>
      </w:pPr>
      <w:r w:rsidRPr="00960603">
        <w:rPr>
          <w:szCs w:val="24"/>
          <w:lang w:eastAsia="lt-LT"/>
        </w:rPr>
        <w:t xml:space="preserve">Antikorupciniu požiūriu rizikingos teisės akto projekto nuostatos, nustatytos atliekant antikorupcinį vertinimą po </w:t>
      </w:r>
      <w:proofErr w:type="spellStart"/>
      <w:r w:rsidRPr="00960603">
        <w:rPr>
          <w:szCs w:val="24"/>
          <w:lang w:eastAsia="lt-LT"/>
        </w:rPr>
        <w:t>tarpinstitucinio</w:t>
      </w:r>
      <w:proofErr w:type="spellEnd"/>
      <w:r w:rsidRPr="00960603">
        <w:rPr>
          <w:szCs w:val="24"/>
          <w:lang w:eastAsia="lt-LT"/>
        </w:rPr>
        <w:t xml:space="preserve"> derinimo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2"/>
      </w:r>
      <w:r w:rsidRPr="00960603">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projektas nesudaro išskirtinių ar nevienodų sąlygų subjektams, su kuriais susijęs teisės akto įgyvendinimas</w:t>
            </w:r>
          </w:p>
        </w:tc>
        <w:tc>
          <w:tcPr>
            <w:tcW w:w="3845" w:type="dxa"/>
            <w:shd w:val="clear" w:color="auto" w:fill="auto"/>
          </w:tcPr>
          <w:p w:rsidR="00FC5947" w:rsidRDefault="00B7512A" w:rsidP="00FC5947">
            <w:pPr>
              <w:pStyle w:val="BodyText"/>
              <w:ind w:firstLine="0"/>
              <w:rPr>
                <w:rFonts w:cs="Times New Roman"/>
              </w:rPr>
            </w:pPr>
            <w:r w:rsidRPr="00967EC5">
              <w:rPr>
                <w:rFonts w:cs="Times New Roman"/>
              </w:rPr>
              <w:t>Projektas nesudaro išskirtinių ar nevienodų sąlygų subjektams, su kuriais susijęs teisės akto įgyvendinimas.</w:t>
            </w:r>
          </w:p>
          <w:p w:rsidR="00A5323B" w:rsidRDefault="00A5323B" w:rsidP="00FC5947">
            <w:pPr>
              <w:pStyle w:val="BodyText"/>
              <w:ind w:firstLine="0"/>
              <w:rPr>
                <w:rFonts w:cs="Times New Roman"/>
              </w:rPr>
            </w:pPr>
          </w:p>
          <w:p w:rsidR="00A5323B" w:rsidRDefault="00A5323B" w:rsidP="00FC5947">
            <w:pPr>
              <w:pStyle w:val="BodyText"/>
              <w:ind w:firstLine="0"/>
              <w:rPr>
                <w:rFonts w:cs="Times New Roman"/>
              </w:rPr>
            </w:pPr>
            <w:r>
              <w:rPr>
                <w:rFonts w:cs="Times New Roman"/>
              </w:rPr>
              <w:t xml:space="preserve">Projektas parengtas įgyvendinant </w:t>
            </w:r>
            <w:r w:rsidRPr="00A85AC7">
              <w:rPr>
                <w:rFonts w:eastAsia="Times New Roman" w:cs="Times New Roman"/>
              </w:rPr>
              <w:t>Lietuvos Respublikos viešųjų pirkimų įstatymo Nr. I-1491 3</w:t>
            </w:r>
            <w:r>
              <w:rPr>
                <w:rFonts w:eastAsia="Times New Roman" w:cs="Times New Roman"/>
              </w:rPr>
              <w:t>5 straipsnio pakeitimo įstatymo</w:t>
            </w:r>
            <w:r w:rsidRPr="00A85AC7">
              <w:rPr>
                <w:rFonts w:eastAsia="Times New Roman" w:cs="Times New Roman"/>
              </w:rPr>
              <w:t xml:space="preserve"> Nr. </w:t>
            </w:r>
            <w:r w:rsidRPr="00A85AC7">
              <w:rPr>
                <w:rFonts w:eastAsia="Times New Roman" w:cs="Times New Roman"/>
              </w:rPr>
              <w:lastRenderedPageBreak/>
              <w:t>XIV-251</w:t>
            </w:r>
            <w:r>
              <w:rPr>
                <w:rFonts w:eastAsia="Times New Roman" w:cs="Times New Roman"/>
              </w:rPr>
              <w:t xml:space="preserve"> ir </w:t>
            </w:r>
            <w:r w:rsidRPr="00A85AC7">
              <w:rPr>
                <w:rFonts w:eastAsia="Times New Roman" w:cs="Times New Roman"/>
              </w:rPr>
              <w:t xml:space="preserve">Lietuvos Respublikos pirkimų, atliekamų </w:t>
            </w:r>
            <w:proofErr w:type="spellStart"/>
            <w:r w:rsidRPr="00A85AC7">
              <w:rPr>
                <w:rFonts w:eastAsia="Times New Roman" w:cs="Times New Roman"/>
              </w:rPr>
              <w:t>vandentvarkos</w:t>
            </w:r>
            <w:proofErr w:type="spellEnd"/>
            <w:r w:rsidRPr="00A85AC7">
              <w:rPr>
                <w:rFonts w:eastAsia="Times New Roman" w:cs="Times New Roman"/>
              </w:rPr>
              <w:t>, energetikos, transporto ar pašto paslaugų srities perkančiųjų subjektų, įstatymo Nr. XIII-328 4</w:t>
            </w:r>
            <w:r>
              <w:rPr>
                <w:rFonts w:eastAsia="Times New Roman" w:cs="Times New Roman"/>
              </w:rPr>
              <w:t>8 straipsnio pakeitimo įstatymo</w:t>
            </w:r>
            <w:r w:rsidRPr="00A85AC7">
              <w:rPr>
                <w:rFonts w:eastAsia="Times New Roman" w:cs="Times New Roman"/>
              </w:rPr>
              <w:t xml:space="preserve"> Nr. XIV-252</w:t>
            </w:r>
            <w:r>
              <w:rPr>
                <w:rFonts w:eastAsia="Times New Roman" w:cs="Times New Roman"/>
              </w:rPr>
              <w:t xml:space="preserve"> nuostatas, p</w:t>
            </w:r>
            <w:r w:rsidR="00147CAE">
              <w:rPr>
                <w:rFonts w:eastAsia="Times New Roman" w:cs="Times New Roman"/>
              </w:rPr>
              <w:t>agal kurias pirkimo dokumentuose</w:t>
            </w:r>
            <w:r>
              <w:rPr>
                <w:rFonts w:eastAsia="Times New Roman" w:cs="Times New Roman"/>
              </w:rPr>
              <w:t xml:space="preserve"> turi būti nurodyta ir </w:t>
            </w:r>
            <w:r>
              <w:rPr>
                <w:color w:val="000000"/>
              </w:rPr>
              <w:t>reikalavimai ir (arba) kriterijai dėl statinio informacinio modeliavimo metodų taikymo Lietuvos Respublikos Vyriausybės ar jos įgaliotos institucijos nustatytais atvejais ir tvarka.</w:t>
            </w:r>
          </w:p>
          <w:p w:rsidR="00FC5947" w:rsidRDefault="00FC5947" w:rsidP="00FC5947">
            <w:pPr>
              <w:pStyle w:val="BodyText"/>
              <w:ind w:firstLine="0"/>
              <w:rPr>
                <w:rFonts w:cs="Times New Roman"/>
              </w:rPr>
            </w:pPr>
          </w:p>
          <w:p w:rsidR="00A5323B" w:rsidRDefault="00A5323B" w:rsidP="00FC5947">
            <w:pPr>
              <w:pStyle w:val="BodyText"/>
              <w:ind w:firstLine="0"/>
            </w:pPr>
            <w:r w:rsidRPr="004976F7">
              <w:rPr>
                <w:rFonts w:eastAsia="Times New Roman" w:cs="Times New Roman"/>
              </w:rPr>
              <w:t>2020 m. gegužės 20 d. Vyriausybė priėmė</w:t>
            </w:r>
            <w:r>
              <w:t xml:space="preserve"> </w:t>
            </w:r>
            <w:r w:rsidRPr="001C722C">
              <w:rPr>
                <w:rFonts w:eastAsia="Times New Roman" w:cs="Times New Roman"/>
              </w:rPr>
              <w:t>sprendimą dėl privalomo bendradarbiavimu pagrįsto statinio informacinio modeliavimo (BIM) metodų taikymo projektuojant ir statant viešojo sektoriaus statinius ar jų dalis (Lietuvos Respublikos Vyriausybės 2020 m. gegužės 20 d. pasitarimo protokolo Nr. 25 2 klausimas ,,Dėl privalomo bendradarbiavimu pagrįsto statinio informacinio modeliavimo (BIM) metodų taikymo projektuojant ir statant viešojo sektoriaus statinius ar jų dalis“</w:t>
            </w:r>
            <w:r w:rsidR="00D53CE1">
              <w:rPr>
                <w:rFonts w:eastAsia="Times New Roman" w:cs="Times New Roman"/>
              </w:rPr>
              <w:t>)</w:t>
            </w:r>
            <w:r>
              <w:rPr>
                <w:rFonts w:eastAsia="Times New Roman" w:cs="Times New Roman"/>
              </w:rPr>
              <w:t xml:space="preserve">. </w:t>
            </w:r>
            <w:r w:rsidRPr="00D1222D">
              <w:t xml:space="preserve">Vyriausybė pareiškė poziciją, kad </w:t>
            </w:r>
            <w:r>
              <w:t xml:space="preserve">BIM </w:t>
            </w:r>
            <w:r w:rsidRPr="00D1222D">
              <w:t xml:space="preserve">metodų taikymas turi tapti viešojo sektoriaus užsakovų (statytojų) įgyvendinamų statinių ir jiems paskirtimi artimų kilnojamųjų daiktų statybos, įrengimo projektų, su jais susijusių viešųjų pirkimų sąlygų </w:t>
            </w:r>
            <w:r w:rsidRPr="00D1222D">
              <w:lastRenderedPageBreak/>
              <w:t xml:space="preserve">ir procedūrų dalimi. Viena esminių priemonių skatinant </w:t>
            </w:r>
            <w:r>
              <w:t>BIM</w:t>
            </w:r>
            <w:r w:rsidRPr="00D1222D">
              <w:t xml:space="preserve"> metodus taikyti statybos sektoriuje – atitinkami reikalavimai vykdant viešuosius pirkimus.</w:t>
            </w:r>
          </w:p>
          <w:p w:rsidR="00A5323B" w:rsidRDefault="00A5323B" w:rsidP="00FC5947">
            <w:pPr>
              <w:pStyle w:val="BodyText"/>
              <w:ind w:firstLine="0"/>
            </w:pPr>
          </w:p>
          <w:p w:rsidR="00A5323B" w:rsidRDefault="00A5323B" w:rsidP="00FC5947">
            <w:pPr>
              <w:pStyle w:val="BodyText"/>
              <w:ind w:firstLine="0"/>
              <w:rPr>
                <w:rFonts w:cs="Times New Roman"/>
              </w:rPr>
            </w:pPr>
            <w:r>
              <w:t xml:space="preserve"> </w:t>
            </w:r>
            <w:r w:rsidR="00F06F17" w:rsidRPr="00F06F17">
              <w:t xml:space="preserve">Priėmus nutarimo projektą siekiama sudaryti sąlygas efektyvesniam išteklių naudojimui planuojant, projektuojant, statant, eksploatuojant viešojo sektoriaus statinius, </w:t>
            </w:r>
            <w:proofErr w:type="spellStart"/>
            <w:r w:rsidR="00F06F17" w:rsidRPr="00F06F17">
              <w:t>skaitmeninti</w:t>
            </w:r>
            <w:proofErr w:type="spellEnd"/>
            <w:r w:rsidR="00F06F17" w:rsidRPr="00F06F17">
              <w:t xml:space="preserve"> su tuo susijusius procesus, taikant BIM metodus, ir taip paskatinti viso nacionalinio statybos sektoriaus technologinę pažangą ir konkurencingumą.</w:t>
            </w:r>
          </w:p>
          <w:p w:rsidR="00D059A6" w:rsidRPr="00C21565" w:rsidRDefault="00D059A6" w:rsidP="00A5323B">
            <w:pPr>
              <w:ind w:firstLine="567"/>
              <w:jc w:val="both"/>
            </w:pP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D53CE1" w:rsidRDefault="008C17C3" w:rsidP="00D53CE1">
            <w:pPr>
              <w:keepNext/>
              <w:jc w:val="both"/>
              <w:rPr>
                <w:szCs w:val="24"/>
                <w:lang w:eastAsia="lt-LT"/>
              </w:rPr>
            </w:pPr>
            <w:r w:rsidRPr="00967EC5">
              <w:rPr>
                <w:szCs w:val="24"/>
                <w:lang w:eastAsia="lt-LT"/>
              </w:rPr>
              <w:t>Projekto</w:t>
            </w:r>
            <w:r w:rsidR="00A87CC5" w:rsidRPr="00967EC5">
              <w:rPr>
                <w:szCs w:val="24"/>
                <w:lang w:eastAsia="lt-LT"/>
              </w:rPr>
              <w:t xml:space="preserve"> nuostatos aiškios ir nesudaro galimybės dviprasmiškai aiškinti ir taikyti teisės aktą.</w:t>
            </w:r>
          </w:p>
          <w:p w:rsidR="00D53CE1" w:rsidRDefault="00D53CE1" w:rsidP="00D53CE1">
            <w:pPr>
              <w:keepNext/>
              <w:jc w:val="both"/>
              <w:rPr>
                <w:szCs w:val="24"/>
                <w:lang w:eastAsia="lt-LT"/>
              </w:rPr>
            </w:pPr>
          </w:p>
          <w:p w:rsidR="0027463D" w:rsidRDefault="00781640" w:rsidP="0027463D">
            <w:pPr>
              <w:keepNext/>
              <w:jc w:val="both"/>
            </w:pPr>
            <w:r w:rsidRPr="00781640">
              <w:t>Nutarimo projekto 1 punktu siūloma nustatyti, kad pirkimo dokumentuose turi būti nurodyti reikalavimai ir (arba) kriterijai dėl privalomo BIM metodų taikymo aplinkos ministro nustatyta tvarka perkančiosioms organizacijoms ir perkantiesiems subjektams (toliau kartu – pirkimų vykdytojai) perkant ypatingųjų statinių kategorijai priskiriamų statinių naujos statybos, rekonstravimo projektavimo paslaugas, naujos statybos, rekonstravimo darbus, kilnojamųjų daiktų (elektros energijos persiuntimui skirtų žemosios ir vidutinės įtampos elektros oro linijų, oro kabelių linijų, požeminių ir povandeninių kabelių linijų ir jų technologinių priklausinių, įskaitant transformatorines ir transformatorių pastotes ir jose įrengtus įrenginius, požeminių kabelių kanalų, linijas laikan</w:t>
            </w:r>
            <w:r w:rsidR="00054996">
              <w:t>čių</w:t>
            </w:r>
            <w:r w:rsidRPr="00781640">
              <w:t xml:space="preserve"> atramų ir kitų technologinių priklausinių, taip pat vartotojo elektros įrenginių, mažo ir vidutinio slėgio dujotiekių, ryšių linijų, ryšių kabelių, ryšių kabelių kanalų sistemų (toliau – kilnojamieji daiktai)) įrengimo, pertvarkymo projektavimo paslaugas, įrengimo, pertvarkymo darbus, statinių ir kilnojamųjų daiktų </w:t>
            </w:r>
            <w:r w:rsidRPr="00781640">
              <w:lastRenderedPageBreak/>
              <w:t xml:space="preserve">grupių (kvartalų) atnaujinimo (modernizavimo) projektavimo paslaugas, atnaujinimo (modernizavimo) darbus įgyvendinant urbanizuotose teritorijose esančių statinių ir kilnojamųjų daiktų grupių (kvartalų) atnaujinimo (modernizavimo) projektus. Statiniai, kilnojamieji daiktai, statinių ir kilnojamųjų daiktų grupės (kvartalai) turi atitikti visus reikalavimus, nurodytus nutarimo projekto </w:t>
            </w:r>
            <w:r w:rsidR="00054996">
              <w:t>1 punkte.</w:t>
            </w:r>
          </w:p>
          <w:p w:rsidR="00AB65F0" w:rsidRDefault="00AB65F0" w:rsidP="0027463D">
            <w:pPr>
              <w:keepNext/>
              <w:jc w:val="both"/>
            </w:pPr>
          </w:p>
          <w:p w:rsidR="00AB65F0" w:rsidRDefault="00AB65F0" w:rsidP="0027463D">
            <w:pPr>
              <w:keepNext/>
              <w:jc w:val="both"/>
            </w:pPr>
            <w:r w:rsidRPr="00AB65F0">
              <w:t xml:space="preserve">Nutarimo projekto 2 punkte nurodoma, kad BIM metodai ir reikalavimai dėl BIM metodų taikymo, nurodyti šio nutarimo projekto 1 punkte, </w:t>
            </w:r>
            <w:r w:rsidR="0068082A">
              <w:t xml:space="preserve">neprivalomi pirkimų vykdytojams </w:t>
            </w:r>
            <w:r w:rsidRPr="00AB65F0">
              <w:t>perkant projektinių pasiūlymų rengimo paslaugas.</w:t>
            </w:r>
          </w:p>
          <w:p w:rsidR="00781640" w:rsidRDefault="00781640" w:rsidP="0027463D">
            <w:pPr>
              <w:keepNext/>
              <w:jc w:val="both"/>
            </w:pPr>
          </w:p>
          <w:p w:rsidR="00231272" w:rsidRDefault="009C42E2" w:rsidP="0027463D">
            <w:pPr>
              <w:keepNext/>
              <w:jc w:val="both"/>
            </w:pPr>
            <w:r w:rsidRPr="009C42E2">
              <w:t>Nutarim</w:t>
            </w:r>
            <w:r w:rsidR="00440076">
              <w:t>o projekto 3</w:t>
            </w:r>
            <w:r w:rsidRPr="009C42E2">
              <w:t xml:space="preserve"> punktu nurodoma, kad BIM metodai ir reikalavimai dėl BIM metodų taikymo, nurodyti šio nutarimo projekto 1 punkte, neprivalomi pirkimų vykdytojams perkant kultūros paveldo statinių (ar jų dalių) ir kitų kultūros paveldo objektų tvarkybos darbus ir tvarkomuosius statybos darbus, nes prie statinių priskiriami ir kultūros paveldo statiniai (jų dalys). Kultūros paveldo statiniams (ar jų dalims) ir kitiems </w:t>
            </w:r>
            <w:r w:rsidRPr="009C42E2">
              <w:lastRenderedPageBreak/>
              <w:t>kultūros paveldo objektams dėl savo specifikos</w:t>
            </w:r>
            <w:r w:rsidR="00151987">
              <w:t>, sudėtingumo ir</w:t>
            </w:r>
            <w:r w:rsidRPr="009C42E2">
              <w:t xml:space="preserve"> vertingųjų savybių </w:t>
            </w:r>
            <w:r w:rsidR="00151987" w:rsidRPr="00151987">
              <w:t>šiame etape nesiūloma privalomai taikyti BIM metodus.</w:t>
            </w:r>
          </w:p>
          <w:p w:rsidR="009C42E2" w:rsidRDefault="009C42E2" w:rsidP="0027463D">
            <w:pPr>
              <w:keepNext/>
              <w:jc w:val="both"/>
            </w:pPr>
          </w:p>
          <w:p w:rsidR="0027463D" w:rsidRDefault="0027463D" w:rsidP="0027463D">
            <w:pPr>
              <w:keepNext/>
              <w:jc w:val="both"/>
            </w:pPr>
            <w:r>
              <w:t xml:space="preserve">Projekto </w:t>
            </w:r>
            <w:r w:rsidR="00A10731">
              <w:t>4</w:t>
            </w:r>
            <w:r>
              <w:t xml:space="preserve"> punkte nurodoma, kad rekomenduojama </w:t>
            </w:r>
            <w:r w:rsidR="002E62B7" w:rsidRPr="002E62B7">
              <w:t>pirkimų vykdytojams reikalavimus ir (arba) kriterijus dėl statinio informacinio modeliavimo metodų taikymo aplinkos ministro nustatyta tvarka nurodyti pirkimo dokumentuose perkant ypatingųjų statinių kategorijai priskiriamų statinių naujos statybos, rekonstravimo projektavimo paslaugas, naujos statybos, rekonstravimo darbus, kilnojamųjų daiktų įrengimo, pertvarkymo projektavimo paslaugas, įrengimo, pertvarkymo darbus, statinių ir kilnojamųjų daiktų grupių (kvartalų) atnaujinimo (modernizavimo) projektavimo paslaugas, atnaujinimo (modernizavimo) darbus įgyvendinant urbanizuotose teritorijose esančių statinių ir kilnojamųjų daiktų grupių (kvartalų) atnaujinimo (modernizavimo) projektus, kai statiniai, kilnojamieji daiktai, statinių ir kilnojamųjų daiktų grupės (kvartalai) neatitinka 1 punkto reikalavimų. Pirkimų vykdytojai galėtų nurodyti pirkimo dokumentuose taikyti BIM metodus ir mažesnės vertės projektams.</w:t>
            </w:r>
          </w:p>
          <w:p w:rsidR="002E62B7" w:rsidRDefault="002E62B7" w:rsidP="0027463D">
            <w:pPr>
              <w:keepNext/>
              <w:jc w:val="both"/>
              <w:rPr>
                <w:szCs w:val="24"/>
              </w:rPr>
            </w:pPr>
          </w:p>
          <w:p w:rsidR="0027463D" w:rsidRPr="00967EC5" w:rsidRDefault="00262B9B" w:rsidP="0068626D">
            <w:pPr>
              <w:keepNext/>
              <w:jc w:val="both"/>
            </w:pPr>
            <w:r>
              <w:rPr>
                <w:szCs w:val="24"/>
              </w:rPr>
              <w:t>Projekto 5</w:t>
            </w:r>
            <w:r w:rsidR="0027463D">
              <w:rPr>
                <w:szCs w:val="24"/>
              </w:rPr>
              <w:t xml:space="preserve"> punktu Aplinkos ministerija įgaliojama </w:t>
            </w:r>
            <w:r w:rsidR="0068626D">
              <w:rPr>
                <w:szCs w:val="24"/>
              </w:rPr>
              <w:t>parengti ir patvirtinti</w:t>
            </w:r>
            <w:r w:rsidR="0027463D">
              <w:rPr>
                <w:szCs w:val="24"/>
              </w:rPr>
              <w:t xml:space="preserve"> statinio informacinio modeliavimo metodų taikymo tvarką.</w:t>
            </w: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lastRenderedPageBreak/>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jc w:val="both"/>
              <w:rPr>
                <w:szCs w:val="24"/>
                <w:lang w:eastAsia="ar-SA"/>
              </w:rPr>
            </w:pPr>
            <w:r w:rsidRPr="00967EC5">
              <w:rPr>
                <w:bCs/>
                <w:szCs w:val="24"/>
              </w:rPr>
              <w:t>Projekte tokių nuostatų nėra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suppressAutoHyphens/>
              <w:jc w:val="both"/>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nustatytas baigtinis sprendimo priėmimo kriterijų (atvejų) sąrašas</w:t>
            </w:r>
          </w:p>
        </w:tc>
        <w:tc>
          <w:tcPr>
            <w:tcW w:w="3845" w:type="dxa"/>
            <w:shd w:val="clear" w:color="auto" w:fill="auto"/>
          </w:tcPr>
          <w:p w:rsidR="00646FBE" w:rsidRPr="00967EC5" w:rsidRDefault="00646FBE" w:rsidP="00646FBE">
            <w:pPr>
              <w:rPr>
                <w:bCs/>
                <w:szCs w:val="24"/>
              </w:rPr>
            </w:pPr>
            <w:r w:rsidRPr="00967EC5">
              <w:rPr>
                <w:bCs/>
                <w:szCs w:val="24"/>
              </w:rPr>
              <w:t>Ši nuostata neaktuali.</w:t>
            </w:r>
          </w:p>
          <w:p w:rsidR="00B7512A" w:rsidRPr="00967EC5" w:rsidRDefault="00646FBE" w:rsidP="00646FBE">
            <w:pPr>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nustatytas 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946A11" w:rsidRPr="00967EC5" w:rsidRDefault="00946A11" w:rsidP="00946A11">
            <w:pPr>
              <w:rPr>
                <w:bCs/>
                <w:szCs w:val="24"/>
              </w:rPr>
            </w:pPr>
            <w:r w:rsidRPr="00967EC5">
              <w:rPr>
                <w:bCs/>
                <w:szCs w:val="24"/>
              </w:rPr>
              <w:t>Ši nuostata neaktuali.</w:t>
            </w:r>
          </w:p>
          <w:p w:rsidR="002D5183" w:rsidRPr="00967EC5" w:rsidRDefault="00946A11" w:rsidP="00B7512A">
            <w:pPr>
              <w:rPr>
                <w:bCs/>
                <w:szCs w:val="24"/>
              </w:rPr>
            </w:pPr>
            <w:r w:rsidRPr="00967EC5">
              <w:rPr>
                <w:bCs/>
                <w:szCs w:val="24"/>
              </w:rPr>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B7512A" w:rsidRPr="00967EC5" w:rsidRDefault="00B7512A" w:rsidP="00B7512A">
            <w:pPr>
              <w:rPr>
                <w:bCs/>
                <w:szCs w:val="24"/>
              </w:rPr>
            </w:pPr>
            <w:r w:rsidRPr="00967EC5">
              <w:rPr>
                <w:bCs/>
                <w:szCs w:val="24"/>
              </w:rPr>
              <w:t>Ši nuostata neaktuali.</w:t>
            </w:r>
          </w:p>
          <w:p w:rsidR="0049755F" w:rsidRPr="00967EC5" w:rsidRDefault="00B7512A" w:rsidP="00B7512A">
            <w:pPr>
              <w:tabs>
                <w:tab w:val="left" w:pos="993"/>
              </w:tabs>
              <w:jc w:val="both"/>
              <w:rPr>
                <w:b/>
                <w:color w:val="000000"/>
                <w:szCs w:val="24"/>
              </w:rPr>
            </w:pPr>
            <w:r w:rsidRPr="00967EC5">
              <w:rPr>
                <w:bCs/>
                <w:szCs w:val="24"/>
              </w:rPr>
              <w:t>Projekte 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B7512A" w:rsidP="00AD0BB3">
            <w:pPr>
              <w:rPr>
                <w:szCs w:val="24"/>
                <w:lang w:eastAsia="lt-LT"/>
              </w:rPr>
            </w:pPr>
            <w:r w:rsidRPr="00967EC5">
              <w:rPr>
                <w:szCs w:val="24"/>
                <w:lang w:eastAsia="lt-LT"/>
              </w:rPr>
              <w:t>□</w:t>
            </w:r>
            <w:r w:rsidR="002D5183" w:rsidRPr="00967EC5">
              <w:rPr>
                <w:szCs w:val="24"/>
                <w:lang w:eastAsia="lt-LT"/>
              </w:rPr>
              <w:t xml:space="preserve"> 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CF541C" w:rsidRPr="00967EC5" w:rsidRDefault="00CF541C" w:rsidP="00CF541C">
            <w:pPr>
              <w:rPr>
                <w:bCs/>
                <w:szCs w:val="24"/>
              </w:rPr>
            </w:pPr>
            <w:r w:rsidRPr="00967EC5">
              <w:rPr>
                <w:bCs/>
                <w:szCs w:val="24"/>
              </w:rPr>
              <w:t>Ši nuostata neaktuali.</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Jeigu pagal numatomą reguliavimą sprendimus priima </w:t>
            </w:r>
            <w:r w:rsidRPr="00967EC5">
              <w:rPr>
                <w:szCs w:val="24"/>
                <w:lang w:eastAsia="lt-LT"/>
              </w:rPr>
              <w:lastRenderedPageBreak/>
              <w:t>kolegialus subjektas, teisės akto projekte nustatyta kolegialaus sprendimus priimančio subjekto:</w:t>
            </w:r>
          </w:p>
          <w:p w:rsidR="00CF541C" w:rsidRPr="00967EC5" w:rsidRDefault="00CF541C" w:rsidP="00AD0BB3">
            <w:pPr>
              <w:ind w:left="33"/>
              <w:rPr>
                <w:szCs w:val="24"/>
              </w:rPr>
            </w:pPr>
            <w:r w:rsidRPr="00967EC5">
              <w:rPr>
                <w:szCs w:val="24"/>
              </w:rPr>
              <w:t>9.1. konkretus narių skaičius, užtikrinantis kolegialaus sprendimus priimančio subjekto veiklos objektyvumą;</w:t>
            </w:r>
          </w:p>
          <w:p w:rsidR="00CF541C" w:rsidRPr="00967EC5" w:rsidRDefault="00CF541C" w:rsidP="00AD0BB3">
            <w:pPr>
              <w:ind w:left="33"/>
              <w:rPr>
                <w:szCs w:val="24"/>
              </w:rPr>
            </w:pPr>
            <w:r w:rsidRPr="00967EC5">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9.4. narių rotacija ir kadencijų skaičius ir trukmė;</w:t>
            </w:r>
          </w:p>
          <w:p w:rsidR="00CF541C" w:rsidRPr="00967EC5" w:rsidRDefault="00CF541C" w:rsidP="00AD0BB3">
            <w:pPr>
              <w:rPr>
                <w:szCs w:val="24"/>
              </w:rPr>
            </w:pPr>
            <w:r w:rsidRPr="00967EC5">
              <w:rPr>
                <w:szCs w:val="24"/>
              </w:rPr>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B7512A" w:rsidRPr="00967EC5" w:rsidRDefault="00B7512A" w:rsidP="00B7512A">
            <w:pPr>
              <w:rPr>
                <w:bCs/>
                <w:szCs w:val="24"/>
              </w:rPr>
            </w:pPr>
            <w:r w:rsidRPr="00967EC5">
              <w:rPr>
                <w:bCs/>
                <w:szCs w:val="24"/>
              </w:rPr>
              <w:lastRenderedPageBreak/>
              <w:t>Ši nuostata neaktuali.</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10.</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projekto nuostatoms įgyvendinti numatytos administracinės procedūros yra </w:t>
            </w:r>
            <w:r w:rsidRPr="00967EC5">
              <w:rPr>
                <w:szCs w:val="24"/>
                <w:shd w:val="clear" w:color="auto" w:fill="FFFFFF"/>
                <w:lang w:eastAsia="lt-LT"/>
              </w:rPr>
              <w:t>būtinos,</w:t>
            </w:r>
            <w:r w:rsidRPr="00967EC5">
              <w:rPr>
                <w:szCs w:val="24"/>
                <w:lang w:eastAsia="lt-LT"/>
              </w:rPr>
              <w:t xml:space="preserve"> nustatyta išsami jų taikymo tvarka </w:t>
            </w:r>
          </w:p>
          <w:p w:rsidR="00BD494A" w:rsidRPr="00967EC5" w:rsidRDefault="00BD494A"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DD1D8C">
            <w:pPr>
              <w:widowControl w:val="0"/>
              <w:suppressAutoHyphens/>
              <w:jc w:val="both"/>
              <w:rPr>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lastRenderedPageBreak/>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DC2AE3" w:rsidRDefault="00DC2AE3" w:rsidP="00646FBE">
            <w:pPr>
              <w:keepNext/>
              <w:rPr>
                <w:bCs/>
                <w:szCs w:val="24"/>
              </w:rPr>
            </w:pPr>
            <w:r w:rsidRPr="00DC2AE3">
              <w:rPr>
                <w:bCs/>
                <w:szCs w:val="24"/>
              </w:rPr>
              <w:t>Nutarimo projekto 2 punkte nurodoma, kad BIM metodai ir reikalavimai dėl BIM metodų taikymo, nurodyti šio nutarimo projekto 1 punkte, neprivalomi pirkimų vykdytojams perkant projektinių pasiūlymų rengimo paslaugas.</w:t>
            </w:r>
          </w:p>
          <w:p w:rsidR="00DC2AE3" w:rsidRDefault="00DC2AE3" w:rsidP="00646FBE">
            <w:pPr>
              <w:keepNext/>
              <w:rPr>
                <w:bCs/>
                <w:szCs w:val="24"/>
              </w:rPr>
            </w:pPr>
          </w:p>
          <w:p w:rsidR="00646FBE" w:rsidRPr="00646FBE" w:rsidRDefault="00646FBE" w:rsidP="00646FBE">
            <w:pPr>
              <w:keepNext/>
              <w:rPr>
                <w:bCs/>
                <w:szCs w:val="24"/>
              </w:rPr>
            </w:pPr>
            <w:r>
              <w:rPr>
                <w:bCs/>
                <w:szCs w:val="24"/>
              </w:rPr>
              <w:t>Projekto</w:t>
            </w:r>
            <w:r w:rsidR="0008757B">
              <w:rPr>
                <w:bCs/>
                <w:szCs w:val="24"/>
              </w:rPr>
              <w:t xml:space="preserve"> </w:t>
            </w:r>
            <w:r w:rsidR="00DC2AE3">
              <w:rPr>
                <w:bCs/>
                <w:szCs w:val="24"/>
              </w:rPr>
              <w:t xml:space="preserve">3 </w:t>
            </w:r>
            <w:r>
              <w:rPr>
                <w:bCs/>
                <w:szCs w:val="24"/>
              </w:rPr>
              <w:t xml:space="preserve">punkte nurodyta, kad </w:t>
            </w:r>
            <w:r w:rsidR="0008757B">
              <w:rPr>
                <w:bCs/>
                <w:szCs w:val="24"/>
              </w:rPr>
              <w:t xml:space="preserve">BIM metodai </w:t>
            </w:r>
            <w:r w:rsidR="0008757B" w:rsidRPr="0008757B">
              <w:rPr>
                <w:szCs w:val="24"/>
              </w:rPr>
              <w:t>neprivalomi pirkimų vykdytojams perkant kultūros paveldo statinių (ar jų dalių) ir kitų kultūros paveldo objektų tvarkybos darbus ir tvarkomuosius statybos darbus</w:t>
            </w:r>
          </w:p>
          <w:p w:rsidR="00646FBE" w:rsidRPr="00967EC5" w:rsidRDefault="00646FBE" w:rsidP="00AC6EFD">
            <w:pPr>
              <w:keepNext/>
              <w:rPr>
                <w:szCs w:val="24"/>
                <w:lang w:eastAsia="lt-LT"/>
              </w:rPr>
            </w:pP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646FBE" w:rsidP="00AD0BB3">
            <w:pPr>
              <w:keepNext/>
              <w:rPr>
                <w:szCs w:val="24"/>
                <w:lang w:eastAsia="lt-LT"/>
              </w:rPr>
            </w:pPr>
            <w:proofErr w:type="spellStart"/>
            <w:r>
              <w:rPr>
                <w:szCs w:val="24"/>
                <w:lang w:eastAsia="lt-LT"/>
              </w:rPr>
              <w:t>X</w:t>
            </w:r>
            <w:r w:rsidR="00CF541C" w:rsidRPr="00967EC5">
              <w:rPr>
                <w:szCs w:val="24"/>
                <w:lang w:eastAsia="lt-LT"/>
              </w:rPr>
              <w:t>tenkina</w:t>
            </w:r>
            <w:proofErr w:type="spellEnd"/>
          </w:p>
          <w:p w:rsidR="00CF541C" w:rsidRPr="00967EC5" w:rsidRDefault="00CF541C" w:rsidP="00AD0BB3">
            <w:pPr>
              <w:keepNext/>
              <w:rPr>
                <w:szCs w:val="24"/>
                <w:lang w:eastAsia="lt-LT"/>
              </w:rPr>
            </w:pPr>
            <w:r w:rsidRPr="00967EC5">
              <w:rPr>
                <w:szCs w:val="24"/>
                <w:lang w:eastAsia="lt-LT"/>
              </w:rPr>
              <w:t>□ netenkina</w:t>
            </w:r>
          </w:p>
        </w:tc>
      </w:tr>
      <w:tr w:rsidR="00CF541C" w:rsidRPr="00967EC5" w:rsidTr="00722F99">
        <w:trPr>
          <w:trHeight w:val="1545"/>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12.</w:t>
            </w:r>
          </w:p>
        </w:tc>
        <w:tc>
          <w:tcPr>
            <w:tcW w:w="3301" w:type="dxa"/>
            <w:shd w:val="clear" w:color="auto" w:fill="auto"/>
          </w:tcPr>
          <w:p w:rsidR="00BD494A" w:rsidRPr="00722F99" w:rsidRDefault="00CF541C" w:rsidP="00AD0BB3">
            <w:pPr>
              <w:rPr>
                <w:szCs w:val="24"/>
                <w:lang w:eastAsia="lt-LT"/>
              </w:rPr>
            </w:pPr>
            <w:r w:rsidRPr="00CB4EA0">
              <w:rPr>
                <w:szCs w:val="24"/>
                <w:lang w:eastAsia="lt-LT"/>
              </w:rPr>
              <w:t>Teisės akto projektas nustato jo nuostatoms įgyvendinti numatytų administracinių procedūrų ir sprendimo priėmimo konkrečius terminus</w:t>
            </w:r>
          </w:p>
        </w:tc>
        <w:tc>
          <w:tcPr>
            <w:tcW w:w="3845" w:type="dxa"/>
            <w:shd w:val="clear" w:color="auto" w:fill="auto"/>
          </w:tcPr>
          <w:p w:rsidR="00CB4EA0" w:rsidRPr="00967EC5" w:rsidRDefault="00CB4EA0" w:rsidP="00CB4EA0">
            <w:pPr>
              <w:rPr>
                <w:bCs/>
                <w:szCs w:val="24"/>
              </w:rPr>
            </w:pPr>
            <w:r w:rsidRPr="00967EC5">
              <w:rPr>
                <w:bCs/>
                <w:szCs w:val="24"/>
              </w:rPr>
              <w:t>Ši nuostata neaktuali.</w:t>
            </w:r>
          </w:p>
          <w:p w:rsidR="00CB4EA0" w:rsidRPr="00967EC5" w:rsidRDefault="00CB4EA0" w:rsidP="00CB4EA0">
            <w:pPr>
              <w:tabs>
                <w:tab w:val="left" w:pos="993"/>
              </w:tabs>
              <w:jc w:val="both"/>
              <w:rPr>
                <w:color w:val="000000"/>
                <w:szCs w:val="24"/>
              </w:rPr>
            </w:pPr>
            <w:r w:rsidRPr="00967EC5">
              <w:rPr>
                <w:bCs/>
                <w:szCs w:val="24"/>
              </w:rPr>
              <w:t>Projekte tokių nuostatų nėra.</w:t>
            </w:r>
          </w:p>
          <w:p w:rsidR="00CB4EA0" w:rsidRPr="00CB4EA0" w:rsidRDefault="00CB4EA0" w:rsidP="00CB4EA0">
            <w:pPr>
              <w:jc w:val="both"/>
              <w:rPr>
                <w:szCs w:val="24"/>
                <w:lang w:eastAsia="lt-LT"/>
              </w:rPr>
            </w:pPr>
          </w:p>
          <w:p w:rsidR="00F279DA" w:rsidRPr="00F279DA" w:rsidRDefault="00F279DA" w:rsidP="00F279DA">
            <w:pPr>
              <w:tabs>
                <w:tab w:val="left" w:pos="993"/>
              </w:tabs>
              <w:jc w:val="both"/>
              <w:rPr>
                <w:color w:val="000000"/>
                <w:szCs w:val="24"/>
              </w:rPr>
            </w:pPr>
          </w:p>
          <w:p w:rsidR="00F279DA" w:rsidRPr="00F279DA" w:rsidRDefault="00F279DA" w:rsidP="00AC6EFD">
            <w:pPr>
              <w:rPr>
                <w:b/>
                <w:bCs/>
                <w:szCs w:val="24"/>
              </w:rPr>
            </w:pPr>
          </w:p>
          <w:p w:rsidR="00F279DA" w:rsidRPr="00F279DA" w:rsidRDefault="00F279DA" w:rsidP="00AC6EFD">
            <w:pPr>
              <w:rPr>
                <w:b/>
                <w:bCs/>
                <w:szCs w:val="24"/>
              </w:rPr>
            </w:pPr>
          </w:p>
          <w:p w:rsidR="00F279DA" w:rsidRPr="00F279DA" w:rsidRDefault="00F279DA" w:rsidP="00AC6EFD">
            <w:pPr>
              <w:rPr>
                <w:b/>
                <w:bCs/>
                <w:szCs w:val="24"/>
              </w:rPr>
            </w:pPr>
          </w:p>
          <w:p w:rsidR="00CF541C" w:rsidRPr="00F279DA" w:rsidRDefault="00CF541C" w:rsidP="00F279DA">
            <w:pPr>
              <w:tabs>
                <w:tab w:val="left" w:pos="993"/>
              </w:tabs>
              <w:jc w:val="both"/>
              <w:rPr>
                <w:b/>
                <w:szCs w:val="24"/>
                <w:lang w:eastAsia="lt-LT"/>
              </w:rPr>
            </w:pPr>
          </w:p>
        </w:tc>
        <w:tc>
          <w:tcPr>
            <w:tcW w:w="3658" w:type="dxa"/>
            <w:shd w:val="clear" w:color="auto" w:fill="auto"/>
          </w:tcPr>
          <w:p w:rsidR="00CF541C" w:rsidRPr="00F279DA"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BD494A" w:rsidRPr="00967EC5" w:rsidRDefault="00BD494A" w:rsidP="00DD1D8C">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14.</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administracinių procedūrų viešinimo tvarką</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5602FD">
            <w:pPr>
              <w:tabs>
                <w:tab w:val="left" w:pos="993"/>
              </w:tabs>
              <w:jc w:val="both"/>
              <w:rPr>
                <w:b/>
                <w:color w:val="000000"/>
                <w:szCs w:val="24"/>
              </w:rPr>
            </w:pPr>
          </w:p>
        </w:tc>
        <w:tc>
          <w:tcPr>
            <w:tcW w:w="3658" w:type="dxa"/>
            <w:shd w:val="clear" w:color="auto" w:fill="auto"/>
          </w:tcPr>
          <w:p w:rsidR="00CF541C" w:rsidRPr="00967EC5"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projektas nustato kontrolės (priežiūros) procedūrą ir aiškius jos atlikimo kriterijus (atvejus, </w:t>
            </w:r>
            <w:r w:rsidRPr="00967EC5">
              <w:rPr>
                <w:szCs w:val="24"/>
                <w:lang w:eastAsia="lt-LT"/>
              </w:rPr>
              <w:lastRenderedPageBreak/>
              <w:t>dažnį, fiksavimą, kontrolės rezultatų viešinimą ir panašiai)</w:t>
            </w:r>
          </w:p>
        </w:tc>
        <w:tc>
          <w:tcPr>
            <w:tcW w:w="3845" w:type="dxa"/>
            <w:shd w:val="clear" w:color="auto" w:fill="auto"/>
          </w:tcPr>
          <w:p w:rsidR="00AC6EFD" w:rsidRPr="00967EC5" w:rsidRDefault="00AC6EFD" w:rsidP="00AC6EFD">
            <w:pPr>
              <w:rPr>
                <w:bCs/>
                <w:szCs w:val="24"/>
              </w:rPr>
            </w:pPr>
            <w:r w:rsidRPr="00967EC5">
              <w:rPr>
                <w:bCs/>
                <w:szCs w:val="24"/>
              </w:rPr>
              <w:lastRenderedPageBreak/>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lastRenderedPageBreak/>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AC6EFD" w:rsidRPr="00967EC5" w:rsidRDefault="00AC6EFD" w:rsidP="00AC6EFD">
            <w:pPr>
              <w:rPr>
                <w:bCs/>
                <w:szCs w:val="24"/>
              </w:rPr>
            </w:pPr>
            <w:r w:rsidRPr="00967EC5">
              <w:rPr>
                <w:bCs/>
                <w:szCs w:val="24"/>
              </w:rPr>
              <w:t>Ši nuostata neaktuali.</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967EC5" w:rsidTr="002C22BF">
        <w:trPr>
          <w:trHeight w:val="23"/>
        </w:trPr>
        <w:tc>
          <w:tcPr>
            <w:tcW w:w="7164" w:type="dxa"/>
            <w:gridSpan w:val="2"/>
            <w:shd w:val="clear" w:color="auto" w:fill="auto"/>
          </w:tcPr>
          <w:p w:rsidR="002C22BF" w:rsidRPr="00967EC5" w:rsidRDefault="002C22BF" w:rsidP="00AD0BB3">
            <w:pPr>
              <w:rPr>
                <w:szCs w:val="24"/>
                <w:lang w:eastAsia="lt-LT"/>
              </w:rPr>
            </w:pPr>
            <w:r w:rsidRPr="00967EC5">
              <w:rPr>
                <w:szCs w:val="24"/>
                <w:lang w:eastAsia="lt-LT"/>
              </w:rPr>
              <w:t>Teisės akto projekto tiesioginis rengėjas:</w:t>
            </w:r>
          </w:p>
        </w:tc>
        <w:tc>
          <w:tcPr>
            <w:tcW w:w="7118" w:type="dxa"/>
            <w:gridSpan w:val="2"/>
            <w:shd w:val="clear" w:color="auto" w:fill="auto"/>
          </w:tcPr>
          <w:p w:rsidR="002C22BF" w:rsidRPr="00967EC5" w:rsidRDefault="002C22BF" w:rsidP="00883D78">
            <w:pPr>
              <w:rPr>
                <w:szCs w:val="24"/>
                <w:lang w:eastAsia="lt-LT"/>
              </w:rPr>
            </w:pPr>
            <w:r w:rsidRPr="00967EC5">
              <w:rPr>
                <w:szCs w:val="24"/>
                <w:lang w:eastAsia="lt-LT"/>
              </w:rPr>
              <w:t>Teisės akto projekto vertintojas:</w:t>
            </w:r>
          </w:p>
        </w:tc>
      </w:tr>
      <w:tr w:rsidR="002C22BF" w:rsidRPr="00967EC5" w:rsidTr="00715DA8">
        <w:trPr>
          <w:trHeight w:val="23"/>
        </w:trPr>
        <w:tc>
          <w:tcPr>
            <w:tcW w:w="5103" w:type="dxa"/>
            <w:tcBorders>
              <w:bottom w:val="single" w:sz="4" w:space="0" w:color="auto"/>
            </w:tcBorders>
            <w:shd w:val="clear" w:color="auto" w:fill="auto"/>
            <w:vAlign w:val="bottom"/>
          </w:tcPr>
          <w:p w:rsidR="002C22BF" w:rsidRPr="00967EC5" w:rsidRDefault="002C22BF" w:rsidP="0017667D">
            <w:pPr>
              <w:rPr>
                <w:szCs w:val="24"/>
                <w:lang w:eastAsia="lt-LT"/>
              </w:rPr>
            </w:pPr>
            <w:r w:rsidRPr="00967EC5">
              <w:rPr>
                <w:szCs w:val="24"/>
                <w:lang w:eastAsia="lt-LT"/>
              </w:rPr>
              <w:t xml:space="preserve">Aplinkos ministerijos </w:t>
            </w:r>
            <w:r w:rsidR="00124D41" w:rsidRPr="00967EC5">
              <w:rPr>
                <w:szCs w:val="24"/>
                <w:lang w:eastAsia="ar-SA"/>
              </w:rPr>
              <w:t xml:space="preserve">Statybos ir teritorijų planavimo politikos grupės </w:t>
            </w:r>
            <w:r w:rsidR="0017667D">
              <w:t>vyriausiasis specialistas</w:t>
            </w:r>
          </w:p>
        </w:tc>
        <w:tc>
          <w:tcPr>
            <w:tcW w:w="2061" w:type="dxa"/>
            <w:tcBorders>
              <w:bottom w:val="single" w:sz="4" w:space="0" w:color="auto"/>
            </w:tcBorders>
            <w:shd w:val="clear" w:color="auto" w:fill="auto"/>
            <w:vAlign w:val="bottom"/>
          </w:tcPr>
          <w:p w:rsidR="002C22BF" w:rsidRPr="00967EC5" w:rsidRDefault="0017667D" w:rsidP="002C22BF">
            <w:pPr>
              <w:rPr>
                <w:szCs w:val="24"/>
                <w:lang w:eastAsia="lt-LT"/>
              </w:rPr>
            </w:pPr>
            <w:r w:rsidRPr="00A85AC7">
              <w:t>Tomas Boldorevas</w:t>
            </w:r>
          </w:p>
        </w:tc>
        <w:tc>
          <w:tcPr>
            <w:tcW w:w="5027" w:type="dxa"/>
            <w:tcBorders>
              <w:bottom w:val="single" w:sz="4" w:space="0" w:color="auto"/>
            </w:tcBorders>
            <w:shd w:val="clear" w:color="auto" w:fill="auto"/>
            <w:vAlign w:val="bottom"/>
          </w:tcPr>
          <w:p w:rsidR="002C22BF" w:rsidRPr="00967EC5" w:rsidRDefault="00EA7850" w:rsidP="00EA740F">
            <w:pPr>
              <w:rPr>
                <w:szCs w:val="24"/>
                <w:lang w:eastAsia="lt-LT"/>
              </w:rPr>
            </w:pPr>
            <w:r w:rsidRPr="00967EC5">
              <w:rPr>
                <w:szCs w:val="24"/>
                <w:lang w:eastAsia="lt-LT"/>
              </w:rPr>
              <w:t xml:space="preserve">Aplinkos ministerijos </w:t>
            </w:r>
            <w:r w:rsidR="00EA740F" w:rsidRPr="00967EC5">
              <w:rPr>
                <w:szCs w:val="24"/>
                <w:lang w:eastAsia="lt-LT"/>
              </w:rPr>
              <w:t>Korupcijos prevencijos ir vidaus tyrimų</w:t>
            </w:r>
            <w:r w:rsidR="00E96D2A">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967EC5" w:rsidRDefault="00E96D2A" w:rsidP="002C22BF">
            <w:pPr>
              <w:rPr>
                <w:szCs w:val="24"/>
                <w:lang w:eastAsia="lt-LT"/>
              </w:rPr>
            </w:pPr>
            <w:r>
              <w:rPr>
                <w:szCs w:val="24"/>
                <w:lang w:eastAsia="lt-LT"/>
              </w:rPr>
              <w:t xml:space="preserve">Remigijus </w:t>
            </w:r>
            <w:proofErr w:type="spellStart"/>
            <w:r>
              <w:rPr>
                <w:szCs w:val="24"/>
                <w:lang w:eastAsia="lt-LT"/>
              </w:rPr>
              <w:t>Alavočius</w:t>
            </w:r>
            <w:proofErr w:type="spellEnd"/>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(pareigos)</w:t>
            </w:r>
          </w:p>
        </w:tc>
        <w:tc>
          <w:tcPr>
            <w:tcW w:w="2061"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(vardas ir pavardė)</w:t>
            </w:r>
          </w:p>
        </w:tc>
        <w:tc>
          <w:tcPr>
            <w:tcW w:w="5027"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(pareigos)</w:t>
            </w:r>
          </w:p>
        </w:tc>
        <w:tc>
          <w:tcPr>
            <w:tcW w:w="2091"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(vardas ir pavardė)</w:t>
            </w:r>
          </w:p>
        </w:tc>
      </w:tr>
      <w:tr w:rsidR="002C22BF" w:rsidRPr="00967EC5" w:rsidTr="00715DA8">
        <w:trPr>
          <w:trHeight w:val="617"/>
        </w:trPr>
        <w:tc>
          <w:tcPr>
            <w:tcW w:w="5103"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5027" w:type="dxa"/>
            <w:tcBorders>
              <w:bottom w:val="single" w:sz="4" w:space="0" w:color="auto"/>
            </w:tcBorders>
            <w:shd w:val="clear" w:color="auto" w:fill="auto"/>
            <w:vAlign w:val="bottom"/>
          </w:tcPr>
          <w:p w:rsidR="002C22BF" w:rsidRPr="00967EC5"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967EC5" w:rsidRDefault="002C22BF" w:rsidP="00883D78">
            <w:pPr>
              <w:rPr>
                <w:szCs w:val="24"/>
                <w:lang w:eastAsia="lt-LT"/>
              </w:rPr>
            </w:pPr>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6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c>
          <w:tcPr>
            <w:tcW w:w="5027"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9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r>
    </w:tbl>
    <w:p w:rsidR="00F532B6" w:rsidRPr="00967EC5" w:rsidRDefault="00F532B6" w:rsidP="002C22BF">
      <w:pPr>
        <w:rPr>
          <w:szCs w:val="24"/>
        </w:rPr>
      </w:pPr>
    </w:p>
    <w:sectPr w:rsidR="00F532B6" w:rsidRPr="00967EC5" w:rsidSect="002D68A3">
      <w:headerReference w:type="default" r:id="rId9"/>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0F" w:rsidRDefault="00BD6B0F" w:rsidP="002D5183">
      <w:r>
        <w:separator/>
      </w:r>
    </w:p>
  </w:endnote>
  <w:endnote w:type="continuationSeparator" w:id="0">
    <w:p w:rsidR="00BD6B0F" w:rsidRDefault="00BD6B0F"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Segoe Print"/>
    <w:charset w:val="BA"/>
    <w:family w:val="auto"/>
    <w:pitch w:val="default"/>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0F" w:rsidRDefault="00BD6B0F" w:rsidP="002D5183">
      <w:r>
        <w:separator/>
      </w:r>
    </w:p>
  </w:footnote>
  <w:footnote w:type="continuationSeparator" w:id="0">
    <w:p w:rsidR="00BD6B0F" w:rsidRDefault="00BD6B0F"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2D68A3">
      <w:rPr>
        <w:noProof/>
      </w:rPr>
      <w:t>10</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35091"/>
    <w:rsid w:val="00035442"/>
    <w:rsid w:val="00054996"/>
    <w:rsid w:val="000646CC"/>
    <w:rsid w:val="000707D8"/>
    <w:rsid w:val="0008757B"/>
    <w:rsid w:val="000C14DC"/>
    <w:rsid w:val="000C7518"/>
    <w:rsid w:val="000E2096"/>
    <w:rsid w:val="000F7C0D"/>
    <w:rsid w:val="00110296"/>
    <w:rsid w:val="00112293"/>
    <w:rsid w:val="00124D41"/>
    <w:rsid w:val="00147CAE"/>
    <w:rsid w:val="00151987"/>
    <w:rsid w:val="00163DD8"/>
    <w:rsid w:val="0017667D"/>
    <w:rsid w:val="00182F06"/>
    <w:rsid w:val="00184776"/>
    <w:rsid w:val="001861D7"/>
    <w:rsid w:val="001B0821"/>
    <w:rsid w:val="001B1CB1"/>
    <w:rsid w:val="001C7F09"/>
    <w:rsid w:val="001D79DB"/>
    <w:rsid w:val="001E426F"/>
    <w:rsid w:val="002106AE"/>
    <w:rsid w:val="00231272"/>
    <w:rsid w:val="00246747"/>
    <w:rsid w:val="00253E87"/>
    <w:rsid w:val="00262B9B"/>
    <w:rsid w:val="0027463D"/>
    <w:rsid w:val="00291066"/>
    <w:rsid w:val="002C0C53"/>
    <w:rsid w:val="002C0C5D"/>
    <w:rsid w:val="002C22BF"/>
    <w:rsid w:val="002C3886"/>
    <w:rsid w:val="002C38F3"/>
    <w:rsid w:val="002D22B0"/>
    <w:rsid w:val="002D3BE1"/>
    <w:rsid w:val="002D5183"/>
    <w:rsid w:val="002D68A3"/>
    <w:rsid w:val="002E5F36"/>
    <w:rsid w:val="002E62B7"/>
    <w:rsid w:val="00317F1B"/>
    <w:rsid w:val="00340B8B"/>
    <w:rsid w:val="00374345"/>
    <w:rsid w:val="003748A7"/>
    <w:rsid w:val="00377C68"/>
    <w:rsid w:val="00387902"/>
    <w:rsid w:val="003A2B09"/>
    <w:rsid w:val="00411CF9"/>
    <w:rsid w:val="00440076"/>
    <w:rsid w:val="00443BDE"/>
    <w:rsid w:val="004452AF"/>
    <w:rsid w:val="004501A3"/>
    <w:rsid w:val="00462112"/>
    <w:rsid w:val="00476A37"/>
    <w:rsid w:val="00495A4F"/>
    <w:rsid w:val="00496DE9"/>
    <w:rsid w:val="0049755F"/>
    <w:rsid w:val="004E1B6F"/>
    <w:rsid w:val="0050095C"/>
    <w:rsid w:val="005012EC"/>
    <w:rsid w:val="00501792"/>
    <w:rsid w:val="00526924"/>
    <w:rsid w:val="00552E31"/>
    <w:rsid w:val="005602FD"/>
    <w:rsid w:val="005C5470"/>
    <w:rsid w:val="00623C6D"/>
    <w:rsid w:val="00643BC4"/>
    <w:rsid w:val="00646FBE"/>
    <w:rsid w:val="00657938"/>
    <w:rsid w:val="006658F7"/>
    <w:rsid w:val="006754C7"/>
    <w:rsid w:val="0068082A"/>
    <w:rsid w:val="00686053"/>
    <w:rsid w:val="0068626D"/>
    <w:rsid w:val="006A545B"/>
    <w:rsid w:val="006A760E"/>
    <w:rsid w:val="00715DA8"/>
    <w:rsid w:val="00722F99"/>
    <w:rsid w:val="0076434A"/>
    <w:rsid w:val="00781640"/>
    <w:rsid w:val="007876A9"/>
    <w:rsid w:val="00791231"/>
    <w:rsid w:val="0079157E"/>
    <w:rsid w:val="007B4ABE"/>
    <w:rsid w:val="007C5799"/>
    <w:rsid w:val="007E0406"/>
    <w:rsid w:val="007E0B51"/>
    <w:rsid w:val="007E0F13"/>
    <w:rsid w:val="0080774C"/>
    <w:rsid w:val="00820C6E"/>
    <w:rsid w:val="00883D78"/>
    <w:rsid w:val="008B4296"/>
    <w:rsid w:val="008C17C3"/>
    <w:rsid w:val="008F5859"/>
    <w:rsid w:val="0090151F"/>
    <w:rsid w:val="00913CBA"/>
    <w:rsid w:val="00935FF1"/>
    <w:rsid w:val="009418CA"/>
    <w:rsid w:val="00946A11"/>
    <w:rsid w:val="00960603"/>
    <w:rsid w:val="00967EC5"/>
    <w:rsid w:val="009A28CC"/>
    <w:rsid w:val="009A5A78"/>
    <w:rsid w:val="009C167C"/>
    <w:rsid w:val="009C42E2"/>
    <w:rsid w:val="009D0B40"/>
    <w:rsid w:val="009E0099"/>
    <w:rsid w:val="009E5F85"/>
    <w:rsid w:val="00A10731"/>
    <w:rsid w:val="00A25261"/>
    <w:rsid w:val="00A46CA8"/>
    <w:rsid w:val="00A5323B"/>
    <w:rsid w:val="00A61741"/>
    <w:rsid w:val="00A87CC5"/>
    <w:rsid w:val="00AB65F0"/>
    <w:rsid w:val="00AC41C4"/>
    <w:rsid w:val="00AC6EFD"/>
    <w:rsid w:val="00AD0BB3"/>
    <w:rsid w:val="00AE05DE"/>
    <w:rsid w:val="00AF5050"/>
    <w:rsid w:val="00B061E3"/>
    <w:rsid w:val="00B360A9"/>
    <w:rsid w:val="00B44257"/>
    <w:rsid w:val="00B743C3"/>
    <w:rsid w:val="00B7512A"/>
    <w:rsid w:val="00BB08AD"/>
    <w:rsid w:val="00BC0E36"/>
    <w:rsid w:val="00BD4800"/>
    <w:rsid w:val="00BD494A"/>
    <w:rsid w:val="00BD6B0F"/>
    <w:rsid w:val="00BF035E"/>
    <w:rsid w:val="00BF7AD5"/>
    <w:rsid w:val="00C13164"/>
    <w:rsid w:val="00C21565"/>
    <w:rsid w:val="00C21C1E"/>
    <w:rsid w:val="00C2730A"/>
    <w:rsid w:val="00C37907"/>
    <w:rsid w:val="00C451CF"/>
    <w:rsid w:val="00C5628A"/>
    <w:rsid w:val="00C601C5"/>
    <w:rsid w:val="00C83FE2"/>
    <w:rsid w:val="00C95FFC"/>
    <w:rsid w:val="00CA5606"/>
    <w:rsid w:val="00CB3CF6"/>
    <w:rsid w:val="00CB4EA0"/>
    <w:rsid w:val="00CC0804"/>
    <w:rsid w:val="00CF541C"/>
    <w:rsid w:val="00D045BA"/>
    <w:rsid w:val="00D059A6"/>
    <w:rsid w:val="00D422D5"/>
    <w:rsid w:val="00D433FD"/>
    <w:rsid w:val="00D53CE1"/>
    <w:rsid w:val="00D862EE"/>
    <w:rsid w:val="00DA5D3D"/>
    <w:rsid w:val="00DC29C3"/>
    <w:rsid w:val="00DC2AE3"/>
    <w:rsid w:val="00DD1D8C"/>
    <w:rsid w:val="00DD3651"/>
    <w:rsid w:val="00DE1AA4"/>
    <w:rsid w:val="00DE1DB8"/>
    <w:rsid w:val="00E02B17"/>
    <w:rsid w:val="00E20B91"/>
    <w:rsid w:val="00E33987"/>
    <w:rsid w:val="00E47A55"/>
    <w:rsid w:val="00E710AE"/>
    <w:rsid w:val="00E73112"/>
    <w:rsid w:val="00E96D2A"/>
    <w:rsid w:val="00E96D39"/>
    <w:rsid w:val="00E972E6"/>
    <w:rsid w:val="00EA740F"/>
    <w:rsid w:val="00EA7850"/>
    <w:rsid w:val="00ED524C"/>
    <w:rsid w:val="00EE0F26"/>
    <w:rsid w:val="00EE72D0"/>
    <w:rsid w:val="00EF41C4"/>
    <w:rsid w:val="00F02B89"/>
    <w:rsid w:val="00F069A9"/>
    <w:rsid w:val="00F06F17"/>
    <w:rsid w:val="00F15A8F"/>
    <w:rsid w:val="00F279DA"/>
    <w:rsid w:val="00F532B6"/>
    <w:rsid w:val="00F56CC9"/>
    <w:rsid w:val="00F7286E"/>
    <w:rsid w:val="00F83069"/>
    <w:rsid w:val="00FB3D08"/>
    <w:rsid w:val="00FC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77">
      <w:bodyDiv w:val="1"/>
      <w:marLeft w:val="0"/>
      <w:marRight w:val="0"/>
      <w:marTop w:val="0"/>
      <w:marBottom w:val="0"/>
      <w:divBdr>
        <w:top w:val="none" w:sz="0" w:space="0" w:color="auto"/>
        <w:left w:val="none" w:sz="0" w:space="0" w:color="auto"/>
        <w:bottom w:val="none" w:sz="0" w:space="0" w:color="auto"/>
        <w:right w:val="none" w:sz="0" w:space="0" w:color="auto"/>
      </w:divBdr>
      <w:divsChild>
        <w:div w:id="111873849">
          <w:marLeft w:val="0"/>
          <w:marRight w:val="0"/>
          <w:marTop w:val="0"/>
          <w:marBottom w:val="0"/>
          <w:divBdr>
            <w:top w:val="none" w:sz="0" w:space="0" w:color="auto"/>
            <w:left w:val="none" w:sz="0" w:space="0" w:color="auto"/>
            <w:bottom w:val="none" w:sz="0" w:space="0" w:color="auto"/>
            <w:right w:val="none" w:sz="0" w:space="0" w:color="auto"/>
          </w:divBdr>
          <w:divsChild>
            <w:div w:id="512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A908-23AF-4880-A13E-62805874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7621</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126</cp:revision>
  <dcterms:created xsi:type="dcterms:W3CDTF">2021-08-27T06:37:00Z</dcterms:created>
  <dcterms:modified xsi:type="dcterms:W3CDTF">2021-11-18T15:34:00Z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