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34A1F" w14:textId="77777777" w:rsidR="000F25D3" w:rsidRPr="001F5C2F" w:rsidRDefault="000F25D3" w:rsidP="00837408">
      <w:pPr>
        <w:spacing w:after="0"/>
        <w:jc w:val="center"/>
        <w:rPr>
          <w:b/>
          <w:sz w:val="22"/>
        </w:rPr>
      </w:pPr>
    </w:p>
    <w:p w14:paraId="726F64B2" w14:textId="50D4A3B2" w:rsidR="00B73C62" w:rsidRPr="001F5C2F" w:rsidRDefault="00B73C62" w:rsidP="00837408">
      <w:pPr>
        <w:spacing w:after="0"/>
        <w:jc w:val="center"/>
        <w:rPr>
          <w:b/>
          <w:sz w:val="22"/>
        </w:rPr>
      </w:pPr>
      <w:r w:rsidRPr="001F5C2F">
        <w:rPr>
          <w:b/>
          <w:sz w:val="22"/>
        </w:rPr>
        <w:t>TEISĖS AKT</w:t>
      </w:r>
      <w:r w:rsidR="002B50C8" w:rsidRPr="001F5C2F">
        <w:rPr>
          <w:b/>
          <w:sz w:val="22"/>
        </w:rPr>
        <w:t xml:space="preserve">O </w:t>
      </w:r>
      <w:r w:rsidRPr="001F5C2F">
        <w:rPr>
          <w:b/>
          <w:sz w:val="22"/>
        </w:rPr>
        <w:t>PROJEKT</w:t>
      </w:r>
      <w:r w:rsidR="002B50C8" w:rsidRPr="001F5C2F">
        <w:rPr>
          <w:b/>
          <w:sz w:val="22"/>
        </w:rPr>
        <w:t>O</w:t>
      </w:r>
      <w:r w:rsidRPr="001F5C2F">
        <w:rPr>
          <w:b/>
          <w:sz w:val="22"/>
        </w:rPr>
        <w:t xml:space="preserve"> ANTIKORUPCINIO VERTINIMO </w:t>
      </w:r>
      <w:r w:rsidR="001A7892" w:rsidRPr="001F5C2F">
        <w:rPr>
          <w:b/>
          <w:sz w:val="22"/>
        </w:rPr>
        <w:t>PAŽYMA</w:t>
      </w:r>
    </w:p>
    <w:p w14:paraId="3676EDE9" w14:textId="77777777" w:rsidR="00B73C62" w:rsidRPr="001F5C2F" w:rsidRDefault="00B73C62" w:rsidP="00837408">
      <w:pPr>
        <w:spacing w:after="0"/>
        <w:rPr>
          <w:sz w:val="22"/>
        </w:rPr>
      </w:pPr>
    </w:p>
    <w:p w14:paraId="0B91D731" w14:textId="4CF9C0EE" w:rsidR="00B73C62" w:rsidRPr="001F5C2F" w:rsidRDefault="00B73C62" w:rsidP="006F4993">
      <w:pPr>
        <w:jc w:val="both"/>
        <w:rPr>
          <w:b/>
          <w:sz w:val="22"/>
        </w:rPr>
      </w:pPr>
      <w:r w:rsidRPr="001F5C2F">
        <w:rPr>
          <w:b/>
          <w:sz w:val="22"/>
        </w:rPr>
        <w:t>Teisės akto projekto pavadinimas</w:t>
      </w:r>
      <w:r w:rsidR="006F4993" w:rsidRPr="001F5C2F">
        <w:rPr>
          <w:b/>
          <w:sz w:val="22"/>
        </w:rPr>
        <w:t xml:space="preserve">: </w:t>
      </w:r>
      <w:r w:rsidR="000057ED">
        <w:rPr>
          <w:bCs/>
          <w:sz w:val="22"/>
        </w:rPr>
        <w:t>Valstybės ir savivaldybių įstaigų darbuotojų veiklos vertinimo tvarkos aprašo</w:t>
      </w:r>
      <w:r w:rsidR="006F4993" w:rsidRPr="001F5C2F">
        <w:rPr>
          <w:bCs/>
          <w:sz w:val="22"/>
        </w:rPr>
        <w:t xml:space="preserve"> projektas</w:t>
      </w:r>
      <w:r w:rsidR="006F4993" w:rsidRPr="001F5C2F">
        <w:rPr>
          <w:b/>
          <w:sz w:val="22"/>
        </w:rPr>
        <w:t xml:space="preserve">  </w:t>
      </w:r>
      <w:r w:rsidR="006C47E1" w:rsidRPr="001F5C2F">
        <w:rPr>
          <w:sz w:val="22"/>
        </w:rPr>
        <w:t>(toliau – Projektas)</w:t>
      </w:r>
      <w:r w:rsidR="006D6CEA" w:rsidRPr="001F5C2F">
        <w:rPr>
          <w:sz w:val="22"/>
        </w:rPr>
        <w:t>.</w:t>
      </w:r>
    </w:p>
    <w:p w14:paraId="74F93A94" w14:textId="4BCB49E8" w:rsidR="00850C64" w:rsidRPr="001F5C2F" w:rsidRDefault="00850C64" w:rsidP="000057ED">
      <w:pPr>
        <w:jc w:val="both"/>
        <w:rPr>
          <w:sz w:val="22"/>
        </w:rPr>
      </w:pPr>
      <w:r w:rsidRPr="001F5C2F">
        <w:rPr>
          <w:b/>
          <w:sz w:val="22"/>
        </w:rPr>
        <w:t xml:space="preserve">Teisės akto projekto </w:t>
      </w:r>
      <w:r w:rsidR="00CE5C1A" w:rsidRPr="001F5C2F">
        <w:rPr>
          <w:b/>
          <w:sz w:val="22"/>
        </w:rPr>
        <w:t xml:space="preserve">tiesioginis </w:t>
      </w:r>
      <w:r w:rsidRPr="001F5C2F">
        <w:rPr>
          <w:b/>
          <w:sz w:val="22"/>
        </w:rPr>
        <w:t>rengėjas:</w:t>
      </w:r>
      <w:r w:rsidR="006D6CEA" w:rsidRPr="001F5C2F">
        <w:rPr>
          <w:b/>
          <w:sz w:val="22"/>
        </w:rPr>
        <w:t xml:space="preserve"> </w:t>
      </w:r>
      <w:bookmarkStart w:id="0" w:name="_Hlk83037884"/>
      <w:r w:rsidR="006D6CEA" w:rsidRPr="001F5C2F">
        <w:rPr>
          <w:sz w:val="22"/>
        </w:rPr>
        <w:t>Lietuvos Respublikos</w:t>
      </w:r>
      <w:r w:rsidR="00D43F17" w:rsidRPr="001F5C2F">
        <w:rPr>
          <w:sz w:val="22"/>
        </w:rPr>
        <w:t xml:space="preserve"> socialinės apsaugos ir darbo mini</w:t>
      </w:r>
      <w:r w:rsidR="0016691B" w:rsidRPr="001F5C2F">
        <w:rPr>
          <w:sz w:val="22"/>
        </w:rPr>
        <w:t>sterijos</w:t>
      </w:r>
      <w:bookmarkEnd w:id="0"/>
      <w:r w:rsidR="00F85819" w:rsidRPr="001F5C2F">
        <w:rPr>
          <w:sz w:val="22"/>
        </w:rPr>
        <w:t xml:space="preserve"> </w:t>
      </w:r>
      <w:r w:rsidR="000057ED" w:rsidRPr="000057ED">
        <w:rPr>
          <w:sz w:val="22"/>
        </w:rPr>
        <w:t>Darbo teisės skyriaus</w:t>
      </w:r>
      <w:r w:rsidR="000057ED">
        <w:rPr>
          <w:sz w:val="22"/>
        </w:rPr>
        <w:t xml:space="preserve"> </w:t>
      </w:r>
      <w:r w:rsidR="006F4993" w:rsidRPr="001F5C2F">
        <w:rPr>
          <w:sz w:val="22"/>
        </w:rPr>
        <w:t xml:space="preserve">vyriausioji specialistė </w:t>
      </w:r>
      <w:r w:rsidR="000057ED" w:rsidRPr="000057ED">
        <w:rPr>
          <w:sz w:val="22"/>
        </w:rPr>
        <w:t>Viktorija Trachimovič</w:t>
      </w:r>
      <w:r w:rsidR="006D6CEA" w:rsidRPr="001F5C2F">
        <w:rPr>
          <w:sz w:val="22"/>
        </w:rPr>
        <w:t>.</w:t>
      </w:r>
    </w:p>
    <w:p w14:paraId="1849406C" w14:textId="77777777" w:rsidR="006E1D60" w:rsidRPr="001F5C2F" w:rsidRDefault="00D41B20" w:rsidP="005128F7">
      <w:pPr>
        <w:jc w:val="both"/>
        <w:rPr>
          <w:sz w:val="22"/>
        </w:rPr>
      </w:pPr>
      <w:r w:rsidRPr="001F5C2F">
        <w:rPr>
          <w:b/>
          <w:sz w:val="22"/>
        </w:rPr>
        <w:t>Antikorupciniu požiūriu rizikingos teisės akto projekto nuostatos</w:t>
      </w:r>
      <w:r w:rsidR="001557AB" w:rsidRPr="001F5C2F">
        <w:rPr>
          <w:b/>
          <w:sz w:val="22"/>
        </w:rPr>
        <w:t>:</w:t>
      </w:r>
      <w:r w:rsidR="006E1D60" w:rsidRPr="001F5C2F">
        <w:rPr>
          <w:b/>
          <w:sz w:val="22"/>
        </w:rPr>
        <w:t xml:space="preserve"> </w:t>
      </w:r>
      <w:r w:rsidR="006C68F4" w:rsidRPr="001F5C2F">
        <w:rPr>
          <w:i/>
          <w:sz w:val="22"/>
        </w:rPr>
        <w:t>[</w:t>
      </w:r>
      <w:r w:rsidR="002D02BF" w:rsidRPr="001F5C2F">
        <w:rPr>
          <w:i/>
          <w:sz w:val="22"/>
        </w:rPr>
        <w:t>nėra</w:t>
      </w:r>
      <w:r w:rsidR="006C68F4" w:rsidRPr="001F5C2F">
        <w:rPr>
          <w:i/>
          <w:sz w:val="22"/>
        </w:rPr>
        <w:t>]</w:t>
      </w:r>
      <w:r w:rsidR="00BD537E" w:rsidRPr="001F5C2F">
        <w:rPr>
          <w:rStyle w:val="Puslapioinaosnuoroda"/>
          <w:i/>
          <w:sz w:val="22"/>
        </w:rPr>
        <w:footnoteReference w:id="1"/>
      </w:r>
      <w:r w:rsidR="001557AB" w:rsidRPr="001F5C2F">
        <w:rPr>
          <w:sz w:val="22"/>
        </w:rPr>
        <w:t>.</w:t>
      </w:r>
      <w:r w:rsidR="008D22E9" w:rsidRPr="001F5C2F">
        <w:rPr>
          <w:sz w:val="22"/>
        </w:rPr>
        <w:t xml:space="preserve"> </w:t>
      </w:r>
    </w:p>
    <w:p w14:paraId="4D391E10" w14:textId="77777777" w:rsidR="007B4955" w:rsidRPr="001F5C2F" w:rsidRDefault="007874FB" w:rsidP="005128F7">
      <w:pPr>
        <w:jc w:val="both"/>
        <w:rPr>
          <w:sz w:val="22"/>
        </w:rPr>
      </w:pPr>
      <w:r w:rsidRPr="001F5C2F">
        <w:rPr>
          <w:b/>
          <w:sz w:val="22"/>
        </w:rPr>
        <w:t xml:space="preserve">Antikorupciniu požiūriu rizikingos teisės akto projekto nuostatos, identifikuotos antikorupcinio vertinimo </w:t>
      </w:r>
      <w:r w:rsidR="00120929" w:rsidRPr="001F5C2F">
        <w:rPr>
          <w:b/>
          <w:sz w:val="22"/>
        </w:rPr>
        <w:t xml:space="preserve">po tarpinstitucinio derinimo </w:t>
      </w:r>
      <w:r w:rsidRPr="001F5C2F">
        <w:rPr>
          <w:b/>
          <w:sz w:val="22"/>
        </w:rPr>
        <w:t>metu</w:t>
      </w:r>
      <w:r w:rsidR="006A3CB3" w:rsidRPr="001F5C2F">
        <w:rPr>
          <w:b/>
          <w:sz w:val="22"/>
        </w:rPr>
        <w:t>:</w:t>
      </w:r>
      <w:r w:rsidR="006E1D60" w:rsidRPr="001F5C2F">
        <w:rPr>
          <w:b/>
          <w:sz w:val="22"/>
        </w:rPr>
        <w:t xml:space="preserve"> </w:t>
      </w:r>
      <w:r w:rsidR="00120929" w:rsidRPr="001F5C2F">
        <w:rPr>
          <w:i/>
          <w:sz w:val="22"/>
        </w:rPr>
        <w:t>[nurodyti kriterijaus numerį, kurį</w:t>
      </w:r>
      <w:r w:rsidR="008D22E9" w:rsidRPr="001F5C2F">
        <w:rPr>
          <w:i/>
          <w:sz w:val="22"/>
        </w:rPr>
        <w:t xml:space="preserve"> </w:t>
      </w:r>
      <w:r w:rsidR="00120929" w:rsidRPr="001F5C2F">
        <w:rPr>
          <w:i/>
          <w:sz w:val="22"/>
        </w:rPr>
        <w:t xml:space="preserve">taikant identifikuotai korupcijos rizikai eliminuoti ar valdyti nėra </w:t>
      </w:r>
      <w:r w:rsidR="008D22E9" w:rsidRPr="001F5C2F">
        <w:rPr>
          <w:i/>
          <w:sz w:val="22"/>
        </w:rPr>
        <w:t xml:space="preserve">numatyta priemonių </w:t>
      </w:r>
      <w:r w:rsidR="00120929" w:rsidRPr="001F5C2F">
        <w:rPr>
          <w:i/>
          <w:sz w:val="22"/>
        </w:rPr>
        <w:t>teisės akto projekte]</w:t>
      </w:r>
      <w:r w:rsidR="00120929" w:rsidRPr="001F5C2F">
        <w:rPr>
          <w:rStyle w:val="Puslapioinaosnuoroda"/>
          <w:i/>
          <w:sz w:val="22"/>
        </w:rPr>
        <w:footnoteReference w:id="2"/>
      </w:r>
      <w:r w:rsidR="00120929" w:rsidRPr="001F5C2F">
        <w:rPr>
          <w:sz w:val="22"/>
        </w:rPr>
        <w:t>.</w:t>
      </w:r>
    </w:p>
    <w:p w14:paraId="234339CF" w14:textId="77777777" w:rsidR="005128F7" w:rsidRPr="001F5C2F" w:rsidRDefault="005128F7" w:rsidP="005128F7">
      <w:pPr>
        <w:jc w:val="both"/>
        <w:rPr>
          <w:sz w:val="22"/>
        </w:rPr>
      </w:pPr>
    </w:p>
    <w:tbl>
      <w:tblPr>
        <w:tblStyle w:val="Lentelstinklelis"/>
        <w:tblW w:w="0" w:type="auto"/>
        <w:tblLook w:val="04A0" w:firstRow="1" w:lastRow="0" w:firstColumn="1" w:lastColumn="0" w:noHBand="0" w:noVBand="1"/>
      </w:tblPr>
      <w:tblGrid>
        <w:gridCol w:w="531"/>
        <w:gridCol w:w="1391"/>
        <w:gridCol w:w="692"/>
        <w:gridCol w:w="1373"/>
        <w:gridCol w:w="3302"/>
        <w:gridCol w:w="681"/>
        <w:gridCol w:w="2188"/>
        <w:gridCol w:w="2030"/>
        <w:gridCol w:w="3149"/>
        <w:gridCol w:w="73"/>
      </w:tblGrid>
      <w:tr w:rsidR="00DD0CB0" w:rsidRPr="001F5C2F" w14:paraId="2CB6D212" w14:textId="77777777" w:rsidTr="002B50C8">
        <w:trPr>
          <w:gridAfter w:val="1"/>
          <w:wAfter w:w="75" w:type="dxa"/>
          <w:tblHeader/>
        </w:trPr>
        <w:tc>
          <w:tcPr>
            <w:tcW w:w="532" w:type="dxa"/>
            <w:shd w:val="clear" w:color="auto" w:fill="F2F2F2" w:themeFill="background1" w:themeFillShade="F2"/>
            <w:vAlign w:val="center"/>
          </w:tcPr>
          <w:p w14:paraId="650D868D" w14:textId="77777777" w:rsidR="00791A1B" w:rsidRPr="001F5C2F" w:rsidRDefault="009A77D2" w:rsidP="00CC1332">
            <w:pPr>
              <w:jc w:val="center"/>
              <w:rPr>
                <w:rFonts w:cs="Times New Roman"/>
                <w:b/>
                <w:sz w:val="20"/>
                <w:szCs w:val="20"/>
              </w:rPr>
            </w:pPr>
            <w:r w:rsidRPr="001F5C2F">
              <w:rPr>
                <w:rFonts w:cs="Times New Roman"/>
                <w:b/>
                <w:sz w:val="20"/>
                <w:szCs w:val="20"/>
              </w:rPr>
              <w:t>Nr.</w:t>
            </w:r>
          </w:p>
        </w:tc>
        <w:tc>
          <w:tcPr>
            <w:tcW w:w="3499" w:type="dxa"/>
            <w:gridSpan w:val="3"/>
            <w:shd w:val="clear" w:color="auto" w:fill="F2F2F2" w:themeFill="background1" w:themeFillShade="F2"/>
            <w:vAlign w:val="center"/>
          </w:tcPr>
          <w:p w14:paraId="52EFAC95" w14:textId="77777777" w:rsidR="00791A1B" w:rsidRPr="001F5C2F" w:rsidRDefault="00791A1B" w:rsidP="00B36CC3">
            <w:pPr>
              <w:jc w:val="center"/>
              <w:rPr>
                <w:rFonts w:cs="Times New Roman"/>
                <w:b/>
                <w:sz w:val="20"/>
                <w:szCs w:val="20"/>
              </w:rPr>
            </w:pPr>
            <w:r w:rsidRPr="001F5C2F">
              <w:rPr>
                <w:rFonts w:cs="Times New Roman"/>
                <w:b/>
                <w:sz w:val="20"/>
                <w:szCs w:val="20"/>
              </w:rPr>
              <w:t>Kriterijus</w:t>
            </w:r>
          </w:p>
        </w:tc>
        <w:tc>
          <w:tcPr>
            <w:tcW w:w="4031" w:type="dxa"/>
            <w:gridSpan w:val="2"/>
            <w:shd w:val="clear" w:color="auto" w:fill="F2F2F2" w:themeFill="background1" w:themeFillShade="F2"/>
            <w:vAlign w:val="center"/>
          </w:tcPr>
          <w:p w14:paraId="4FBCB668" w14:textId="77777777" w:rsidR="00791A1B" w:rsidRPr="001F5C2F" w:rsidRDefault="00791A1B" w:rsidP="00CC1332">
            <w:pPr>
              <w:jc w:val="center"/>
              <w:rPr>
                <w:rFonts w:cs="Times New Roman"/>
                <w:b/>
                <w:sz w:val="20"/>
                <w:szCs w:val="20"/>
              </w:rPr>
            </w:pPr>
            <w:r w:rsidRPr="001F5C2F">
              <w:rPr>
                <w:rFonts w:cs="Times New Roman"/>
                <w:b/>
                <w:sz w:val="20"/>
                <w:szCs w:val="20"/>
              </w:rPr>
              <w:t>Pagrindimas</w:t>
            </w:r>
          </w:p>
          <w:p w14:paraId="15AE8B4D" w14:textId="77777777" w:rsidR="004E2448" w:rsidRPr="001F5C2F" w:rsidRDefault="004E2448" w:rsidP="00D04B4F">
            <w:pPr>
              <w:jc w:val="center"/>
              <w:rPr>
                <w:rFonts w:cs="Times New Roman"/>
                <w:sz w:val="18"/>
                <w:szCs w:val="18"/>
              </w:rPr>
            </w:pPr>
            <w:r w:rsidRPr="001F5C2F">
              <w:rPr>
                <w:rFonts w:cs="Times New Roman"/>
                <w:sz w:val="18"/>
                <w:szCs w:val="18"/>
              </w:rPr>
              <w:t xml:space="preserve">(nurodomos konkrečios teisės akto projekto ar </w:t>
            </w:r>
            <w:r w:rsidR="00D04B4F" w:rsidRPr="001F5C2F">
              <w:rPr>
                <w:rFonts w:cs="Times New Roman"/>
                <w:sz w:val="18"/>
                <w:szCs w:val="18"/>
              </w:rPr>
              <w:t xml:space="preserve">kitų </w:t>
            </w:r>
            <w:r w:rsidRPr="001F5C2F">
              <w:rPr>
                <w:rFonts w:cs="Times New Roman"/>
                <w:sz w:val="18"/>
                <w:szCs w:val="18"/>
              </w:rPr>
              <w:t>teisės aktų nuostatos, pagrindžiančios teigiamą atsakymą arba pateikiamos antikorupcinį teisės akto projekto vertinimą atliekančio specialisto pastabos</w:t>
            </w:r>
            <w:r w:rsidR="00DE7EA8" w:rsidRPr="001F5C2F">
              <w:rPr>
                <w:rFonts w:cs="Times New Roman"/>
                <w:sz w:val="18"/>
                <w:szCs w:val="18"/>
              </w:rPr>
              <w:t xml:space="preserve"> ir pasiūlymai</w:t>
            </w:r>
            <w:r w:rsidRPr="001F5C2F">
              <w:rPr>
                <w:rFonts w:cs="Times New Roman"/>
                <w:sz w:val="18"/>
                <w:szCs w:val="18"/>
              </w:rPr>
              <w:t xml:space="preserve"> dėl korupcijos rizikos mažinimo)</w:t>
            </w:r>
          </w:p>
        </w:tc>
        <w:tc>
          <w:tcPr>
            <w:tcW w:w="4299" w:type="dxa"/>
            <w:gridSpan w:val="2"/>
            <w:shd w:val="clear" w:color="auto" w:fill="F2F2F2" w:themeFill="background1" w:themeFillShade="F2"/>
            <w:vAlign w:val="center"/>
          </w:tcPr>
          <w:p w14:paraId="6422C271" w14:textId="77777777" w:rsidR="00791A1B" w:rsidRPr="001F5C2F" w:rsidRDefault="00791A1B" w:rsidP="005B4130">
            <w:pPr>
              <w:jc w:val="center"/>
              <w:rPr>
                <w:rFonts w:cs="Times New Roman"/>
                <w:b/>
                <w:sz w:val="20"/>
                <w:szCs w:val="20"/>
              </w:rPr>
            </w:pPr>
            <w:r w:rsidRPr="001F5C2F">
              <w:rPr>
                <w:rFonts w:cs="Times New Roman"/>
                <w:b/>
                <w:sz w:val="20"/>
                <w:szCs w:val="20"/>
              </w:rPr>
              <w:t>Teisės akto projekto pakeitimas, mažinantis korupcijos riziką, arba</w:t>
            </w:r>
            <w:r w:rsidR="00B87A7B" w:rsidRPr="001F5C2F">
              <w:rPr>
                <w:rFonts w:cs="Times New Roman"/>
                <w:b/>
                <w:sz w:val="20"/>
                <w:szCs w:val="20"/>
              </w:rPr>
              <w:t xml:space="preserve"> teisės akto projekto</w:t>
            </w:r>
            <w:r w:rsidR="00F75BA8" w:rsidRPr="001F5C2F">
              <w:rPr>
                <w:rFonts w:cs="Times New Roman"/>
                <w:b/>
                <w:sz w:val="20"/>
                <w:szCs w:val="20"/>
              </w:rPr>
              <w:t xml:space="preserve"> tiesioginio</w:t>
            </w:r>
            <w:r w:rsidRPr="001F5C2F">
              <w:rPr>
                <w:rFonts w:cs="Times New Roman"/>
                <w:b/>
                <w:sz w:val="20"/>
                <w:szCs w:val="20"/>
              </w:rPr>
              <w:t xml:space="preserve"> rengėjo argumentai</w:t>
            </w:r>
            <w:r w:rsidR="005B4130" w:rsidRPr="001F5C2F">
              <w:rPr>
                <w:rFonts w:cs="Times New Roman"/>
                <w:b/>
                <w:sz w:val="20"/>
                <w:szCs w:val="20"/>
              </w:rPr>
              <w:t>, kodėl</w:t>
            </w:r>
            <w:r w:rsidRPr="001F5C2F">
              <w:rPr>
                <w:rFonts w:cs="Times New Roman"/>
                <w:b/>
                <w:sz w:val="20"/>
                <w:szCs w:val="20"/>
              </w:rPr>
              <w:t xml:space="preserve"> </w:t>
            </w:r>
            <w:r w:rsidR="005B4130" w:rsidRPr="001F5C2F">
              <w:rPr>
                <w:rFonts w:cs="Times New Roman"/>
                <w:b/>
                <w:sz w:val="20"/>
                <w:szCs w:val="20"/>
              </w:rPr>
              <w:t>neatsižvelgta</w:t>
            </w:r>
            <w:r w:rsidRPr="001F5C2F">
              <w:rPr>
                <w:rFonts w:cs="Times New Roman"/>
                <w:b/>
                <w:sz w:val="20"/>
                <w:szCs w:val="20"/>
              </w:rPr>
              <w:t xml:space="preserve"> į pastabą</w:t>
            </w:r>
          </w:p>
        </w:tc>
        <w:tc>
          <w:tcPr>
            <w:tcW w:w="3200" w:type="dxa"/>
            <w:shd w:val="clear" w:color="auto" w:fill="F2F2F2" w:themeFill="background1" w:themeFillShade="F2"/>
            <w:vAlign w:val="center"/>
          </w:tcPr>
          <w:p w14:paraId="248A4F1B" w14:textId="77777777" w:rsidR="00791A1B" w:rsidRPr="001F5C2F" w:rsidRDefault="00791A1B" w:rsidP="00922E2A">
            <w:pPr>
              <w:jc w:val="center"/>
              <w:rPr>
                <w:rFonts w:cs="Times New Roman"/>
                <w:b/>
                <w:sz w:val="20"/>
                <w:szCs w:val="20"/>
              </w:rPr>
            </w:pPr>
            <w:r w:rsidRPr="001F5C2F">
              <w:rPr>
                <w:rFonts w:cs="Times New Roman"/>
                <w:b/>
                <w:sz w:val="20"/>
                <w:szCs w:val="20"/>
              </w:rPr>
              <w:t>Išvada</w:t>
            </w:r>
          </w:p>
          <w:p w14:paraId="6909816B" w14:textId="77777777" w:rsidR="00922E2A" w:rsidRPr="001F5C2F" w:rsidRDefault="00922E2A" w:rsidP="005B4130">
            <w:pPr>
              <w:jc w:val="center"/>
              <w:rPr>
                <w:rFonts w:cs="Times New Roman"/>
                <w:b/>
                <w:sz w:val="20"/>
                <w:szCs w:val="20"/>
              </w:rPr>
            </w:pPr>
            <w:r w:rsidRPr="001F5C2F">
              <w:rPr>
                <w:rFonts w:cs="Times New Roman"/>
                <w:b/>
                <w:sz w:val="20"/>
                <w:szCs w:val="20"/>
              </w:rPr>
              <w:t>dėl teisės akto projekto pakeitimų arba argumentų</w:t>
            </w:r>
            <w:r w:rsidR="005B4130" w:rsidRPr="001F5C2F">
              <w:rPr>
                <w:rFonts w:cs="Times New Roman"/>
                <w:b/>
                <w:sz w:val="20"/>
                <w:szCs w:val="20"/>
              </w:rPr>
              <w:t>, kodėl</w:t>
            </w:r>
            <w:r w:rsidRPr="001F5C2F">
              <w:rPr>
                <w:rFonts w:cs="Times New Roman"/>
                <w:b/>
                <w:sz w:val="20"/>
                <w:szCs w:val="20"/>
              </w:rPr>
              <w:t xml:space="preserve"> </w:t>
            </w:r>
            <w:r w:rsidR="005B4130" w:rsidRPr="001F5C2F">
              <w:rPr>
                <w:rFonts w:cs="Times New Roman"/>
                <w:b/>
                <w:sz w:val="20"/>
                <w:szCs w:val="20"/>
              </w:rPr>
              <w:t xml:space="preserve">neatsižvelgta </w:t>
            </w:r>
            <w:r w:rsidRPr="001F5C2F">
              <w:rPr>
                <w:rFonts w:cs="Times New Roman"/>
                <w:b/>
                <w:sz w:val="20"/>
                <w:szCs w:val="20"/>
              </w:rPr>
              <w:t>į pastabą</w:t>
            </w:r>
          </w:p>
        </w:tc>
      </w:tr>
      <w:tr w:rsidR="00DD0CB0" w:rsidRPr="001F5C2F" w14:paraId="66B89128" w14:textId="77777777" w:rsidTr="002B50C8">
        <w:trPr>
          <w:gridAfter w:val="1"/>
          <w:wAfter w:w="75" w:type="dxa"/>
          <w:trHeight w:val="507"/>
        </w:trPr>
        <w:tc>
          <w:tcPr>
            <w:tcW w:w="532" w:type="dxa"/>
            <w:shd w:val="clear" w:color="auto" w:fill="F2F2F2" w:themeFill="background1" w:themeFillShade="F2"/>
            <w:vAlign w:val="center"/>
          </w:tcPr>
          <w:p w14:paraId="7CA5BB1A" w14:textId="77777777" w:rsidR="00DE7EA8" w:rsidRPr="001F5C2F" w:rsidRDefault="00DE7EA8" w:rsidP="009A77D2">
            <w:pPr>
              <w:jc w:val="center"/>
              <w:rPr>
                <w:rFonts w:cs="Times New Roman"/>
                <w:i/>
                <w:sz w:val="18"/>
                <w:szCs w:val="18"/>
              </w:rPr>
            </w:pPr>
          </w:p>
        </w:tc>
        <w:tc>
          <w:tcPr>
            <w:tcW w:w="3499" w:type="dxa"/>
            <w:gridSpan w:val="3"/>
            <w:shd w:val="clear" w:color="auto" w:fill="F2F2F2" w:themeFill="background1" w:themeFillShade="F2"/>
            <w:vAlign w:val="center"/>
          </w:tcPr>
          <w:p w14:paraId="7D07C7FB" w14:textId="77777777" w:rsidR="00DE7EA8" w:rsidRPr="001F5C2F" w:rsidRDefault="00DE7EA8" w:rsidP="009A77D2">
            <w:pPr>
              <w:jc w:val="center"/>
              <w:rPr>
                <w:rFonts w:cs="Times New Roman"/>
                <w:i/>
                <w:sz w:val="18"/>
                <w:szCs w:val="18"/>
              </w:rPr>
            </w:pPr>
          </w:p>
        </w:tc>
        <w:tc>
          <w:tcPr>
            <w:tcW w:w="4031" w:type="dxa"/>
            <w:gridSpan w:val="2"/>
            <w:shd w:val="clear" w:color="auto" w:fill="F2F2F2" w:themeFill="background1" w:themeFillShade="F2"/>
            <w:vAlign w:val="center"/>
          </w:tcPr>
          <w:p w14:paraId="2E8FEBFC" w14:textId="77777777" w:rsidR="00DE7EA8" w:rsidRPr="001F5C2F" w:rsidRDefault="00DE7EA8" w:rsidP="00F96183">
            <w:pPr>
              <w:jc w:val="center"/>
              <w:rPr>
                <w:rFonts w:cs="Times New Roman"/>
                <w:i/>
                <w:sz w:val="18"/>
                <w:szCs w:val="18"/>
              </w:rPr>
            </w:pPr>
            <w:r w:rsidRPr="001F5C2F">
              <w:rPr>
                <w:rFonts w:cs="Times New Roman"/>
                <w:i/>
                <w:sz w:val="18"/>
                <w:szCs w:val="18"/>
              </w:rPr>
              <w:t xml:space="preserve">Pildo teisės akto projekto </w:t>
            </w:r>
            <w:r w:rsidR="00F96183" w:rsidRPr="001F5C2F">
              <w:rPr>
                <w:rFonts w:cs="Times New Roman"/>
                <w:i/>
                <w:sz w:val="18"/>
                <w:szCs w:val="18"/>
              </w:rPr>
              <w:t>vertintojas</w:t>
            </w:r>
          </w:p>
        </w:tc>
        <w:tc>
          <w:tcPr>
            <w:tcW w:w="4299" w:type="dxa"/>
            <w:gridSpan w:val="2"/>
            <w:shd w:val="clear" w:color="auto" w:fill="F2F2F2" w:themeFill="background1" w:themeFillShade="F2"/>
            <w:vAlign w:val="center"/>
          </w:tcPr>
          <w:p w14:paraId="625CE981" w14:textId="77777777" w:rsidR="00DE7EA8" w:rsidRPr="001F5C2F" w:rsidRDefault="00DE7EA8" w:rsidP="009A77D2">
            <w:pPr>
              <w:jc w:val="center"/>
              <w:rPr>
                <w:rFonts w:cs="Times New Roman"/>
                <w:i/>
                <w:sz w:val="18"/>
                <w:szCs w:val="18"/>
              </w:rPr>
            </w:pPr>
            <w:r w:rsidRPr="001F5C2F">
              <w:rPr>
                <w:rFonts w:cs="Times New Roman"/>
                <w:i/>
                <w:sz w:val="18"/>
                <w:szCs w:val="18"/>
              </w:rPr>
              <w:t>Pildo teisės akto projekto</w:t>
            </w:r>
            <w:r w:rsidR="00122E92" w:rsidRPr="001F5C2F">
              <w:rPr>
                <w:rFonts w:cs="Times New Roman"/>
                <w:i/>
                <w:sz w:val="18"/>
                <w:szCs w:val="18"/>
              </w:rPr>
              <w:t xml:space="preserve"> tiesioginis</w:t>
            </w:r>
            <w:r w:rsidRPr="001F5C2F">
              <w:rPr>
                <w:rFonts w:cs="Times New Roman"/>
                <w:i/>
                <w:sz w:val="18"/>
                <w:szCs w:val="18"/>
              </w:rPr>
              <w:t xml:space="preserve"> rengėjas</w:t>
            </w:r>
          </w:p>
        </w:tc>
        <w:tc>
          <w:tcPr>
            <w:tcW w:w="3200" w:type="dxa"/>
            <w:shd w:val="clear" w:color="auto" w:fill="F2F2F2" w:themeFill="background1" w:themeFillShade="F2"/>
            <w:vAlign w:val="center"/>
          </w:tcPr>
          <w:p w14:paraId="2176D43B" w14:textId="77777777" w:rsidR="00DE7EA8" w:rsidRPr="001F5C2F" w:rsidRDefault="00DE7EA8" w:rsidP="00F96183">
            <w:pPr>
              <w:jc w:val="center"/>
              <w:rPr>
                <w:rFonts w:cs="Times New Roman"/>
                <w:i/>
                <w:sz w:val="18"/>
                <w:szCs w:val="18"/>
              </w:rPr>
            </w:pPr>
            <w:r w:rsidRPr="001F5C2F">
              <w:rPr>
                <w:rFonts w:cs="Times New Roman"/>
                <w:i/>
                <w:sz w:val="18"/>
                <w:szCs w:val="18"/>
              </w:rPr>
              <w:t xml:space="preserve">Pildo teisės akto projekto </w:t>
            </w:r>
            <w:r w:rsidR="00F96183" w:rsidRPr="001F5C2F">
              <w:rPr>
                <w:rFonts w:cs="Times New Roman"/>
                <w:i/>
                <w:sz w:val="18"/>
                <w:szCs w:val="18"/>
              </w:rPr>
              <w:t>vertintojas</w:t>
            </w:r>
          </w:p>
        </w:tc>
      </w:tr>
      <w:tr w:rsidR="00DD0CB0" w:rsidRPr="001F5C2F" w14:paraId="01952B0C" w14:textId="77777777" w:rsidTr="006A728F">
        <w:trPr>
          <w:gridAfter w:val="1"/>
          <w:wAfter w:w="75" w:type="dxa"/>
        </w:trPr>
        <w:tc>
          <w:tcPr>
            <w:tcW w:w="532" w:type="dxa"/>
          </w:tcPr>
          <w:p w14:paraId="51A58E70" w14:textId="77777777" w:rsidR="00DD308C" w:rsidRPr="001F5C2F" w:rsidRDefault="00DD308C" w:rsidP="0043658A">
            <w:pPr>
              <w:rPr>
                <w:rFonts w:cs="Times New Roman"/>
                <w:sz w:val="22"/>
              </w:rPr>
            </w:pPr>
            <w:r w:rsidRPr="001F5C2F">
              <w:rPr>
                <w:rFonts w:cs="Times New Roman"/>
                <w:sz w:val="22"/>
              </w:rPr>
              <w:t>1.</w:t>
            </w:r>
          </w:p>
        </w:tc>
        <w:tc>
          <w:tcPr>
            <w:tcW w:w="3499" w:type="dxa"/>
            <w:gridSpan w:val="3"/>
          </w:tcPr>
          <w:p w14:paraId="57562F89" w14:textId="77777777" w:rsidR="00DD308C" w:rsidRPr="001F5C2F" w:rsidRDefault="00DD308C" w:rsidP="00DD308C">
            <w:pPr>
              <w:spacing w:before="60" w:after="60"/>
              <w:jc w:val="both"/>
              <w:rPr>
                <w:rFonts w:cs="Times New Roman"/>
                <w:sz w:val="22"/>
                <w:highlight w:val="lightGray"/>
              </w:rPr>
            </w:pPr>
            <w:r w:rsidRPr="001F5C2F">
              <w:rPr>
                <w:rFonts w:cs="Times New Roman"/>
                <w:sz w:val="22"/>
              </w:rPr>
              <w:t>Teisės akto projektas nesukuria išskirtinių ar nevienodų sąlygų subjektams, su kuriais susijęs teisės akto projekto įgyvendinimas.</w:t>
            </w:r>
          </w:p>
        </w:tc>
        <w:tc>
          <w:tcPr>
            <w:tcW w:w="4031" w:type="dxa"/>
            <w:gridSpan w:val="2"/>
            <w:shd w:val="clear" w:color="auto" w:fill="FFFFFF" w:themeFill="background1"/>
          </w:tcPr>
          <w:p w14:paraId="25020402" w14:textId="77777777" w:rsidR="002B50C8" w:rsidRDefault="00697C8A" w:rsidP="00550B23">
            <w:pPr>
              <w:jc w:val="both"/>
              <w:rPr>
                <w:rFonts w:cs="Times New Roman"/>
                <w:sz w:val="22"/>
              </w:rPr>
            </w:pPr>
            <w:r w:rsidRPr="001F5C2F">
              <w:rPr>
                <w:rFonts w:cs="Times New Roman"/>
                <w:sz w:val="22"/>
              </w:rPr>
              <w:t>Proje</w:t>
            </w:r>
            <w:r w:rsidR="00DD0CB0">
              <w:rPr>
                <w:rFonts w:cs="Times New Roman"/>
                <w:sz w:val="22"/>
              </w:rPr>
              <w:t>kte siūlomomis nuostatomis</w:t>
            </w:r>
            <w:r w:rsidR="007D5162" w:rsidRPr="001F5C2F">
              <w:rPr>
                <w:rFonts w:cs="Times New Roman"/>
                <w:sz w:val="22"/>
              </w:rPr>
              <w:t xml:space="preserve"> nesukuriamos </w:t>
            </w:r>
            <w:r w:rsidR="00DD0CB0">
              <w:rPr>
                <w:rFonts w:cs="Times New Roman"/>
                <w:sz w:val="22"/>
              </w:rPr>
              <w:t xml:space="preserve">nepagrįstai </w:t>
            </w:r>
            <w:r w:rsidR="007D5162" w:rsidRPr="001F5C2F">
              <w:rPr>
                <w:rFonts w:cs="Times New Roman"/>
                <w:sz w:val="22"/>
              </w:rPr>
              <w:t xml:space="preserve">išskirtinės ar nevienodos sąlygos subjektams, kuriems </w:t>
            </w:r>
            <w:r w:rsidR="00DD0CB0">
              <w:rPr>
                <w:rFonts w:cs="Times New Roman"/>
                <w:sz w:val="22"/>
              </w:rPr>
              <w:t xml:space="preserve">jos </w:t>
            </w:r>
            <w:r w:rsidR="007D5162" w:rsidRPr="001F5C2F">
              <w:rPr>
                <w:rFonts w:cs="Times New Roman"/>
                <w:sz w:val="22"/>
              </w:rPr>
              <w:t>galėtų būti aktua</w:t>
            </w:r>
            <w:r w:rsidR="00A16B19" w:rsidRPr="001F5C2F">
              <w:rPr>
                <w:rFonts w:cs="Times New Roman"/>
                <w:sz w:val="22"/>
              </w:rPr>
              <w:t>lios</w:t>
            </w:r>
            <w:r w:rsidR="005832EF" w:rsidRPr="001F5C2F">
              <w:rPr>
                <w:rFonts w:cs="Times New Roman"/>
                <w:sz w:val="22"/>
              </w:rPr>
              <w:t xml:space="preserve">. </w:t>
            </w:r>
          </w:p>
          <w:p w14:paraId="2EF9F6FE" w14:textId="18370D2B" w:rsidR="000057ED" w:rsidRPr="001F5C2F" w:rsidRDefault="000057ED" w:rsidP="00550B23">
            <w:pPr>
              <w:jc w:val="both"/>
              <w:rPr>
                <w:rFonts w:cs="Times New Roman"/>
                <w:sz w:val="22"/>
              </w:rPr>
            </w:pPr>
            <w:r>
              <w:rPr>
                <w:rFonts w:cs="Times New Roman"/>
                <w:sz w:val="22"/>
              </w:rPr>
              <w:t xml:space="preserve">Projektu siūloma </w:t>
            </w:r>
            <w:r w:rsidRPr="000057ED">
              <w:rPr>
                <w:rFonts w:cs="Times New Roman"/>
                <w:sz w:val="22"/>
              </w:rPr>
              <w:t>nustat</w:t>
            </w:r>
            <w:r>
              <w:rPr>
                <w:rFonts w:cs="Times New Roman"/>
                <w:sz w:val="22"/>
              </w:rPr>
              <w:t>yti bendrą</w:t>
            </w:r>
            <w:r w:rsidRPr="000057ED">
              <w:rPr>
                <w:rFonts w:cs="Times New Roman"/>
                <w:sz w:val="22"/>
              </w:rPr>
              <w:t xml:space="preserve"> valstybės ir savivaldybių biudžetinių įstaigų, finansuojamų iš Lietuvos Respublikos valstybės biudžeto, savivaldybių biudžetų ir Valstybinio socialinio draudimo fondo biudžeto bei kitų valstybės įsteigtų pinigų fondų lėšų, darbuotojų, dirbančių pagal darbo sutartis, ir biudžetinių įstaigų vadovų, dirbančių pagal darbo sutartis, kasmetinio veiklos vertinimo tvarką.</w:t>
            </w:r>
          </w:p>
        </w:tc>
        <w:tc>
          <w:tcPr>
            <w:tcW w:w="4299" w:type="dxa"/>
            <w:gridSpan w:val="2"/>
            <w:shd w:val="clear" w:color="auto" w:fill="FFFFFF" w:themeFill="background1"/>
          </w:tcPr>
          <w:p w14:paraId="468535E8" w14:textId="77777777" w:rsidR="00DD308C" w:rsidRPr="001F5C2F" w:rsidRDefault="00DD308C" w:rsidP="0043658A">
            <w:pPr>
              <w:rPr>
                <w:rFonts w:cs="Times New Roman"/>
                <w:sz w:val="22"/>
              </w:rPr>
            </w:pPr>
          </w:p>
        </w:tc>
        <w:tc>
          <w:tcPr>
            <w:tcW w:w="3200" w:type="dxa"/>
          </w:tcPr>
          <w:p w14:paraId="7F71D1A1" w14:textId="77777777" w:rsidR="00DD308C" w:rsidRPr="001F5C2F" w:rsidRDefault="00DD308C" w:rsidP="00791A1B">
            <w:pPr>
              <w:rPr>
                <w:rFonts w:cs="Times New Roman"/>
                <w:sz w:val="22"/>
              </w:rPr>
            </w:pPr>
            <w:r w:rsidRPr="001F5C2F">
              <w:rPr>
                <w:rFonts w:cs="Times New Roman"/>
                <w:sz w:val="22"/>
              </w:rPr>
              <w:t xml:space="preserve">□ </w:t>
            </w:r>
            <w:r w:rsidR="00922E2A" w:rsidRPr="001F5C2F">
              <w:rPr>
                <w:rFonts w:cs="Times New Roman"/>
                <w:sz w:val="22"/>
              </w:rPr>
              <w:t>tenkina</w:t>
            </w:r>
          </w:p>
          <w:p w14:paraId="4C841136" w14:textId="77777777" w:rsidR="00DD308C" w:rsidRPr="001F5C2F" w:rsidRDefault="00DD308C" w:rsidP="00127C05">
            <w:pPr>
              <w:rPr>
                <w:rFonts w:cs="Times New Roman"/>
                <w:sz w:val="22"/>
              </w:rPr>
            </w:pPr>
            <w:r w:rsidRPr="001F5C2F">
              <w:rPr>
                <w:rFonts w:cs="Times New Roman"/>
                <w:sz w:val="22"/>
              </w:rPr>
              <w:t xml:space="preserve">□ </w:t>
            </w:r>
            <w:r w:rsidR="00922E2A" w:rsidRPr="001F5C2F">
              <w:rPr>
                <w:rFonts w:cs="Times New Roman"/>
                <w:sz w:val="22"/>
              </w:rPr>
              <w:t>netenkina</w:t>
            </w:r>
          </w:p>
        </w:tc>
      </w:tr>
      <w:tr w:rsidR="00DD0CB0" w:rsidRPr="001F5C2F" w14:paraId="496FB34E" w14:textId="77777777" w:rsidTr="006A728F">
        <w:trPr>
          <w:gridAfter w:val="1"/>
          <w:wAfter w:w="75" w:type="dxa"/>
        </w:trPr>
        <w:tc>
          <w:tcPr>
            <w:tcW w:w="532" w:type="dxa"/>
            <w:shd w:val="clear" w:color="auto" w:fill="FFFFFF" w:themeFill="background1"/>
          </w:tcPr>
          <w:p w14:paraId="52A12A73" w14:textId="77777777" w:rsidR="00922E2A" w:rsidRPr="001F5C2F" w:rsidRDefault="00922E2A" w:rsidP="0043658A">
            <w:pPr>
              <w:rPr>
                <w:rFonts w:cs="Times New Roman"/>
                <w:sz w:val="22"/>
              </w:rPr>
            </w:pPr>
            <w:r w:rsidRPr="001F5C2F">
              <w:rPr>
                <w:rFonts w:cs="Times New Roman"/>
                <w:sz w:val="22"/>
              </w:rPr>
              <w:lastRenderedPageBreak/>
              <w:t>2.</w:t>
            </w:r>
          </w:p>
        </w:tc>
        <w:tc>
          <w:tcPr>
            <w:tcW w:w="3499" w:type="dxa"/>
            <w:gridSpan w:val="3"/>
            <w:shd w:val="clear" w:color="auto" w:fill="FFFFFF" w:themeFill="background1"/>
          </w:tcPr>
          <w:p w14:paraId="0BE65560" w14:textId="77777777" w:rsidR="00922E2A" w:rsidRPr="001F5C2F" w:rsidRDefault="00922E2A" w:rsidP="00DD308C">
            <w:pPr>
              <w:spacing w:before="60" w:after="60"/>
              <w:jc w:val="both"/>
              <w:rPr>
                <w:rFonts w:cs="Times New Roman"/>
                <w:sz w:val="22"/>
              </w:rPr>
            </w:pPr>
            <w:r w:rsidRPr="001F5C2F">
              <w:rPr>
                <w:rFonts w:cs="Times New Roman"/>
                <w:sz w:val="22"/>
              </w:rPr>
              <w:t>Teisės akto projekte nėra</w:t>
            </w:r>
            <w:r w:rsidR="008D22E9" w:rsidRPr="001F5C2F">
              <w:rPr>
                <w:rFonts w:cs="Times New Roman"/>
                <w:sz w:val="22"/>
              </w:rPr>
              <w:t xml:space="preserve"> </w:t>
            </w:r>
            <w:r w:rsidRPr="001F5C2F">
              <w:rPr>
                <w:rFonts w:cs="Times New Roman"/>
                <w:sz w:val="22"/>
              </w:rPr>
              <w:t>spragų ar nuostatų, leisiančių dviprasmiškai aiškinti ir taikyti teisės aktą.</w:t>
            </w:r>
          </w:p>
        </w:tc>
        <w:tc>
          <w:tcPr>
            <w:tcW w:w="4031" w:type="dxa"/>
            <w:gridSpan w:val="2"/>
            <w:shd w:val="clear" w:color="auto" w:fill="FFFFFF" w:themeFill="background1"/>
          </w:tcPr>
          <w:p w14:paraId="1E3A003F" w14:textId="77777777" w:rsidR="00B550DD" w:rsidRPr="001F5C2F" w:rsidRDefault="00A13251" w:rsidP="009357CE">
            <w:pPr>
              <w:jc w:val="both"/>
              <w:rPr>
                <w:rFonts w:cs="Times New Roman"/>
                <w:bCs/>
                <w:iCs/>
                <w:sz w:val="22"/>
              </w:rPr>
            </w:pPr>
            <w:r w:rsidRPr="001F5C2F">
              <w:rPr>
                <w:rFonts w:cs="Times New Roman"/>
                <w:bCs/>
                <w:iCs/>
                <w:sz w:val="22"/>
              </w:rPr>
              <w:t>Projekt</w:t>
            </w:r>
            <w:r w:rsidR="00F85819" w:rsidRPr="001F5C2F">
              <w:rPr>
                <w:rFonts w:cs="Times New Roman"/>
                <w:bCs/>
                <w:iCs/>
                <w:sz w:val="22"/>
              </w:rPr>
              <w:t xml:space="preserve">e nenustatyta tokio pobūdžio spragų ar dviprasmiškų nuostatų. </w:t>
            </w:r>
          </w:p>
          <w:p w14:paraId="2A7E44E0" w14:textId="1E5C4127" w:rsidR="007B74C4" w:rsidRPr="0092657F" w:rsidRDefault="0092657F" w:rsidP="009357CE">
            <w:pPr>
              <w:jc w:val="both"/>
              <w:rPr>
                <w:rFonts w:cs="Times New Roman"/>
                <w:bCs/>
                <w:iCs/>
                <w:sz w:val="22"/>
              </w:rPr>
            </w:pPr>
            <w:r>
              <w:rPr>
                <w:rFonts w:cs="Times New Roman"/>
                <w:bCs/>
                <w:iCs/>
                <w:sz w:val="22"/>
              </w:rPr>
              <w:t xml:space="preserve"> </w:t>
            </w:r>
          </w:p>
        </w:tc>
        <w:tc>
          <w:tcPr>
            <w:tcW w:w="4299" w:type="dxa"/>
            <w:gridSpan w:val="2"/>
            <w:shd w:val="clear" w:color="auto" w:fill="FFFFFF" w:themeFill="background1"/>
          </w:tcPr>
          <w:p w14:paraId="49251AA5" w14:textId="77777777" w:rsidR="006C47E1" w:rsidRPr="001F5C2F" w:rsidRDefault="006C47E1" w:rsidP="00DB5868">
            <w:pPr>
              <w:jc w:val="both"/>
              <w:rPr>
                <w:rFonts w:cs="Times New Roman"/>
                <w:sz w:val="22"/>
              </w:rPr>
            </w:pPr>
          </w:p>
        </w:tc>
        <w:tc>
          <w:tcPr>
            <w:tcW w:w="3200" w:type="dxa"/>
            <w:shd w:val="clear" w:color="auto" w:fill="FFFFFF" w:themeFill="background1"/>
          </w:tcPr>
          <w:p w14:paraId="2F7BFA8B" w14:textId="77777777" w:rsidR="00922E2A" w:rsidRPr="001F5C2F" w:rsidRDefault="00DB5868" w:rsidP="00454A7F">
            <w:pPr>
              <w:rPr>
                <w:rFonts w:cs="Times New Roman"/>
                <w:sz w:val="22"/>
              </w:rPr>
            </w:pPr>
            <w:r w:rsidRPr="001F5C2F">
              <w:rPr>
                <w:rFonts w:cs="Times New Roman"/>
                <w:sz w:val="22"/>
              </w:rPr>
              <w:t>□</w:t>
            </w:r>
            <w:r w:rsidR="00922E2A" w:rsidRPr="001F5C2F">
              <w:rPr>
                <w:rFonts w:cs="Times New Roman"/>
                <w:sz w:val="22"/>
              </w:rPr>
              <w:t xml:space="preserve"> tenkina</w:t>
            </w:r>
          </w:p>
          <w:p w14:paraId="42476EBA" w14:textId="77777777" w:rsidR="00922E2A" w:rsidRPr="001F5C2F" w:rsidRDefault="00922E2A" w:rsidP="00454A7F">
            <w:pPr>
              <w:rPr>
                <w:rFonts w:cs="Times New Roman"/>
                <w:sz w:val="22"/>
              </w:rPr>
            </w:pPr>
            <w:r w:rsidRPr="001F5C2F">
              <w:rPr>
                <w:rFonts w:cs="Times New Roman"/>
                <w:sz w:val="22"/>
              </w:rPr>
              <w:t>□ netenkina</w:t>
            </w:r>
          </w:p>
        </w:tc>
      </w:tr>
      <w:tr w:rsidR="00DD0CB0" w:rsidRPr="001F5C2F" w14:paraId="1BEA1819" w14:textId="77777777" w:rsidTr="006A728F">
        <w:trPr>
          <w:gridAfter w:val="1"/>
          <w:wAfter w:w="75" w:type="dxa"/>
        </w:trPr>
        <w:tc>
          <w:tcPr>
            <w:tcW w:w="532" w:type="dxa"/>
          </w:tcPr>
          <w:p w14:paraId="5D3E9A17" w14:textId="77777777" w:rsidR="00922E2A" w:rsidRPr="001F5C2F" w:rsidRDefault="00922E2A" w:rsidP="0043658A">
            <w:pPr>
              <w:rPr>
                <w:rFonts w:cs="Times New Roman"/>
                <w:sz w:val="22"/>
              </w:rPr>
            </w:pPr>
            <w:r w:rsidRPr="001F5C2F">
              <w:rPr>
                <w:rFonts w:cs="Times New Roman"/>
                <w:sz w:val="22"/>
              </w:rPr>
              <w:t>3.</w:t>
            </w:r>
          </w:p>
        </w:tc>
        <w:tc>
          <w:tcPr>
            <w:tcW w:w="3499" w:type="dxa"/>
            <w:gridSpan w:val="3"/>
            <w:shd w:val="clear" w:color="auto" w:fill="auto"/>
          </w:tcPr>
          <w:p w14:paraId="45AA4DA1" w14:textId="77777777" w:rsidR="00922E2A" w:rsidRPr="001F5C2F" w:rsidRDefault="00922E2A" w:rsidP="00745434">
            <w:pPr>
              <w:rPr>
                <w:rFonts w:cs="Times New Roman"/>
                <w:sz w:val="22"/>
              </w:rPr>
            </w:pPr>
            <w:r w:rsidRPr="001F5C2F">
              <w:rPr>
                <w:rFonts w:cs="Times New Roman"/>
                <w:sz w:val="22"/>
              </w:rPr>
              <w:t xml:space="preserve">Teisės akto projekte įtvirtinta, kad sprendimą dėl teisių suteikimo, apribojimų nustatymo, sankcijų taikymo ir pan. priimantis subjektas yra atskirtas nuo šių sprendimų teisėtumą ir jų įgyvendinimą </w:t>
            </w:r>
            <w:r w:rsidR="00745434" w:rsidRPr="001F5C2F">
              <w:rPr>
                <w:rFonts w:cs="Times New Roman"/>
                <w:sz w:val="22"/>
              </w:rPr>
              <w:t>kontroliuojančio (prižiūrinčio)</w:t>
            </w:r>
            <w:r w:rsidRPr="001F5C2F">
              <w:rPr>
                <w:rFonts w:cs="Times New Roman"/>
                <w:sz w:val="22"/>
              </w:rPr>
              <w:t xml:space="preserve"> subjekto.</w:t>
            </w:r>
          </w:p>
        </w:tc>
        <w:tc>
          <w:tcPr>
            <w:tcW w:w="4031" w:type="dxa"/>
            <w:gridSpan w:val="2"/>
            <w:shd w:val="clear" w:color="auto" w:fill="FFFFFF" w:themeFill="background1"/>
          </w:tcPr>
          <w:p w14:paraId="0671C7B4" w14:textId="47DF8C26" w:rsidR="00631EEE" w:rsidRPr="001F5C2F" w:rsidRDefault="00631EEE" w:rsidP="00631EEE">
            <w:pPr>
              <w:jc w:val="both"/>
              <w:rPr>
                <w:rFonts w:cs="Times New Roman"/>
                <w:bCs/>
                <w:sz w:val="22"/>
              </w:rPr>
            </w:pPr>
            <w:r w:rsidRPr="001F5C2F">
              <w:rPr>
                <w:rFonts w:cs="Times New Roman"/>
                <w:sz w:val="22"/>
              </w:rPr>
              <w:t xml:space="preserve">Šis kriterijus Projektui nėra </w:t>
            </w:r>
            <w:r w:rsidR="005832EF" w:rsidRPr="001F5C2F">
              <w:rPr>
                <w:rFonts w:cs="Times New Roman"/>
                <w:sz w:val="22"/>
              </w:rPr>
              <w:t xml:space="preserve">tiesiogiai </w:t>
            </w:r>
            <w:r w:rsidRPr="001F5C2F">
              <w:rPr>
                <w:rFonts w:cs="Times New Roman"/>
                <w:sz w:val="22"/>
              </w:rPr>
              <w:t xml:space="preserve">aktualus.  </w:t>
            </w:r>
          </w:p>
          <w:p w14:paraId="3170FB32" w14:textId="236D06FD" w:rsidR="00841EE3" w:rsidRPr="001F5C2F" w:rsidRDefault="00841EE3" w:rsidP="00841EE3">
            <w:pPr>
              <w:jc w:val="both"/>
              <w:rPr>
                <w:rFonts w:cs="Times New Roman"/>
                <w:sz w:val="22"/>
              </w:rPr>
            </w:pPr>
          </w:p>
        </w:tc>
        <w:tc>
          <w:tcPr>
            <w:tcW w:w="4299" w:type="dxa"/>
            <w:gridSpan w:val="2"/>
            <w:shd w:val="clear" w:color="auto" w:fill="FFFFFF" w:themeFill="background1"/>
          </w:tcPr>
          <w:p w14:paraId="5661819B" w14:textId="77777777" w:rsidR="00922E2A" w:rsidRPr="001F5C2F" w:rsidRDefault="00922E2A" w:rsidP="0043658A">
            <w:pPr>
              <w:rPr>
                <w:rFonts w:cs="Times New Roman"/>
                <w:sz w:val="22"/>
              </w:rPr>
            </w:pPr>
          </w:p>
        </w:tc>
        <w:tc>
          <w:tcPr>
            <w:tcW w:w="3200" w:type="dxa"/>
          </w:tcPr>
          <w:p w14:paraId="75B60C58" w14:textId="77777777" w:rsidR="00922E2A" w:rsidRPr="001F5C2F" w:rsidRDefault="00922E2A" w:rsidP="00454A7F">
            <w:pPr>
              <w:rPr>
                <w:rFonts w:cs="Times New Roman"/>
                <w:sz w:val="22"/>
              </w:rPr>
            </w:pPr>
            <w:r w:rsidRPr="001F5C2F">
              <w:rPr>
                <w:rFonts w:cs="Times New Roman"/>
                <w:sz w:val="22"/>
              </w:rPr>
              <w:t>□ tenkina</w:t>
            </w:r>
          </w:p>
          <w:p w14:paraId="64048188" w14:textId="77777777" w:rsidR="00922E2A" w:rsidRPr="001F5C2F" w:rsidRDefault="00922E2A" w:rsidP="00454A7F">
            <w:pPr>
              <w:rPr>
                <w:rFonts w:cs="Times New Roman"/>
                <w:sz w:val="22"/>
              </w:rPr>
            </w:pPr>
            <w:r w:rsidRPr="001F5C2F">
              <w:rPr>
                <w:rFonts w:cs="Times New Roman"/>
                <w:sz w:val="22"/>
              </w:rPr>
              <w:t>□ netenkina</w:t>
            </w:r>
          </w:p>
        </w:tc>
      </w:tr>
      <w:tr w:rsidR="00DD0CB0" w:rsidRPr="001F5C2F" w14:paraId="08A1191A" w14:textId="77777777" w:rsidTr="006A728F">
        <w:trPr>
          <w:gridAfter w:val="1"/>
          <w:wAfter w:w="75" w:type="dxa"/>
        </w:trPr>
        <w:tc>
          <w:tcPr>
            <w:tcW w:w="532" w:type="dxa"/>
          </w:tcPr>
          <w:p w14:paraId="7EAB3AD0" w14:textId="77777777" w:rsidR="00922E2A" w:rsidRPr="001F5C2F" w:rsidRDefault="00922E2A" w:rsidP="0043658A">
            <w:pPr>
              <w:rPr>
                <w:rFonts w:cs="Times New Roman"/>
                <w:sz w:val="22"/>
              </w:rPr>
            </w:pPr>
            <w:r w:rsidRPr="001F5C2F">
              <w:rPr>
                <w:rFonts w:cs="Times New Roman"/>
                <w:sz w:val="22"/>
              </w:rPr>
              <w:t>4.</w:t>
            </w:r>
          </w:p>
        </w:tc>
        <w:tc>
          <w:tcPr>
            <w:tcW w:w="3499" w:type="dxa"/>
            <w:gridSpan w:val="3"/>
          </w:tcPr>
          <w:p w14:paraId="09FC4590" w14:textId="77777777" w:rsidR="00922E2A" w:rsidRPr="001F5C2F" w:rsidRDefault="00922E2A" w:rsidP="00454A7F">
            <w:pPr>
              <w:spacing w:before="60" w:after="60"/>
              <w:rPr>
                <w:rFonts w:cs="Times New Roman"/>
                <w:sz w:val="22"/>
              </w:rPr>
            </w:pPr>
            <w:r w:rsidRPr="001F5C2F">
              <w:rPr>
                <w:rFonts w:cs="Times New Roman"/>
                <w:sz w:val="22"/>
              </w:rPr>
              <w:t xml:space="preserve">Teisės akto projekte įtvirtinti </w:t>
            </w:r>
            <w:r w:rsidR="00BD54A3" w:rsidRPr="001F5C2F">
              <w:rPr>
                <w:rFonts w:cs="Times New Roman"/>
                <w:sz w:val="22"/>
              </w:rPr>
              <w:t xml:space="preserve">subjekto </w:t>
            </w:r>
            <w:r w:rsidRPr="001F5C2F">
              <w:rPr>
                <w:rFonts w:cs="Times New Roman"/>
                <w:sz w:val="22"/>
              </w:rPr>
              <w:t>įgaliojimai (teisės) atitinka subjekto vykdomas funkcijas (pareigas).</w:t>
            </w:r>
          </w:p>
        </w:tc>
        <w:tc>
          <w:tcPr>
            <w:tcW w:w="4031" w:type="dxa"/>
            <w:gridSpan w:val="2"/>
            <w:shd w:val="clear" w:color="auto" w:fill="FFFFFF" w:themeFill="background1"/>
          </w:tcPr>
          <w:p w14:paraId="2E054C80" w14:textId="635CC6A3" w:rsidR="00922E2A" w:rsidRPr="001F5C2F" w:rsidRDefault="00FF561E" w:rsidP="00F460A4">
            <w:pPr>
              <w:jc w:val="both"/>
              <w:rPr>
                <w:rFonts w:cs="Times New Roman"/>
                <w:sz w:val="22"/>
              </w:rPr>
            </w:pPr>
            <w:r>
              <w:rPr>
                <w:rFonts w:cs="Times New Roman"/>
                <w:sz w:val="22"/>
              </w:rPr>
              <w:t xml:space="preserve">Taip. </w:t>
            </w:r>
            <w:r w:rsidR="00D05E88">
              <w:rPr>
                <w:rFonts w:cs="Times New Roman"/>
                <w:sz w:val="22"/>
              </w:rPr>
              <w:t>Projekte nurodomų subjektų (</w:t>
            </w:r>
            <w:bookmarkStart w:id="1" w:name="_Hlk85719255"/>
            <w:r w:rsidR="00D05E88">
              <w:rPr>
                <w:rFonts w:cs="Times New Roman"/>
                <w:sz w:val="22"/>
              </w:rPr>
              <w:t>pvz. t</w:t>
            </w:r>
            <w:r w:rsidR="00D05E88" w:rsidRPr="00D05E88">
              <w:rPr>
                <w:rFonts w:cs="Times New Roman"/>
                <w:sz w:val="22"/>
              </w:rPr>
              <w:t xml:space="preserve">iesioginis darbuotojo </w:t>
            </w:r>
            <w:bookmarkEnd w:id="1"/>
            <w:r w:rsidR="00D05E88" w:rsidRPr="00D05E88">
              <w:rPr>
                <w:rFonts w:cs="Times New Roman"/>
                <w:sz w:val="22"/>
              </w:rPr>
              <w:t>vadovas / į pareigas priimantis ar jo įgaliotas asmuo</w:t>
            </w:r>
            <w:r w:rsidR="00D05E88">
              <w:rPr>
                <w:rFonts w:cs="Times New Roman"/>
                <w:sz w:val="22"/>
              </w:rPr>
              <w:t xml:space="preserve">, darbuotojų atstovavimą įgyvendinantis asmuo) įgaliojimai darbuotojų veiklos vertinimo procese atitinka tokiems subjektams paprastai priskiriamas funkcijas (pareigas). </w:t>
            </w:r>
          </w:p>
        </w:tc>
        <w:tc>
          <w:tcPr>
            <w:tcW w:w="4299" w:type="dxa"/>
            <w:gridSpan w:val="2"/>
            <w:shd w:val="clear" w:color="auto" w:fill="FFFFFF" w:themeFill="background1"/>
          </w:tcPr>
          <w:p w14:paraId="1C54A444" w14:textId="77777777" w:rsidR="00922E2A" w:rsidRPr="001F5C2F" w:rsidRDefault="00922E2A" w:rsidP="0043658A">
            <w:pPr>
              <w:rPr>
                <w:rFonts w:cs="Times New Roman"/>
                <w:sz w:val="22"/>
              </w:rPr>
            </w:pPr>
          </w:p>
        </w:tc>
        <w:tc>
          <w:tcPr>
            <w:tcW w:w="3200" w:type="dxa"/>
          </w:tcPr>
          <w:p w14:paraId="762E8F67" w14:textId="77777777" w:rsidR="00922E2A" w:rsidRPr="001F5C2F" w:rsidRDefault="00922E2A" w:rsidP="00454A7F">
            <w:pPr>
              <w:rPr>
                <w:rFonts w:cs="Times New Roman"/>
                <w:sz w:val="22"/>
              </w:rPr>
            </w:pPr>
            <w:r w:rsidRPr="001F5C2F">
              <w:rPr>
                <w:rFonts w:cs="Times New Roman"/>
                <w:sz w:val="22"/>
              </w:rPr>
              <w:t>□ tenkina</w:t>
            </w:r>
          </w:p>
          <w:p w14:paraId="7340664A" w14:textId="77777777" w:rsidR="00922E2A" w:rsidRPr="001F5C2F" w:rsidRDefault="00922E2A" w:rsidP="00454A7F">
            <w:pPr>
              <w:rPr>
                <w:rFonts w:cs="Times New Roman"/>
                <w:sz w:val="22"/>
              </w:rPr>
            </w:pPr>
            <w:r w:rsidRPr="001F5C2F">
              <w:rPr>
                <w:rFonts w:cs="Times New Roman"/>
                <w:sz w:val="22"/>
              </w:rPr>
              <w:t>□ netenkina</w:t>
            </w:r>
          </w:p>
        </w:tc>
      </w:tr>
      <w:tr w:rsidR="00DD0CB0" w:rsidRPr="001F5C2F" w14:paraId="6BE2AEAB" w14:textId="77777777" w:rsidTr="006A728F">
        <w:trPr>
          <w:gridAfter w:val="1"/>
          <w:wAfter w:w="75" w:type="dxa"/>
        </w:trPr>
        <w:tc>
          <w:tcPr>
            <w:tcW w:w="532" w:type="dxa"/>
          </w:tcPr>
          <w:p w14:paraId="274CA36F" w14:textId="77777777" w:rsidR="00922E2A" w:rsidRPr="001F5C2F" w:rsidRDefault="00922E2A" w:rsidP="0043658A">
            <w:pPr>
              <w:rPr>
                <w:rFonts w:cs="Times New Roman"/>
                <w:sz w:val="22"/>
              </w:rPr>
            </w:pPr>
            <w:r w:rsidRPr="001F5C2F">
              <w:rPr>
                <w:rFonts w:cs="Times New Roman"/>
                <w:sz w:val="22"/>
              </w:rPr>
              <w:t>5.</w:t>
            </w:r>
          </w:p>
        </w:tc>
        <w:tc>
          <w:tcPr>
            <w:tcW w:w="3499" w:type="dxa"/>
            <w:gridSpan w:val="3"/>
          </w:tcPr>
          <w:p w14:paraId="42269A83" w14:textId="77777777" w:rsidR="00922E2A" w:rsidRPr="001F5C2F" w:rsidRDefault="00922E2A" w:rsidP="0043658A">
            <w:pPr>
              <w:rPr>
                <w:rFonts w:cs="Times New Roman"/>
                <w:sz w:val="22"/>
              </w:rPr>
            </w:pPr>
            <w:r w:rsidRPr="001F5C2F">
              <w:rPr>
                <w:rFonts w:cs="Times New Roman"/>
                <w:sz w:val="22"/>
              </w:rPr>
              <w:t>Teisės akto projekte nustatytas baigtinis sprendimo priėmimo kriterijų (atvejų) sąrašas.</w:t>
            </w:r>
          </w:p>
        </w:tc>
        <w:tc>
          <w:tcPr>
            <w:tcW w:w="4031" w:type="dxa"/>
            <w:gridSpan w:val="2"/>
            <w:shd w:val="clear" w:color="auto" w:fill="FFFFFF" w:themeFill="background1"/>
          </w:tcPr>
          <w:p w14:paraId="5E026E7A" w14:textId="65DCBE7A" w:rsidR="0082302E" w:rsidRPr="001F5C2F" w:rsidRDefault="00D05E88" w:rsidP="001F6767">
            <w:pPr>
              <w:jc w:val="both"/>
              <w:rPr>
                <w:rFonts w:cs="Times New Roman"/>
                <w:sz w:val="22"/>
              </w:rPr>
            </w:pPr>
            <w:r>
              <w:rPr>
                <w:rFonts w:cs="Times New Roman"/>
                <w:sz w:val="22"/>
              </w:rPr>
              <w:t>Pažymėtina, kad Aprašo priedo „</w:t>
            </w:r>
            <w:r w:rsidRPr="006A728F">
              <w:rPr>
                <w:rFonts w:cs="Times New Roman"/>
                <w:i/>
                <w:iCs/>
                <w:sz w:val="22"/>
              </w:rPr>
              <w:t>Veiklos vertinimo išvada</w:t>
            </w:r>
            <w:r>
              <w:rPr>
                <w:rFonts w:cs="Times New Roman"/>
                <w:sz w:val="22"/>
              </w:rPr>
              <w:t>“ 5 p. išvardintas baigtinis g</w:t>
            </w:r>
            <w:r w:rsidRPr="00D05E88">
              <w:rPr>
                <w:rFonts w:cs="Times New Roman"/>
                <w:sz w:val="22"/>
              </w:rPr>
              <w:t>ebėjimų atlikti pareigybės aprašyme nustatytas funkcijas vertinimo kriterij</w:t>
            </w:r>
            <w:r>
              <w:rPr>
                <w:rFonts w:cs="Times New Roman"/>
                <w:sz w:val="22"/>
              </w:rPr>
              <w:t xml:space="preserve">ų sąrašas. </w:t>
            </w:r>
          </w:p>
        </w:tc>
        <w:tc>
          <w:tcPr>
            <w:tcW w:w="4299" w:type="dxa"/>
            <w:gridSpan w:val="2"/>
            <w:shd w:val="clear" w:color="auto" w:fill="FFFFFF" w:themeFill="background1"/>
          </w:tcPr>
          <w:p w14:paraId="1E5524D3" w14:textId="77777777" w:rsidR="00922E2A" w:rsidRPr="001F5C2F" w:rsidRDefault="00922E2A" w:rsidP="0043658A">
            <w:pPr>
              <w:rPr>
                <w:rFonts w:cs="Times New Roman"/>
                <w:sz w:val="22"/>
              </w:rPr>
            </w:pPr>
          </w:p>
        </w:tc>
        <w:tc>
          <w:tcPr>
            <w:tcW w:w="3200" w:type="dxa"/>
          </w:tcPr>
          <w:p w14:paraId="437278B6" w14:textId="77777777" w:rsidR="00922E2A" w:rsidRPr="001F5C2F" w:rsidRDefault="00922E2A" w:rsidP="00454A7F">
            <w:pPr>
              <w:rPr>
                <w:rFonts w:cs="Times New Roman"/>
                <w:sz w:val="22"/>
              </w:rPr>
            </w:pPr>
            <w:r w:rsidRPr="001F5C2F">
              <w:rPr>
                <w:rFonts w:cs="Times New Roman"/>
                <w:sz w:val="22"/>
              </w:rPr>
              <w:t>□ tenkina</w:t>
            </w:r>
          </w:p>
          <w:p w14:paraId="198DB197" w14:textId="77777777" w:rsidR="00922E2A" w:rsidRPr="001F5C2F" w:rsidRDefault="00922E2A" w:rsidP="00454A7F">
            <w:pPr>
              <w:rPr>
                <w:rFonts w:cs="Times New Roman"/>
                <w:sz w:val="22"/>
              </w:rPr>
            </w:pPr>
            <w:r w:rsidRPr="001F5C2F">
              <w:rPr>
                <w:rFonts w:cs="Times New Roman"/>
                <w:sz w:val="22"/>
              </w:rPr>
              <w:t>□ netenkina</w:t>
            </w:r>
          </w:p>
        </w:tc>
      </w:tr>
      <w:tr w:rsidR="00DD0CB0" w:rsidRPr="001F5C2F" w14:paraId="2257B810" w14:textId="77777777" w:rsidTr="006A728F">
        <w:trPr>
          <w:gridAfter w:val="1"/>
          <w:wAfter w:w="75" w:type="dxa"/>
        </w:trPr>
        <w:tc>
          <w:tcPr>
            <w:tcW w:w="532" w:type="dxa"/>
          </w:tcPr>
          <w:p w14:paraId="7253B487" w14:textId="77777777" w:rsidR="00922E2A" w:rsidRPr="001F5C2F" w:rsidRDefault="00922E2A" w:rsidP="0043658A">
            <w:pPr>
              <w:rPr>
                <w:rFonts w:cs="Times New Roman"/>
                <w:sz w:val="22"/>
              </w:rPr>
            </w:pPr>
            <w:r w:rsidRPr="001F5C2F">
              <w:rPr>
                <w:rFonts w:cs="Times New Roman"/>
                <w:sz w:val="22"/>
              </w:rPr>
              <w:t>6.</w:t>
            </w:r>
          </w:p>
        </w:tc>
        <w:tc>
          <w:tcPr>
            <w:tcW w:w="3499" w:type="dxa"/>
            <w:gridSpan w:val="3"/>
          </w:tcPr>
          <w:p w14:paraId="10419A27" w14:textId="77777777" w:rsidR="00922E2A" w:rsidRPr="001F5C2F" w:rsidRDefault="00922E2A" w:rsidP="0068352C">
            <w:pPr>
              <w:rPr>
                <w:rFonts w:cs="Times New Roman"/>
                <w:sz w:val="22"/>
                <w:highlight w:val="yellow"/>
              </w:rPr>
            </w:pPr>
            <w:r w:rsidRPr="001F5C2F">
              <w:rPr>
                <w:rFonts w:cs="Times New Roman"/>
                <w:sz w:val="22"/>
              </w:rPr>
              <w:t xml:space="preserve">Teisės akto projekte nustatytas </w:t>
            </w:r>
            <w:r w:rsidR="001635D7" w:rsidRPr="001F5C2F">
              <w:rPr>
                <w:rFonts w:cs="Times New Roman"/>
                <w:sz w:val="22"/>
              </w:rPr>
              <w:t xml:space="preserve">baigtinis </w:t>
            </w:r>
            <w:r w:rsidR="00D853B9" w:rsidRPr="001F5C2F">
              <w:rPr>
                <w:rFonts w:cs="Times New Roman"/>
                <w:sz w:val="22"/>
              </w:rPr>
              <w:t xml:space="preserve">sąrašas </w:t>
            </w:r>
            <w:r w:rsidRPr="001F5C2F">
              <w:rPr>
                <w:rFonts w:cs="Times New Roman"/>
                <w:sz w:val="22"/>
              </w:rPr>
              <w:t xml:space="preserve">motyvuotų </w:t>
            </w:r>
            <w:r w:rsidR="00285572" w:rsidRPr="001F5C2F">
              <w:rPr>
                <w:rFonts w:cs="Times New Roman"/>
                <w:sz w:val="22"/>
              </w:rPr>
              <w:t>atvejų</w:t>
            </w:r>
            <w:r w:rsidRPr="001F5C2F">
              <w:rPr>
                <w:rFonts w:cs="Times New Roman"/>
                <w:sz w:val="22"/>
              </w:rPr>
              <w:t>,</w:t>
            </w:r>
            <w:r w:rsidR="00F01307" w:rsidRPr="001F5C2F">
              <w:rPr>
                <w:rFonts w:cs="Times New Roman"/>
                <w:sz w:val="22"/>
              </w:rPr>
              <w:t xml:space="preserve"> kai</w:t>
            </w:r>
            <w:r w:rsidRPr="001F5C2F">
              <w:rPr>
                <w:rFonts w:cs="Times New Roman"/>
                <w:sz w:val="22"/>
              </w:rPr>
              <w:t xml:space="preserve"> priimant sprendimus</w:t>
            </w:r>
            <w:r w:rsidR="00F01307" w:rsidRPr="001F5C2F">
              <w:rPr>
                <w:rFonts w:cs="Times New Roman"/>
                <w:sz w:val="22"/>
              </w:rPr>
              <w:t xml:space="preserve"> taikomos išimtys</w:t>
            </w:r>
            <w:r w:rsidR="00D853B9" w:rsidRPr="001F5C2F">
              <w:rPr>
                <w:rFonts w:cs="Times New Roman"/>
                <w:sz w:val="22"/>
              </w:rPr>
              <w:t>.</w:t>
            </w:r>
          </w:p>
        </w:tc>
        <w:tc>
          <w:tcPr>
            <w:tcW w:w="4031" w:type="dxa"/>
            <w:gridSpan w:val="2"/>
            <w:shd w:val="clear" w:color="auto" w:fill="FFFFFF" w:themeFill="background1"/>
          </w:tcPr>
          <w:p w14:paraId="3FC38E6E" w14:textId="75041685" w:rsidR="00922E2A" w:rsidRPr="001F5C2F" w:rsidRDefault="00010ED8" w:rsidP="00B03A1D">
            <w:pPr>
              <w:jc w:val="both"/>
              <w:rPr>
                <w:rFonts w:cs="Times New Roman"/>
                <w:sz w:val="22"/>
              </w:rPr>
            </w:pPr>
            <w:r w:rsidRPr="001F5C2F">
              <w:rPr>
                <w:rFonts w:cs="Times New Roman"/>
                <w:sz w:val="22"/>
              </w:rPr>
              <w:t xml:space="preserve">Ne. Projekte nėra siūloma nuostatų dėl išimčių taikymo priimant sprendimus. </w:t>
            </w:r>
          </w:p>
        </w:tc>
        <w:tc>
          <w:tcPr>
            <w:tcW w:w="4299" w:type="dxa"/>
            <w:gridSpan w:val="2"/>
            <w:shd w:val="clear" w:color="auto" w:fill="FFFFFF" w:themeFill="background1"/>
          </w:tcPr>
          <w:p w14:paraId="4C3BD7A5" w14:textId="77777777" w:rsidR="00922E2A" w:rsidRPr="001F5C2F" w:rsidRDefault="00922E2A" w:rsidP="0043658A">
            <w:pPr>
              <w:rPr>
                <w:rFonts w:cs="Times New Roman"/>
                <w:sz w:val="22"/>
              </w:rPr>
            </w:pPr>
          </w:p>
        </w:tc>
        <w:tc>
          <w:tcPr>
            <w:tcW w:w="3200" w:type="dxa"/>
          </w:tcPr>
          <w:p w14:paraId="2ECCABEF" w14:textId="77777777" w:rsidR="00922E2A" w:rsidRPr="001F5C2F" w:rsidRDefault="00922E2A" w:rsidP="00454A7F">
            <w:pPr>
              <w:rPr>
                <w:rFonts w:cs="Times New Roman"/>
                <w:sz w:val="22"/>
              </w:rPr>
            </w:pPr>
            <w:r w:rsidRPr="001F5C2F">
              <w:rPr>
                <w:rFonts w:cs="Times New Roman"/>
                <w:sz w:val="22"/>
              </w:rPr>
              <w:t>□ tenkina</w:t>
            </w:r>
          </w:p>
          <w:p w14:paraId="7CECC53D" w14:textId="77777777" w:rsidR="00922E2A" w:rsidRPr="001F5C2F" w:rsidRDefault="00922E2A" w:rsidP="00454A7F">
            <w:pPr>
              <w:rPr>
                <w:rFonts w:cs="Times New Roman"/>
                <w:sz w:val="22"/>
              </w:rPr>
            </w:pPr>
            <w:r w:rsidRPr="001F5C2F">
              <w:rPr>
                <w:rFonts w:cs="Times New Roman"/>
                <w:sz w:val="22"/>
              </w:rPr>
              <w:t>□ netenkina</w:t>
            </w:r>
          </w:p>
        </w:tc>
      </w:tr>
      <w:tr w:rsidR="00DD0CB0" w:rsidRPr="001F5C2F" w14:paraId="58E5B24A" w14:textId="77777777" w:rsidTr="006A728F">
        <w:trPr>
          <w:gridAfter w:val="1"/>
          <w:wAfter w:w="75" w:type="dxa"/>
        </w:trPr>
        <w:tc>
          <w:tcPr>
            <w:tcW w:w="532" w:type="dxa"/>
          </w:tcPr>
          <w:p w14:paraId="1A3CFDE1" w14:textId="77777777" w:rsidR="00922E2A" w:rsidRPr="001F5C2F" w:rsidRDefault="00922E2A" w:rsidP="0043658A">
            <w:pPr>
              <w:rPr>
                <w:rFonts w:cs="Times New Roman"/>
                <w:sz w:val="22"/>
              </w:rPr>
            </w:pPr>
            <w:r w:rsidRPr="001F5C2F">
              <w:rPr>
                <w:rFonts w:cs="Times New Roman"/>
                <w:sz w:val="22"/>
              </w:rPr>
              <w:t>7.</w:t>
            </w:r>
          </w:p>
        </w:tc>
        <w:tc>
          <w:tcPr>
            <w:tcW w:w="3499" w:type="dxa"/>
            <w:gridSpan w:val="3"/>
          </w:tcPr>
          <w:p w14:paraId="30E45FD4" w14:textId="77777777" w:rsidR="00922E2A" w:rsidRPr="001F5C2F" w:rsidRDefault="00922E2A" w:rsidP="009577AA">
            <w:pPr>
              <w:spacing w:before="60" w:after="60"/>
              <w:rPr>
                <w:rFonts w:cs="Times New Roman"/>
                <w:sz w:val="22"/>
              </w:rPr>
            </w:pPr>
            <w:r w:rsidRPr="001F5C2F">
              <w:rPr>
                <w:rFonts w:cs="Times New Roman"/>
                <w:sz w:val="22"/>
              </w:rPr>
              <w:t xml:space="preserve">Teisės akto projekte nustatyta sprendimų priėmimo, įforminimo </w:t>
            </w:r>
            <w:r w:rsidR="009577AA" w:rsidRPr="001F5C2F">
              <w:rPr>
                <w:rFonts w:cs="Times New Roman"/>
                <w:sz w:val="22"/>
              </w:rPr>
              <w:lastRenderedPageBreak/>
              <w:t xml:space="preserve">tvarka ir </w:t>
            </w:r>
            <w:r w:rsidR="008661C2" w:rsidRPr="001F5C2F">
              <w:rPr>
                <w:rFonts w:cs="Times New Roman"/>
                <w:sz w:val="22"/>
              </w:rPr>
              <w:t xml:space="preserve">priimtų sprendimų </w:t>
            </w:r>
            <w:r w:rsidR="009577AA" w:rsidRPr="001F5C2F">
              <w:rPr>
                <w:rFonts w:cs="Times New Roman"/>
                <w:sz w:val="22"/>
              </w:rPr>
              <w:t>viešinimas</w:t>
            </w:r>
            <w:r w:rsidRPr="001F5C2F">
              <w:rPr>
                <w:rFonts w:cs="Times New Roman"/>
                <w:sz w:val="22"/>
              </w:rPr>
              <w:t>.</w:t>
            </w:r>
          </w:p>
        </w:tc>
        <w:tc>
          <w:tcPr>
            <w:tcW w:w="4031" w:type="dxa"/>
            <w:gridSpan w:val="2"/>
            <w:shd w:val="clear" w:color="auto" w:fill="FFFFFF" w:themeFill="background1"/>
          </w:tcPr>
          <w:p w14:paraId="443D1F9B" w14:textId="2AC26A92" w:rsidR="007E6BE1" w:rsidRPr="001F5C2F" w:rsidRDefault="007B289E" w:rsidP="007E6BE1">
            <w:pPr>
              <w:jc w:val="both"/>
              <w:rPr>
                <w:rFonts w:cs="Times New Roman"/>
                <w:sz w:val="22"/>
              </w:rPr>
            </w:pPr>
            <w:r>
              <w:rPr>
                <w:rFonts w:cs="Times New Roman"/>
                <w:sz w:val="22"/>
              </w:rPr>
              <w:lastRenderedPageBreak/>
              <w:t xml:space="preserve">Taip. Apraše siūloma nustatyti sprendimų priėmimo ir įforminimo tvarka (Aprašo 13-16 p.). Priimtų sprendimų viešinimo tvarka </w:t>
            </w:r>
            <w:r>
              <w:rPr>
                <w:rFonts w:cs="Times New Roman"/>
                <w:sz w:val="22"/>
              </w:rPr>
              <w:lastRenderedPageBreak/>
              <w:t xml:space="preserve">nėra numatoma, kadangi jie aktualūs tik siauram asmenų ratui. </w:t>
            </w:r>
            <w:r w:rsidR="001F5C2F" w:rsidRPr="001F5C2F">
              <w:rPr>
                <w:rFonts w:cs="Times New Roman"/>
                <w:sz w:val="22"/>
              </w:rPr>
              <w:t xml:space="preserve">  </w:t>
            </w:r>
          </w:p>
        </w:tc>
        <w:tc>
          <w:tcPr>
            <w:tcW w:w="4299" w:type="dxa"/>
            <w:gridSpan w:val="2"/>
            <w:shd w:val="clear" w:color="auto" w:fill="FFFFFF" w:themeFill="background1"/>
          </w:tcPr>
          <w:p w14:paraId="77F2641B" w14:textId="77777777" w:rsidR="00922E2A" w:rsidRPr="001F5C2F" w:rsidRDefault="00922E2A" w:rsidP="00062579">
            <w:pPr>
              <w:jc w:val="both"/>
              <w:rPr>
                <w:rFonts w:cs="Times New Roman"/>
                <w:sz w:val="22"/>
              </w:rPr>
            </w:pPr>
          </w:p>
        </w:tc>
        <w:tc>
          <w:tcPr>
            <w:tcW w:w="3200" w:type="dxa"/>
          </w:tcPr>
          <w:p w14:paraId="28F7681B" w14:textId="77777777" w:rsidR="00922E2A" w:rsidRPr="001F5C2F" w:rsidRDefault="003B1251" w:rsidP="00454A7F">
            <w:pPr>
              <w:rPr>
                <w:rFonts w:cs="Times New Roman"/>
                <w:sz w:val="22"/>
              </w:rPr>
            </w:pPr>
            <w:r w:rsidRPr="001F5C2F">
              <w:rPr>
                <w:rFonts w:cs="Times New Roman"/>
                <w:sz w:val="22"/>
              </w:rPr>
              <w:t>□</w:t>
            </w:r>
            <w:r w:rsidR="00922E2A" w:rsidRPr="001F5C2F">
              <w:rPr>
                <w:rFonts w:cs="Times New Roman"/>
                <w:sz w:val="22"/>
              </w:rPr>
              <w:t>tenkina</w:t>
            </w:r>
          </w:p>
          <w:p w14:paraId="366196DF" w14:textId="77777777" w:rsidR="00922E2A" w:rsidRPr="001F5C2F" w:rsidRDefault="00922E2A" w:rsidP="00454A7F">
            <w:pPr>
              <w:rPr>
                <w:rFonts w:cs="Times New Roman"/>
                <w:sz w:val="22"/>
              </w:rPr>
            </w:pPr>
            <w:r w:rsidRPr="001F5C2F">
              <w:rPr>
                <w:rFonts w:cs="Times New Roman"/>
                <w:sz w:val="22"/>
              </w:rPr>
              <w:t>□ netenkina</w:t>
            </w:r>
          </w:p>
        </w:tc>
      </w:tr>
      <w:tr w:rsidR="00DD0CB0" w:rsidRPr="001F5C2F" w14:paraId="4E89DE35" w14:textId="77777777" w:rsidTr="006A728F">
        <w:trPr>
          <w:gridAfter w:val="1"/>
          <w:wAfter w:w="75" w:type="dxa"/>
        </w:trPr>
        <w:tc>
          <w:tcPr>
            <w:tcW w:w="532" w:type="dxa"/>
          </w:tcPr>
          <w:p w14:paraId="7EF5B372" w14:textId="77777777" w:rsidR="00922E2A" w:rsidRPr="001F5C2F" w:rsidRDefault="00922E2A" w:rsidP="0043658A">
            <w:pPr>
              <w:rPr>
                <w:rFonts w:cs="Times New Roman"/>
                <w:sz w:val="22"/>
              </w:rPr>
            </w:pPr>
            <w:r w:rsidRPr="001F5C2F">
              <w:rPr>
                <w:rFonts w:cs="Times New Roman"/>
                <w:sz w:val="22"/>
              </w:rPr>
              <w:t>8.</w:t>
            </w:r>
          </w:p>
        </w:tc>
        <w:tc>
          <w:tcPr>
            <w:tcW w:w="3499" w:type="dxa"/>
            <w:gridSpan w:val="3"/>
          </w:tcPr>
          <w:p w14:paraId="32F21234" w14:textId="77777777" w:rsidR="00922E2A" w:rsidRPr="001F5C2F" w:rsidRDefault="00922E2A" w:rsidP="00D577D8">
            <w:pPr>
              <w:spacing w:before="60" w:after="60"/>
              <w:rPr>
                <w:rFonts w:cs="Times New Roman"/>
                <w:sz w:val="22"/>
              </w:rPr>
            </w:pPr>
            <w:r w:rsidRPr="001F5C2F">
              <w:rPr>
                <w:rFonts w:cs="Times New Roman"/>
                <w:sz w:val="22"/>
              </w:rPr>
              <w:t>Teisės akto projekte nustatyta sprendimų dėl mažareikšmiškumo priėmimo tvarka.</w:t>
            </w:r>
          </w:p>
        </w:tc>
        <w:tc>
          <w:tcPr>
            <w:tcW w:w="4031" w:type="dxa"/>
            <w:gridSpan w:val="2"/>
            <w:shd w:val="clear" w:color="auto" w:fill="FFFFFF" w:themeFill="background1"/>
          </w:tcPr>
          <w:p w14:paraId="0BB11D0D" w14:textId="2CF683DE" w:rsidR="006A6D87" w:rsidRPr="001F5C2F" w:rsidRDefault="006A6D87" w:rsidP="006A6D87">
            <w:pPr>
              <w:jc w:val="both"/>
              <w:rPr>
                <w:bCs/>
                <w:sz w:val="22"/>
              </w:rPr>
            </w:pPr>
            <w:r w:rsidRPr="001F5C2F">
              <w:rPr>
                <w:sz w:val="22"/>
              </w:rPr>
              <w:t xml:space="preserve">Ne. Šis kriterijus </w:t>
            </w:r>
            <w:r w:rsidR="00091912" w:rsidRPr="001F5C2F">
              <w:rPr>
                <w:sz w:val="22"/>
              </w:rPr>
              <w:t xml:space="preserve">Projektui </w:t>
            </w:r>
            <w:r w:rsidRPr="001F5C2F">
              <w:rPr>
                <w:sz w:val="22"/>
              </w:rPr>
              <w:t xml:space="preserve">nėra aktualus. </w:t>
            </w:r>
            <w:r w:rsidR="00835CC8" w:rsidRPr="001F5C2F">
              <w:rPr>
                <w:sz w:val="22"/>
              </w:rPr>
              <w:t xml:space="preserve"> </w:t>
            </w:r>
          </w:p>
          <w:p w14:paraId="24B42C21" w14:textId="77777777" w:rsidR="00F63494" w:rsidRPr="001F5C2F" w:rsidRDefault="00F63494" w:rsidP="00580B78">
            <w:pPr>
              <w:jc w:val="both"/>
              <w:rPr>
                <w:bCs/>
                <w:sz w:val="22"/>
              </w:rPr>
            </w:pPr>
          </w:p>
        </w:tc>
        <w:tc>
          <w:tcPr>
            <w:tcW w:w="4299" w:type="dxa"/>
            <w:gridSpan w:val="2"/>
            <w:shd w:val="clear" w:color="auto" w:fill="FFFFFF" w:themeFill="background1"/>
          </w:tcPr>
          <w:p w14:paraId="2F0DAE81" w14:textId="77777777" w:rsidR="00922E2A" w:rsidRPr="001F5C2F" w:rsidRDefault="00922E2A" w:rsidP="00F71B83">
            <w:pPr>
              <w:jc w:val="both"/>
              <w:rPr>
                <w:rFonts w:cs="Times New Roman"/>
                <w:sz w:val="22"/>
              </w:rPr>
            </w:pPr>
          </w:p>
        </w:tc>
        <w:tc>
          <w:tcPr>
            <w:tcW w:w="3200" w:type="dxa"/>
          </w:tcPr>
          <w:p w14:paraId="3AEC4D66" w14:textId="77777777" w:rsidR="00922E2A" w:rsidRPr="001F5C2F" w:rsidRDefault="00922E2A" w:rsidP="00454A7F">
            <w:pPr>
              <w:rPr>
                <w:rFonts w:cs="Times New Roman"/>
                <w:sz w:val="22"/>
              </w:rPr>
            </w:pPr>
            <w:r w:rsidRPr="001F5C2F">
              <w:rPr>
                <w:rFonts w:cs="Times New Roman"/>
                <w:sz w:val="22"/>
              </w:rPr>
              <w:t>□ tenkina</w:t>
            </w:r>
          </w:p>
          <w:p w14:paraId="16622749" w14:textId="77777777" w:rsidR="00922E2A" w:rsidRPr="001F5C2F" w:rsidRDefault="00922E2A" w:rsidP="00454A7F">
            <w:pPr>
              <w:rPr>
                <w:rFonts w:cs="Times New Roman"/>
                <w:sz w:val="22"/>
              </w:rPr>
            </w:pPr>
            <w:r w:rsidRPr="001F5C2F">
              <w:rPr>
                <w:rFonts w:cs="Times New Roman"/>
                <w:sz w:val="22"/>
              </w:rPr>
              <w:t>□ netenkina</w:t>
            </w:r>
          </w:p>
        </w:tc>
      </w:tr>
      <w:tr w:rsidR="00DD0CB0" w:rsidRPr="001F5C2F" w14:paraId="4AA0B480" w14:textId="77777777" w:rsidTr="006A728F">
        <w:trPr>
          <w:gridAfter w:val="1"/>
          <w:wAfter w:w="75" w:type="dxa"/>
          <w:trHeight w:val="1821"/>
        </w:trPr>
        <w:tc>
          <w:tcPr>
            <w:tcW w:w="532" w:type="dxa"/>
          </w:tcPr>
          <w:p w14:paraId="1A1E640F" w14:textId="77777777" w:rsidR="00922E2A" w:rsidRPr="001F5C2F" w:rsidRDefault="00922E2A" w:rsidP="0043658A">
            <w:pPr>
              <w:rPr>
                <w:rFonts w:cs="Times New Roman"/>
                <w:sz w:val="22"/>
              </w:rPr>
            </w:pPr>
            <w:r w:rsidRPr="001F5C2F">
              <w:rPr>
                <w:rFonts w:cs="Times New Roman"/>
                <w:sz w:val="22"/>
              </w:rPr>
              <w:t>9.</w:t>
            </w:r>
          </w:p>
        </w:tc>
        <w:tc>
          <w:tcPr>
            <w:tcW w:w="3499" w:type="dxa"/>
            <w:gridSpan w:val="3"/>
          </w:tcPr>
          <w:p w14:paraId="1AF14DE5" w14:textId="77777777" w:rsidR="00922E2A" w:rsidRPr="001F5C2F" w:rsidRDefault="00922E2A" w:rsidP="007B1B92">
            <w:pPr>
              <w:spacing w:before="60" w:after="60"/>
              <w:rPr>
                <w:rFonts w:cs="Times New Roman"/>
                <w:sz w:val="22"/>
              </w:rPr>
            </w:pPr>
            <w:r w:rsidRPr="001F5C2F">
              <w:rPr>
                <w:rFonts w:cs="Times New Roman"/>
                <w:sz w:val="22"/>
              </w:rPr>
              <w:t>Jei pagal numatomą reguliavimą sprendimus priima kolegialus subjektas, teisės akto projekte nustatyta kolegialaus sprendim</w:t>
            </w:r>
            <w:r w:rsidR="008D22E9" w:rsidRPr="001F5C2F">
              <w:rPr>
                <w:rFonts w:cs="Times New Roman"/>
                <w:sz w:val="22"/>
              </w:rPr>
              <w:t>us</w:t>
            </w:r>
            <w:r w:rsidRPr="001F5C2F">
              <w:rPr>
                <w:rFonts w:cs="Times New Roman"/>
                <w:sz w:val="22"/>
              </w:rPr>
              <w:t xml:space="preserve"> </w:t>
            </w:r>
            <w:r w:rsidR="008D22E9" w:rsidRPr="001F5C2F">
              <w:rPr>
                <w:rFonts w:cs="Times New Roman"/>
                <w:sz w:val="22"/>
              </w:rPr>
              <w:t xml:space="preserve">priimančio </w:t>
            </w:r>
            <w:r w:rsidRPr="001F5C2F">
              <w:rPr>
                <w:rFonts w:cs="Times New Roman"/>
                <w:sz w:val="22"/>
              </w:rPr>
              <w:t>subjekto:</w:t>
            </w:r>
          </w:p>
          <w:p w14:paraId="364617BE" w14:textId="77777777" w:rsidR="00922E2A" w:rsidRPr="001F5C2F" w:rsidRDefault="00B52E8B" w:rsidP="006E1D60">
            <w:pPr>
              <w:pStyle w:val="Sraopastraipa"/>
              <w:spacing w:before="60" w:after="60"/>
              <w:ind w:left="33"/>
              <w:contextualSpacing w:val="0"/>
              <w:rPr>
                <w:rFonts w:cs="Times New Roman"/>
                <w:sz w:val="22"/>
              </w:rPr>
            </w:pPr>
            <w:r w:rsidRPr="001F5C2F">
              <w:rPr>
                <w:rFonts w:cs="Times New Roman"/>
                <w:sz w:val="22"/>
              </w:rPr>
              <w:t xml:space="preserve">9.1. </w:t>
            </w:r>
            <w:r w:rsidR="00355A27" w:rsidRPr="001F5C2F">
              <w:rPr>
                <w:rFonts w:cs="Times New Roman"/>
                <w:sz w:val="22"/>
              </w:rPr>
              <w:t>konkretus</w:t>
            </w:r>
            <w:r w:rsidR="00922E2A" w:rsidRPr="001F5C2F">
              <w:rPr>
                <w:rFonts w:cs="Times New Roman"/>
                <w:sz w:val="22"/>
              </w:rPr>
              <w:t xml:space="preserve"> narių skaičius, užtikrinantis kolegialaus sprendim</w:t>
            </w:r>
            <w:r w:rsidR="006E1D60" w:rsidRPr="001F5C2F">
              <w:rPr>
                <w:rFonts w:cs="Times New Roman"/>
                <w:sz w:val="22"/>
              </w:rPr>
              <w:t>us</w:t>
            </w:r>
            <w:r w:rsidR="00922E2A" w:rsidRPr="001F5C2F">
              <w:rPr>
                <w:rFonts w:cs="Times New Roman"/>
                <w:sz w:val="22"/>
              </w:rPr>
              <w:t xml:space="preserve"> pri</w:t>
            </w:r>
            <w:r w:rsidR="006E1D60" w:rsidRPr="001F5C2F">
              <w:rPr>
                <w:rFonts w:cs="Times New Roman"/>
                <w:sz w:val="22"/>
              </w:rPr>
              <w:t>i</w:t>
            </w:r>
            <w:r w:rsidR="00922E2A" w:rsidRPr="001F5C2F">
              <w:rPr>
                <w:rFonts w:cs="Times New Roman"/>
                <w:sz w:val="22"/>
              </w:rPr>
              <w:t>m</w:t>
            </w:r>
            <w:r w:rsidR="006E1D60" w:rsidRPr="001F5C2F">
              <w:rPr>
                <w:rFonts w:cs="Times New Roman"/>
                <w:sz w:val="22"/>
              </w:rPr>
              <w:t>ančio</w:t>
            </w:r>
            <w:r w:rsidR="00922E2A" w:rsidRPr="001F5C2F">
              <w:rPr>
                <w:rFonts w:cs="Times New Roman"/>
                <w:sz w:val="22"/>
              </w:rPr>
              <w:t xml:space="preserve"> subjekto veiklos </w:t>
            </w:r>
            <w:r w:rsidR="00B93046" w:rsidRPr="001F5C2F">
              <w:rPr>
                <w:rFonts w:cs="Times New Roman"/>
                <w:sz w:val="22"/>
              </w:rPr>
              <w:t xml:space="preserve"> objektyvumą</w:t>
            </w:r>
            <w:r w:rsidR="00922E2A" w:rsidRPr="001F5C2F">
              <w:rPr>
                <w:rFonts w:cs="Times New Roman"/>
                <w:sz w:val="22"/>
              </w:rPr>
              <w:t>;</w:t>
            </w:r>
          </w:p>
          <w:p w14:paraId="3A09ADCA" w14:textId="77777777" w:rsidR="00922E2A" w:rsidRPr="001F5C2F" w:rsidRDefault="00B52E8B" w:rsidP="006E1D60">
            <w:pPr>
              <w:pStyle w:val="Sraopastraipa"/>
              <w:spacing w:before="60" w:after="60"/>
              <w:ind w:left="33"/>
              <w:contextualSpacing w:val="0"/>
              <w:rPr>
                <w:rFonts w:cs="Times New Roman"/>
                <w:sz w:val="22"/>
              </w:rPr>
            </w:pPr>
            <w:r w:rsidRPr="001F5C2F">
              <w:rPr>
                <w:rFonts w:cs="Times New Roman"/>
                <w:sz w:val="22"/>
              </w:rPr>
              <w:t>9.2.</w:t>
            </w:r>
            <w:r w:rsidR="00922E2A" w:rsidRPr="001F5C2F">
              <w:rPr>
                <w:rFonts w:cs="Times New Roman"/>
                <w:sz w:val="22"/>
              </w:rPr>
              <w:t xml:space="preserve"> jei narius skiria keli subjektai, </w:t>
            </w:r>
            <w:r w:rsidR="001635D7" w:rsidRPr="001F5C2F">
              <w:rPr>
                <w:rFonts w:cs="Times New Roman"/>
                <w:sz w:val="22"/>
              </w:rPr>
              <w:t>proporcinga</w:t>
            </w:r>
            <w:r w:rsidR="008D22E9" w:rsidRPr="001F5C2F">
              <w:rPr>
                <w:rFonts w:cs="Times New Roman"/>
                <w:sz w:val="22"/>
              </w:rPr>
              <w:t xml:space="preserve"> </w:t>
            </w:r>
            <w:r w:rsidR="00922E2A" w:rsidRPr="001F5C2F">
              <w:rPr>
                <w:rFonts w:cs="Times New Roman"/>
                <w:sz w:val="22"/>
              </w:rPr>
              <w:t>kiekvieno subjekto skiriamų narių dalis, užtikrinanti tinkamą valstybės interesų atstovavimą ir kolegialaus sprendim</w:t>
            </w:r>
            <w:r w:rsidR="008D22E9" w:rsidRPr="001F5C2F">
              <w:rPr>
                <w:rFonts w:cs="Times New Roman"/>
                <w:sz w:val="22"/>
              </w:rPr>
              <w:t>us</w:t>
            </w:r>
            <w:r w:rsidR="00922E2A" w:rsidRPr="001F5C2F">
              <w:rPr>
                <w:rFonts w:cs="Times New Roman"/>
                <w:sz w:val="22"/>
              </w:rPr>
              <w:t xml:space="preserve"> </w:t>
            </w:r>
            <w:r w:rsidR="008D22E9" w:rsidRPr="001F5C2F">
              <w:rPr>
                <w:rFonts w:cs="Times New Roman"/>
                <w:sz w:val="22"/>
              </w:rPr>
              <w:t xml:space="preserve">priimančio </w:t>
            </w:r>
            <w:r w:rsidR="00922E2A" w:rsidRPr="001F5C2F">
              <w:rPr>
                <w:rFonts w:cs="Times New Roman"/>
                <w:sz w:val="22"/>
              </w:rPr>
              <w:t xml:space="preserve">subjekto veiklos </w:t>
            </w:r>
            <w:r w:rsidR="00B93046" w:rsidRPr="001F5C2F">
              <w:rPr>
                <w:rFonts w:cs="Times New Roman"/>
                <w:sz w:val="22"/>
              </w:rPr>
              <w:t xml:space="preserve"> objektyvumą</w:t>
            </w:r>
            <w:r w:rsidR="00922E2A" w:rsidRPr="001F5C2F">
              <w:rPr>
                <w:rFonts w:cs="Times New Roman"/>
                <w:sz w:val="22"/>
              </w:rPr>
              <w:t xml:space="preserve"> bei skaidrumą;</w:t>
            </w:r>
          </w:p>
          <w:p w14:paraId="205CE917" w14:textId="77777777" w:rsidR="00922E2A" w:rsidRPr="001F5C2F" w:rsidRDefault="00922E2A" w:rsidP="007B1B92">
            <w:pPr>
              <w:spacing w:before="60" w:after="60"/>
              <w:rPr>
                <w:rFonts w:cs="Times New Roman"/>
                <w:sz w:val="22"/>
              </w:rPr>
            </w:pPr>
            <w:r w:rsidRPr="001F5C2F">
              <w:rPr>
                <w:rFonts w:cs="Times New Roman"/>
                <w:sz w:val="22"/>
              </w:rPr>
              <w:t>9.3. narių skyrimo mechanizmas;</w:t>
            </w:r>
          </w:p>
          <w:p w14:paraId="2766CE81" w14:textId="77777777" w:rsidR="00922E2A" w:rsidRPr="001F5C2F" w:rsidRDefault="00922E2A" w:rsidP="007B1B92">
            <w:pPr>
              <w:spacing w:before="60" w:after="60"/>
              <w:rPr>
                <w:rFonts w:cs="Times New Roman"/>
                <w:sz w:val="22"/>
              </w:rPr>
            </w:pPr>
            <w:r w:rsidRPr="001F5C2F">
              <w:rPr>
                <w:rFonts w:cs="Times New Roman"/>
                <w:sz w:val="22"/>
              </w:rPr>
              <w:t>9.4. narių rotacija ir kadencijų skaičius bei jų trukmė;</w:t>
            </w:r>
          </w:p>
          <w:p w14:paraId="2E0CF8B7" w14:textId="77777777" w:rsidR="00922E2A" w:rsidRPr="001F5C2F" w:rsidRDefault="00922E2A" w:rsidP="007B1B92">
            <w:pPr>
              <w:pStyle w:val="Sraopastraipa"/>
              <w:numPr>
                <w:ilvl w:val="1"/>
                <w:numId w:val="5"/>
              </w:numPr>
              <w:spacing w:before="60" w:after="60"/>
              <w:contextualSpacing w:val="0"/>
              <w:rPr>
                <w:rFonts w:cs="Times New Roman"/>
                <w:sz w:val="22"/>
              </w:rPr>
            </w:pPr>
            <w:r w:rsidRPr="001F5C2F">
              <w:rPr>
                <w:rFonts w:cs="Times New Roman"/>
                <w:sz w:val="22"/>
              </w:rPr>
              <w:t>veiklos pobūdis laiko atžvilgiu;</w:t>
            </w:r>
          </w:p>
          <w:p w14:paraId="42AE53C1" w14:textId="77777777" w:rsidR="00922E2A" w:rsidRPr="001F5C2F" w:rsidRDefault="00922E2A" w:rsidP="007B1B92">
            <w:pPr>
              <w:pStyle w:val="Sraopastraipa"/>
              <w:numPr>
                <w:ilvl w:val="1"/>
                <w:numId w:val="5"/>
              </w:numPr>
              <w:spacing w:before="60" w:after="60"/>
              <w:contextualSpacing w:val="0"/>
              <w:rPr>
                <w:rFonts w:cs="Times New Roman"/>
                <w:sz w:val="22"/>
              </w:rPr>
            </w:pPr>
            <w:r w:rsidRPr="001F5C2F">
              <w:rPr>
                <w:rFonts w:cs="Times New Roman"/>
                <w:sz w:val="22"/>
              </w:rPr>
              <w:t>individuali narių atsakomybė.</w:t>
            </w:r>
          </w:p>
        </w:tc>
        <w:tc>
          <w:tcPr>
            <w:tcW w:w="4031" w:type="dxa"/>
            <w:gridSpan w:val="2"/>
            <w:shd w:val="clear" w:color="auto" w:fill="FFFFFF" w:themeFill="background1"/>
          </w:tcPr>
          <w:p w14:paraId="34CFF3B2" w14:textId="0ED226B9" w:rsidR="001E715D" w:rsidRPr="001F5C2F" w:rsidRDefault="00A25A98" w:rsidP="001E715D">
            <w:pPr>
              <w:jc w:val="both"/>
              <w:rPr>
                <w:rFonts w:cs="Times New Roman"/>
                <w:sz w:val="22"/>
              </w:rPr>
            </w:pPr>
            <w:r w:rsidRPr="001F5C2F">
              <w:rPr>
                <w:rFonts w:cs="Times New Roman"/>
                <w:sz w:val="22"/>
              </w:rPr>
              <w:t xml:space="preserve">Ne. </w:t>
            </w:r>
            <w:r w:rsidR="001E715D" w:rsidRPr="001F5C2F">
              <w:rPr>
                <w:rFonts w:cs="Times New Roman"/>
                <w:sz w:val="22"/>
              </w:rPr>
              <w:t xml:space="preserve">Šis kriterijus </w:t>
            </w:r>
            <w:r w:rsidRPr="001F5C2F">
              <w:rPr>
                <w:rFonts w:cs="Times New Roman"/>
                <w:sz w:val="22"/>
              </w:rPr>
              <w:t xml:space="preserve">Projektui </w:t>
            </w:r>
            <w:r w:rsidR="001E715D" w:rsidRPr="001F5C2F">
              <w:rPr>
                <w:rFonts w:cs="Times New Roman"/>
                <w:sz w:val="22"/>
              </w:rPr>
              <w:t>nėra aktualus.</w:t>
            </w:r>
          </w:p>
          <w:p w14:paraId="354BAE9E" w14:textId="37CAE0EB" w:rsidR="00922E2A" w:rsidRPr="001F5C2F" w:rsidRDefault="00922E2A" w:rsidP="00B03A1D">
            <w:pPr>
              <w:jc w:val="both"/>
              <w:rPr>
                <w:rFonts w:cs="Times New Roman"/>
                <w:sz w:val="22"/>
              </w:rPr>
            </w:pPr>
          </w:p>
        </w:tc>
        <w:tc>
          <w:tcPr>
            <w:tcW w:w="4299" w:type="dxa"/>
            <w:gridSpan w:val="2"/>
            <w:shd w:val="clear" w:color="auto" w:fill="FFFFFF" w:themeFill="background1"/>
          </w:tcPr>
          <w:p w14:paraId="3376A51D" w14:textId="77777777" w:rsidR="00F71B83" w:rsidRPr="001F5C2F" w:rsidRDefault="00F71B83" w:rsidP="00F71B83">
            <w:pPr>
              <w:jc w:val="both"/>
              <w:rPr>
                <w:rFonts w:cs="Times New Roman"/>
                <w:sz w:val="22"/>
              </w:rPr>
            </w:pPr>
          </w:p>
        </w:tc>
        <w:tc>
          <w:tcPr>
            <w:tcW w:w="3200" w:type="dxa"/>
          </w:tcPr>
          <w:p w14:paraId="69A90879" w14:textId="77777777" w:rsidR="00922E2A" w:rsidRPr="001F5C2F" w:rsidRDefault="001E715D" w:rsidP="00454A7F">
            <w:pPr>
              <w:rPr>
                <w:rFonts w:cs="Times New Roman"/>
                <w:sz w:val="22"/>
              </w:rPr>
            </w:pPr>
            <w:r w:rsidRPr="001F5C2F">
              <w:rPr>
                <w:rFonts w:cs="Times New Roman"/>
                <w:sz w:val="22"/>
              </w:rPr>
              <w:t xml:space="preserve">□ </w:t>
            </w:r>
            <w:r w:rsidR="00922E2A" w:rsidRPr="001F5C2F">
              <w:rPr>
                <w:rFonts w:cs="Times New Roman"/>
                <w:sz w:val="22"/>
              </w:rPr>
              <w:t>tenkina</w:t>
            </w:r>
          </w:p>
          <w:p w14:paraId="14B6F9FA" w14:textId="77777777" w:rsidR="00922E2A" w:rsidRPr="001F5C2F" w:rsidRDefault="00922E2A" w:rsidP="00454A7F">
            <w:pPr>
              <w:rPr>
                <w:rFonts w:cs="Times New Roman"/>
                <w:sz w:val="22"/>
              </w:rPr>
            </w:pPr>
            <w:r w:rsidRPr="001F5C2F">
              <w:rPr>
                <w:rFonts w:cs="Times New Roman"/>
                <w:sz w:val="22"/>
              </w:rPr>
              <w:t>□ netenkina</w:t>
            </w:r>
          </w:p>
        </w:tc>
      </w:tr>
      <w:tr w:rsidR="00DD0CB0" w:rsidRPr="001F5C2F" w14:paraId="5699DBE1" w14:textId="77777777" w:rsidTr="006A728F">
        <w:trPr>
          <w:gridAfter w:val="1"/>
          <w:wAfter w:w="75" w:type="dxa"/>
        </w:trPr>
        <w:tc>
          <w:tcPr>
            <w:tcW w:w="532" w:type="dxa"/>
          </w:tcPr>
          <w:p w14:paraId="123973AF" w14:textId="77777777" w:rsidR="00922E2A" w:rsidRPr="001F5C2F" w:rsidRDefault="00922E2A" w:rsidP="0043658A">
            <w:pPr>
              <w:rPr>
                <w:rFonts w:cs="Times New Roman"/>
                <w:sz w:val="22"/>
              </w:rPr>
            </w:pPr>
            <w:r w:rsidRPr="001F5C2F">
              <w:rPr>
                <w:rFonts w:cs="Times New Roman"/>
                <w:sz w:val="22"/>
              </w:rPr>
              <w:t>10.</w:t>
            </w:r>
          </w:p>
        </w:tc>
        <w:tc>
          <w:tcPr>
            <w:tcW w:w="3499" w:type="dxa"/>
            <w:gridSpan w:val="3"/>
          </w:tcPr>
          <w:p w14:paraId="4117CA9B" w14:textId="77777777" w:rsidR="00922E2A" w:rsidRPr="001F5C2F" w:rsidRDefault="00922E2A" w:rsidP="001D47D6">
            <w:pPr>
              <w:spacing w:before="60" w:after="60"/>
              <w:rPr>
                <w:rFonts w:cs="Times New Roman"/>
                <w:sz w:val="22"/>
              </w:rPr>
            </w:pPr>
            <w:r w:rsidRPr="001F5C2F">
              <w:rPr>
                <w:rFonts w:cs="Times New Roman"/>
                <w:sz w:val="22"/>
              </w:rPr>
              <w:t>Teisės akto projekt</w:t>
            </w:r>
            <w:r w:rsidR="001D47D6" w:rsidRPr="001F5C2F">
              <w:rPr>
                <w:rFonts w:cs="Times New Roman"/>
                <w:sz w:val="22"/>
              </w:rPr>
              <w:t>ui</w:t>
            </w:r>
            <w:r w:rsidR="008D22E9" w:rsidRPr="001F5C2F">
              <w:rPr>
                <w:rFonts w:cs="Times New Roman"/>
                <w:sz w:val="22"/>
              </w:rPr>
              <w:t xml:space="preserve"> </w:t>
            </w:r>
            <w:r w:rsidR="001D47D6" w:rsidRPr="001F5C2F">
              <w:rPr>
                <w:rFonts w:cs="Times New Roman"/>
                <w:sz w:val="22"/>
              </w:rPr>
              <w:t xml:space="preserve">įgyvendinti </w:t>
            </w:r>
            <w:r w:rsidRPr="001F5C2F">
              <w:rPr>
                <w:rFonts w:cs="Times New Roman"/>
                <w:sz w:val="22"/>
              </w:rPr>
              <w:t xml:space="preserve">numatytos administracinės </w:t>
            </w:r>
            <w:r w:rsidRPr="001F5C2F">
              <w:rPr>
                <w:rFonts w:cs="Times New Roman"/>
                <w:sz w:val="22"/>
              </w:rPr>
              <w:lastRenderedPageBreak/>
              <w:t xml:space="preserve">procedūros yra </w:t>
            </w:r>
            <w:r w:rsidRPr="001F5C2F">
              <w:rPr>
                <w:rFonts w:cs="Times New Roman"/>
                <w:sz w:val="22"/>
                <w:shd w:val="clear" w:color="auto" w:fill="FFFFFF" w:themeFill="background1"/>
              </w:rPr>
              <w:t>būtinos</w:t>
            </w:r>
            <w:r w:rsidRPr="001F5C2F">
              <w:rPr>
                <w:rFonts w:cs="Times New Roman"/>
                <w:sz w:val="22"/>
              </w:rPr>
              <w:t xml:space="preserve"> ir jų taikymo tvarka išsamiai reglamentuot</w:t>
            </w:r>
            <w:r w:rsidR="001D47D6" w:rsidRPr="001F5C2F">
              <w:rPr>
                <w:rFonts w:cs="Times New Roman"/>
                <w:sz w:val="22"/>
              </w:rPr>
              <w:t>a</w:t>
            </w:r>
            <w:r w:rsidRPr="001F5C2F">
              <w:rPr>
                <w:rFonts w:cs="Times New Roman"/>
                <w:sz w:val="22"/>
              </w:rPr>
              <w:t>.</w:t>
            </w:r>
          </w:p>
        </w:tc>
        <w:tc>
          <w:tcPr>
            <w:tcW w:w="4031" w:type="dxa"/>
            <w:gridSpan w:val="2"/>
            <w:shd w:val="clear" w:color="auto" w:fill="FFFFFF" w:themeFill="background1"/>
          </w:tcPr>
          <w:p w14:paraId="48C46178" w14:textId="50A10E0E" w:rsidR="00821E79" w:rsidRPr="001F5C2F" w:rsidRDefault="006C0BEF" w:rsidP="00C611F6">
            <w:pPr>
              <w:jc w:val="both"/>
              <w:rPr>
                <w:rFonts w:cs="Times New Roman"/>
                <w:sz w:val="22"/>
              </w:rPr>
            </w:pPr>
            <w:r>
              <w:rPr>
                <w:rFonts w:cs="Times New Roman"/>
                <w:sz w:val="22"/>
              </w:rPr>
              <w:lastRenderedPageBreak/>
              <w:t xml:space="preserve">Taip. Aprašo 6 p. nustatoma darbuotojo/biudžetinės įstaigos vadovo veiklos vertinimo procedūros elementai, </w:t>
            </w:r>
            <w:r>
              <w:rPr>
                <w:rFonts w:cs="Times New Roman"/>
                <w:sz w:val="22"/>
              </w:rPr>
              <w:lastRenderedPageBreak/>
              <w:t>kurių įgyvendinimas detalizuojamas Aprašo 7-12 p.</w:t>
            </w:r>
          </w:p>
        </w:tc>
        <w:tc>
          <w:tcPr>
            <w:tcW w:w="4299" w:type="dxa"/>
            <w:gridSpan w:val="2"/>
            <w:shd w:val="clear" w:color="auto" w:fill="FFFFFF" w:themeFill="background1"/>
          </w:tcPr>
          <w:p w14:paraId="30DC052C" w14:textId="77777777" w:rsidR="00922E2A" w:rsidRPr="001F5C2F" w:rsidRDefault="0082047E" w:rsidP="0082047E">
            <w:pPr>
              <w:jc w:val="both"/>
              <w:rPr>
                <w:rFonts w:cs="Times New Roman"/>
                <w:sz w:val="22"/>
              </w:rPr>
            </w:pPr>
            <w:r w:rsidRPr="001F5C2F">
              <w:rPr>
                <w:rFonts w:cs="Times New Roman"/>
                <w:sz w:val="22"/>
              </w:rPr>
              <w:lastRenderedPageBreak/>
              <w:t xml:space="preserve"> </w:t>
            </w:r>
          </w:p>
        </w:tc>
        <w:tc>
          <w:tcPr>
            <w:tcW w:w="3200" w:type="dxa"/>
          </w:tcPr>
          <w:p w14:paraId="03BF34E4" w14:textId="77777777" w:rsidR="004A4281" w:rsidRPr="001F5C2F" w:rsidRDefault="00B547B4" w:rsidP="004A4281">
            <w:pPr>
              <w:rPr>
                <w:rFonts w:cs="Times New Roman"/>
                <w:sz w:val="22"/>
              </w:rPr>
            </w:pPr>
            <w:r w:rsidRPr="001F5C2F">
              <w:rPr>
                <w:rFonts w:cs="Times New Roman"/>
                <w:sz w:val="22"/>
              </w:rPr>
              <w:t xml:space="preserve">□ </w:t>
            </w:r>
            <w:r w:rsidR="004A4281" w:rsidRPr="001F5C2F">
              <w:rPr>
                <w:rFonts w:cs="Times New Roman"/>
                <w:sz w:val="22"/>
              </w:rPr>
              <w:t>tenkina</w:t>
            </w:r>
          </w:p>
          <w:p w14:paraId="595CC261" w14:textId="77777777" w:rsidR="00922E2A" w:rsidRPr="001F5C2F" w:rsidRDefault="004A4281" w:rsidP="004A4281">
            <w:pPr>
              <w:rPr>
                <w:rFonts w:cs="Times New Roman"/>
                <w:sz w:val="22"/>
              </w:rPr>
            </w:pPr>
            <w:r w:rsidRPr="001F5C2F">
              <w:rPr>
                <w:rFonts w:cs="Times New Roman"/>
                <w:sz w:val="22"/>
              </w:rPr>
              <w:t>□ netenkina</w:t>
            </w:r>
          </w:p>
        </w:tc>
      </w:tr>
      <w:tr w:rsidR="00DD0CB0" w:rsidRPr="001F5C2F" w14:paraId="7CCDAD46" w14:textId="77777777" w:rsidTr="006A728F">
        <w:trPr>
          <w:gridAfter w:val="1"/>
          <w:wAfter w:w="75" w:type="dxa"/>
        </w:trPr>
        <w:tc>
          <w:tcPr>
            <w:tcW w:w="532" w:type="dxa"/>
          </w:tcPr>
          <w:p w14:paraId="67951C01" w14:textId="77777777" w:rsidR="00922E2A" w:rsidRPr="001F5C2F" w:rsidRDefault="00922E2A" w:rsidP="0043658A">
            <w:pPr>
              <w:rPr>
                <w:rFonts w:cs="Times New Roman"/>
                <w:sz w:val="22"/>
              </w:rPr>
            </w:pPr>
            <w:r w:rsidRPr="001F5C2F">
              <w:rPr>
                <w:rFonts w:cs="Times New Roman"/>
                <w:sz w:val="22"/>
              </w:rPr>
              <w:t>11.</w:t>
            </w:r>
          </w:p>
        </w:tc>
        <w:tc>
          <w:tcPr>
            <w:tcW w:w="3499" w:type="dxa"/>
            <w:gridSpan w:val="3"/>
          </w:tcPr>
          <w:p w14:paraId="5E604753" w14:textId="77777777" w:rsidR="00922E2A" w:rsidRPr="001F5C2F" w:rsidRDefault="00922E2A" w:rsidP="001D47D6">
            <w:pPr>
              <w:spacing w:before="60" w:after="60"/>
              <w:rPr>
                <w:rFonts w:cs="Times New Roman"/>
                <w:sz w:val="22"/>
              </w:rPr>
            </w:pPr>
            <w:r w:rsidRPr="001F5C2F">
              <w:rPr>
                <w:rFonts w:cs="Times New Roman"/>
                <w:sz w:val="22"/>
              </w:rPr>
              <w:t xml:space="preserve">Teisės akto projekte nustatytas </w:t>
            </w:r>
            <w:r w:rsidR="001D47D6" w:rsidRPr="001F5C2F">
              <w:rPr>
                <w:rFonts w:cs="Times New Roman"/>
                <w:sz w:val="22"/>
              </w:rPr>
              <w:t>baigtinis sąrašas motyvuotų atvejų, kai</w:t>
            </w:r>
            <w:r w:rsidR="008D22E9" w:rsidRPr="001F5C2F">
              <w:rPr>
                <w:rFonts w:cs="Times New Roman"/>
                <w:sz w:val="22"/>
              </w:rPr>
              <w:t xml:space="preserve"> </w:t>
            </w:r>
            <w:r w:rsidRPr="001F5C2F">
              <w:rPr>
                <w:rFonts w:cs="Times New Roman"/>
                <w:sz w:val="22"/>
              </w:rPr>
              <w:t xml:space="preserve">administracinė </w:t>
            </w:r>
            <w:r w:rsidR="001D47D6" w:rsidRPr="001F5C2F">
              <w:rPr>
                <w:rFonts w:cs="Times New Roman"/>
                <w:sz w:val="22"/>
              </w:rPr>
              <w:t>procedūra</w:t>
            </w:r>
            <w:r w:rsidR="008D22E9" w:rsidRPr="001F5C2F">
              <w:rPr>
                <w:rFonts w:cs="Times New Roman"/>
                <w:sz w:val="22"/>
              </w:rPr>
              <w:t xml:space="preserve"> </w:t>
            </w:r>
            <w:r w:rsidRPr="001F5C2F">
              <w:rPr>
                <w:rFonts w:cs="Times New Roman"/>
                <w:sz w:val="22"/>
              </w:rPr>
              <w:t>netaik</w:t>
            </w:r>
            <w:r w:rsidR="001D47D6" w:rsidRPr="001F5C2F">
              <w:rPr>
                <w:rFonts w:cs="Times New Roman"/>
                <w:sz w:val="22"/>
              </w:rPr>
              <w:t>oma</w:t>
            </w:r>
            <w:r w:rsidRPr="001F5C2F">
              <w:rPr>
                <w:rFonts w:cs="Times New Roman"/>
                <w:sz w:val="22"/>
              </w:rPr>
              <w:t>.</w:t>
            </w:r>
          </w:p>
        </w:tc>
        <w:tc>
          <w:tcPr>
            <w:tcW w:w="4031" w:type="dxa"/>
            <w:gridSpan w:val="2"/>
            <w:shd w:val="clear" w:color="auto" w:fill="FFFFFF" w:themeFill="background1"/>
          </w:tcPr>
          <w:p w14:paraId="2E9D29BF" w14:textId="535149F0" w:rsidR="00601848" w:rsidRPr="001F5C2F" w:rsidRDefault="006C0BEF" w:rsidP="00DE5225">
            <w:pPr>
              <w:jc w:val="both"/>
              <w:rPr>
                <w:rFonts w:cs="Times New Roman"/>
                <w:sz w:val="22"/>
              </w:rPr>
            </w:pPr>
            <w:r>
              <w:rPr>
                <w:rFonts w:cs="Times New Roman"/>
                <w:sz w:val="22"/>
              </w:rPr>
              <w:t xml:space="preserve">Taip. Pvz. Aprašo 11 p. siūloma nustatyti, kad </w:t>
            </w:r>
            <w:r w:rsidRPr="006C0BEF">
              <w:rPr>
                <w:rFonts w:cs="Times New Roman"/>
                <w:i/>
                <w:iCs/>
                <w:sz w:val="22"/>
              </w:rPr>
              <w:t>„Jeigu Įstatymo 14 straipsnio 3 ar 5 dalyje numatytu atveju darbuotojui / biudžetinės įstaigos vadovui nebuvo nustatytos metinės užduotys, siektini rezultatai ir jų vertinimo rodikliai praėjusiems kalendoriniams metams, darbuotojas / biudžetinės įstaigos vadovas nevertinamas, o per pokalbį atliekami Aprašo 9.2 papunktyje nurodyti veiksmai“.</w:t>
            </w:r>
          </w:p>
        </w:tc>
        <w:tc>
          <w:tcPr>
            <w:tcW w:w="4299" w:type="dxa"/>
            <w:gridSpan w:val="2"/>
            <w:shd w:val="clear" w:color="auto" w:fill="FFFFFF" w:themeFill="background1"/>
          </w:tcPr>
          <w:p w14:paraId="5E57621F" w14:textId="77777777" w:rsidR="00922E2A" w:rsidRPr="001F5C2F" w:rsidRDefault="00922E2A" w:rsidP="0043658A">
            <w:pPr>
              <w:rPr>
                <w:rFonts w:cs="Times New Roman"/>
                <w:sz w:val="22"/>
              </w:rPr>
            </w:pPr>
          </w:p>
        </w:tc>
        <w:tc>
          <w:tcPr>
            <w:tcW w:w="3200" w:type="dxa"/>
          </w:tcPr>
          <w:p w14:paraId="595C2204" w14:textId="77777777" w:rsidR="00922E2A" w:rsidRPr="001F5C2F" w:rsidRDefault="00922E2A" w:rsidP="00454A7F">
            <w:pPr>
              <w:rPr>
                <w:rFonts w:cs="Times New Roman"/>
                <w:sz w:val="22"/>
              </w:rPr>
            </w:pPr>
            <w:r w:rsidRPr="001F5C2F">
              <w:rPr>
                <w:rFonts w:cs="Times New Roman"/>
                <w:sz w:val="22"/>
              </w:rPr>
              <w:t>□ tenkina</w:t>
            </w:r>
          </w:p>
          <w:p w14:paraId="3E91DCBA" w14:textId="77777777" w:rsidR="00922E2A" w:rsidRPr="001F5C2F" w:rsidRDefault="00922E2A" w:rsidP="00454A7F">
            <w:pPr>
              <w:rPr>
                <w:rFonts w:cs="Times New Roman"/>
                <w:sz w:val="22"/>
              </w:rPr>
            </w:pPr>
            <w:r w:rsidRPr="001F5C2F">
              <w:rPr>
                <w:rFonts w:cs="Times New Roman"/>
                <w:sz w:val="22"/>
              </w:rPr>
              <w:t>□ netenkina</w:t>
            </w:r>
          </w:p>
        </w:tc>
      </w:tr>
      <w:tr w:rsidR="00DD0CB0" w:rsidRPr="001F5C2F" w14:paraId="2ACF2D39" w14:textId="77777777" w:rsidTr="006A728F">
        <w:trPr>
          <w:gridAfter w:val="1"/>
          <w:wAfter w:w="75" w:type="dxa"/>
        </w:trPr>
        <w:tc>
          <w:tcPr>
            <w:tcW w:w="532" w:type="dxa"/>
          </w:tcPr>
          <w:p w14:paraId="797D513C" w14:textId="77777777" w:rsidR="00922E2A" w:rsidRPr="001F5C2F" w:rsidRDefault="00922E2A" w:rsidP="0043658A">
            <w:pPr>
              <w:rPr>
                <w:rFonts w:cs="Times New Roman"/>
                <w:sz w:val="22"/>
              </w:rPr>
            </w:pPr>
            <w:r w:rsidRPr="001F5C2F">
              <w:rPr>
                <w:rFonts w:cs="Times New Roman"/>
                <w:sz w:val="22"/>
              </w:rPr>
              <w:t>12.</w:t>
            </w:r>
          </w:p>
        </w:tc>
        <w:tc>
          <w:tcPr>
            <w:tcW w:w="3499" w:type="dxa"/>
            <w:gridSpan w:val="3"/>
          </w:tcPr>
          <w:p w14:paraId="57A25FE9" w14:textId="77777777" w:rsidR="00922E2A" w:rsidRPr="001F5C2F" w:rsidRDefault="00922E2A" w:rsidP="001D47D6">
            <w:pPr>
              <w:spacing w:before="60" w:after="60"/>
              <w:rPr>
                <w:rFonts w:cs="Times New Roman"/>
                <w:sz w:val="22"/>
              </w:rPr>
            </w:pPr>
            <w:r w:rsidRPr="001F5C2F">
              <w:rPr>
                <w:rFonts w:cs="Times New Roman"/>
                <w:sz w:val="22"/>
              </w:rPr>
              <w:t>Teisės akto projektas nustato teisės akto projekt</w:t>
            </w:r>
            <w:r w:rsidR="001D47D6" w:rsidRPr="001F5C2F">
              <w:rPr>
                <w:rFonts w:cs="Times New Roman"/>
                <w:sz w:val="22"/>
              </w:rPr>
              <w:t>ui</w:t>
            </w:r>
            <w:r w:rsidR="008D22E9" w:rsidRPr="001F5C2F">
              <w:rPr>
                <w:rFonts w:cs="Times New Roman"/>
                <w:sz w:val="22"/>
              </w:rPr>
              <w:t xml:space="preserve"> </w:t>
            </w:r>
            <w:r w:rsidR="001D47D6" w:rsidRPr="001F5C2F">
              <w:rPr>
                <w:rFonts w:cs="Times New Roman"/>
                <w:sz w:val="22"/>
              </w:rPr>
              <w:t xml:space="preserve">įgyvendinti </w:t>
            </w:r>
            <w:r w:rsidRPr="001F5C2F">
              <w:rPr>
                <w:rFonts w:cs="Times New Roman"/>
                <w:sz w:val="22"/>
              </w:rPr>
              <w:t xml:space="preserve">numatytų administracinių procedūrų </w:t>
            </w:r>
            <w:r w:rsidR="008E4C80" w:rsidRPr="001F5C2F">
              <w:rPr>
                <w:rFonts w:cs="Times New Roman"/>
                <w:sz w:val="22"/>
              </w:rPr>
              <w:t xml:space="preserve">ir sprendimo priėmimo </w:t>
            </w:r>
            <w:r w:rsidRPr="001F5C2F">
              <w:rPr>
                <w:rFonts w:cs="Times New Roman"/>
                <w:sz w:val="22"/>
              </w:rPr>
              <w:t>konkrečius terminus.</w:t>
            </w:r>
          </w:p>
        </w:tc>
        <w:tc>
          <w:tcPr>
            <w:tcW w:w="4031" w:type="dxa"/>
            <w:gridSpan w:val="2"/>
            <w:shd w:val="clear" w:color="auto" w:fill="FFFFFF" w:themeFill="background1"/>
          </w:tcPr>
          <w:p w14:paraId="7E034217" w14:textId="77777777" w:rsidR="00AE259A" w:rsidRDefault="006C0BEF" w:rsidP="001F5C2F">
            <w:pPr>
              <w:contextualSpacing/>
              <w:jc w:val="both"/>
              <w:rPr>
                <w:rFonts w:cs="Times New Roman"/>
                <w:sz w:val="22"/>
              </w:rPr>
            </w:pPr>
            <w:r>
              <w:rPr>
                <w:rFonts w:cs="Times New Roman"/>
                <w:sz w:val="22"/>
              </w:rPr>
              <w:t xml:space="preserve">Taip. </w:t>
            </w:r>
            <w:r w:rsidR="001A6BDD">
              <w:rPr>
                <w:rFonts w:cs="Times New Roman"/>
                <w:sz w:val="22"/>
              </w:rPr>
              <w:t>Pvz. Aprašo 8 p. nustatoma, kad d</w:t>
            </w:r>
            <w:r w:rsidR="001A6BDD" w:rsidRPr="001A6BDD">
              <w:rPr>
                <w:rFonts w:cs="Times New Roman"/>
                <w:sz w:val="22"/>
              </w:rPr>
              <w:t xml:space="preserve">arbuotojas / biudžetinės įstaigos vadovas </w:t>
            </w:r>
            <w:r w:rsidR="001A6BDD">
              <w:rPr>
                <w:rFonts w:cs="Times New Roman"/>
                <w:sz w:val="22"/>
              </w:rPr>
              <w:t xml:space="preserve">turi </w:t>
            </w:r>
            <w:r w:rsidR="001A6BDD" w:rsidRPr="001A6BDD">
              <w:rPr>
                <w:rFonts w:cs="Times New Roman"/>
                <w:sz w:val="22"/>
              </w:rPr>
              <w:t>užpild</w:t>
            </w:r>
            <w:r w:rsidR="001A6BDD">
              <w:rPr>
                <w:rFonts w:cs="Times New Roman"/>
                <w:sz w:val="22"/>
              </w:rPr>
              <w:t>yti</w:t>
            </w:r>
            <w:r w:rsidR="001A6BDD" w:rsidRPr="001A6BDD">
              <w:rPr>
                <w:rFonts w:cs="Times New Roman"/>
                <w:sz w:val="22"/>
              </w:rPr>
              <w:t xml:space="preserve"> veiklos vertinimo išvados formos 1 punktą ir tiesiogiai, raštu ar elektroniniu paštu grąžin</w:t>
            </w:r>
            <w:r w:rsidR="001A6BDD">
              <w:rPr>
                <w:rFonts w:cs="Times New Roman"/>
                <w:sz w:val="22"/>
              </w:rPr>
              <w:t>ti</w:t>
            </w:r>
            <w:r w:rsidR="001A6BDD" w:rsidRPr="001A6BDD">
              <w:rPr>
                <w:rFonts w:cs="Times New Roman"/>
                <w:sz w:val="22"/>
              </w:rPr>
              <w:t xml:space="preserve"> tiesioginiam darbuotojo vadovui / į pareigas priimančiam ar jo įgaliotam asmeniui ne vėliau kaip </w:t>
            </w:r>
            <w:r w:rsidR="001A6BDD" w:rsidRPr="001A6BDD">
              <w:rPr>
                <w:rFonts w:cs="Times New Roman"/>
                <w:b/>
                <w:bCs/>
                <w:sz w:val="22"/>
              </w:rPr>
              <w:t>per 3 darbo dienas</w:t>
            </w:r>
            <w:r w:rsidR="001A6BDD" w:rsidRPr="001A6BDD">
              <w:rPr>
                <w:rFonts w:cs="Times New Roman"/>
                <w:sz w:val="22"/>
              </w:rPr>
              <w:t xml:space="preserve"> nuo jos gavimo.</w:t>
            </w:r>
          </w:p>
          <w:p w14:paraId="40E831BA" w14:textId="5E9BA8FA" w:rsidR="001A6BDD" w:rsidRDefault="001A6BDD" w:rsidP="001F5C2F">
            <w:pPr>
              <w:contextualSpacing/>
              <w:jc w:val="both"/>
              <w:rPr>
                <w:rFonts w:cs="Times New Roman"/>
                <w:i/>
                <w:iCs/>
                <w:sz w:val="22"/>
              </w:rPr>
            </w:pPr>
            <w:r>
              <w:rPr>
                <w:rFonts w:cs="Times New Roman"/>
                <w:sz w:val="22"/>
              </w:rPr>
              <w:t xml:space="preserve">Pvz. Aprašo 12 p. siūloma nustatyti, kad </w:t>
            </w:r>
            <w:r w:rsidRPr="001A6BDD">
              <w:rPr>
                <w:rFonts w:cs="Times New Roman"/>
                <w:i/>
                <w:iCs/>
                <w:sz w:val="22"/>
              </w:rPr>
              <w:t xml:space="preserve">„Tiesioginis darbuotojo vadovas / į pareigas priimantis ar jo įgaliotas asmuo šį planą pateikia darbuotojui / biudžetinės įstaigos vadovui pasirašytinai susipažinti ne vėliau kaip </w:t>
            </w:r>
            <w:r w:rsidRPr="001A6BDD">
              <w:rPr>
                <w:rFonts w:cs="Times New Roman"/>
                <w:b/>
                <w:bCs/>
                <w:i/>
                <w:iCs/>
                <w:sz w:val="22"/>
              </w:rPr>
              <w:t>per 7 darbo dienas nuo sprendimo</w:t>
            </w:r>
            <w:r w:rsidRPr="001A6BDD">
              <w:rPr>
                <w:rFonts w:cs="Times New Roman"/>
                <w:i/>
                <w:iCs/>
                <w:sz w:val="22"/>
              </w:rPr>
              <w:t xml:space="preserve"> darbuotojui / biudžetinės įstaigos vadovui nustatyti mažesnį pareiginės algos pastoviosios dalies koeficientą </w:t>
            </w:r>
            <w:r w:rsidRPr="001A6BDD">
              <w:rPr>
                <w:rFonts w:cs="Times New Roman"/>
                <w:b/>
                <w:bCs/>
                <w:i/>
                <w:iCs/>
                <w:sz w:val="22"/>
              </w:rPr>
              <w:t>priėmimo dienos</w:t>
            </w:r>
            <w:r w:rsidRPr="001A6BDD">
              <w:rPr>
                <w:rFonts w:cs="Times New Roman"/>
                <w:i/>
                <w:iCs/>
                <w:sz w:val="22"/>
              </w:rPr>
              <w:t>.“</w:t>
            </w:r>
          </w:p>
          <w:p w14:paraId="0B4643E4" w14:textId="50108DDB" w:rsidR="001A6BDD" w:rsidRPr="0092657F" w:rsidRDefault="001A6BDD" w:rsidP="001F5C2F">
            <w:pPr>
              <w:contextualSpacing/>
              <w:jc w:val="both"/>
              <w:rPr>
                <w:rFonts w:cs="Times New Roman"/>
                <w:sz w:val="22"/>
              </w:rPr>
            </w:pPr>
            <w:r w:rsidRPr="001A6BDD">
              <w:rPr>
                <w:rFonts w:cs="Times New Roman"/>
                <w:sz w:val="22"/>
              </w:rPr>
              <w:lastRenderedPageBreak/>
              <w:t xml:space="preserve">Taip pat </w:t>
            </w:r>
            <w:r>
              <w:rPr>
                <w:rFonts w:cs="Times New Roman"/>
                <w:sz w:val="22"/>
              </w:rPr>
              <w:t>Apraše aprašomoms procedūrų taikymui aktualūs terminai nustatomi Aprašo 14-16 p. Siūlomi nustatyti terminai yra objektyvūs, tikslingi ir konkretūs.</w:t>
            </w:r>
          </w:p>
        </w:tc>
        <w:tc>
          <w:tcPr>
            <w:tcW w:w="4299" w:type="dxa"/>
            <w:gridSpan w:val="2"/>
            <w:shd w:val="clear" w:color="auto" w:fill="FFFFFF" w:themeFill="background1"/>
          </w:tcPr>
          <w:p w14:paraId="21A737EE" w14:textId="77777777" w:rsidR="00922E2A" w:rsidRPr="001F5C2F" w:rsidRDefault="00922E2A" w:rsidP="0043658A">
            <w:pPr>
              <w:rPr>
                <w:rFonts w:cs="Times New Roman"/>
                <w:sz w:val="22"/>
              </w:rPr>
            </w:pPr>
          </w:p>
        </w:tc>
        <w:tc>
          <w:tcPr>
            <w:tcW w:w="3200" w:type="dxa"/>
          </w:tcPr>
          <w:p w14:paraId="27195E7C" w14:textId="77777777" w:rsidR="00922E2A" w:rsidRPr="001F5C2F" w:rsidRDefault="00922E2A" w:rsidP="00454A7F">
            <w:pPr>
              <w:rPr>
                <w:rFonts w:cs="Times New Roman"/>
                <w:sz w:val="22"/>
              </w:rPr>
            </w:pPr>
            <w:r w:rsidRPr="001F5C2F">
              <w:rPr>
                <w:rFonts w:cs="Times New Roman"/>
                <w:sz w:val="22"/>
              </w:rPr>
              <w:t>□ tenkina</w:t>
            </w:r>
          </w:p>
          <w:p w14:paraId="134A774B" w14:textId="77777777" w:rsidR="00922E2A" w:rsidRPr="001F5C2F" w:rsidRDefault="00922E2A" w:rsidP="00454A7F">
            <w:pPr>
              <w:rPr>
                <w:rFonts w:cs="Times New Roman"/>
                <w:sz w:val="22"/>
              </w:rPr>
            </w:pPr>
            <w:r w:rsidRPr="001F5C2F">
              <w:rPr>
                <w:rFonts w:cs="Times New Roman"/>
                <w:sz w:val="22"/>
              </w:rPr>
              <w:t>□ netenkina</w:t>
            </w:r>
          </w:p>
        </w:tc>
      </w:tr>
      <w:tr w:rsidR="00DD0CB0" w:rsidRPr="001F5C2F" w14:paraId="146CC716" w14:textId="77777777" w:rsidTr="006A728F">
        <w:trPr>
          <w:gridAfter w:val="1"/>
          <w:wAfter w:w="75" w:type="dxa"/>
        </w:trPr>
        <w:tc>
          <w:tcPr>
            <w:tcW w:w="532" w:type="dxa"/>
          </w:tcPr>
          <w:p w14:paraId="6906A74A" w14:textId="77777777" w:rsidR="007E6803" w:rsidRPr="001F5C2F" w:rsidRDefault="007E6803" w:rsidP="0043658A">
            <w:pPr>
              <w:rPr>
                <w:rFonts w:cs="Times New Roman"/>
                <w:sz w:val="22"/>
              </w:rPr>
            </w:pPr>
            <w:r w:rsidRPr="001F5C2F">
              <w:rPr>
                <w:rFonts w:cs="Times New Roman"/>
                <w:sz w:val="22"/>
              </w:rPr>
              <w:t>13.</w:t>
            </w:r>
          </w:p>
        </w:tc>
        <w:tc>
          <w:tcPr>
            <w:tcW w:w="3499" w:type="dxa"/>
            <w:gridSpan w:val="3"/>
          </w:tcPr>
          <w:p w14:paraId="3F4CBBF1" w14:textId="77777777" w:rsidR="007E6803" w:rsidRPr="001F5C2F" w:rsidRDefault="007E6803" w:rsidP="00454A7F">
            <w:pPr>
              <w:spacing w:before="60" w:after="60"/>
              <w:rPr>
                <w:rFonts w:cs="Times New Roman"/>
                <w:sz w:val="22"/>
              </w:rPr>
            </w:pPr>
            <w:r w:rsidRPr="001F5C2F">
              <w:rPr>
                <w:rFonts w:cs="Times New Roman"/>
                <w:sz w:val="22"/>
              </w:rPr>
              <w:t>Teisės akto projektas nustato motyvuotas terminų sustabdymo ir pratęsimo galimybes.</w:t>
            </w:r>
          </w:p>
        </w:tc>
        <w:tc>
          <w:tcPr>
            <w:tcW w:w="4031" w:type="dxa"/>
            <w:gridSpan w:val="2"/>
            <w:shd w:val="clear" w:color="auto" w:fill="FFFFFF" w:themeFill="background1"/>
          </w:tcPr>
          <w:p w14:paraId="7DD2E244" w14:textId="57CE418C" w:rsidR="00C06804" w:rsidRPr="001F5C2F" w:rsidRDefault="001F5C2F" w:rsidP="006A6D87">
            <w:pPr>
              <w:jc w:val="both"/>
              <w:rPr>
                <w:rFonts w:cs="Times New Roman"/>
                <w:sz w:val="22"/>
              </w:rPr>
            </w:pPr>
            <w:r w:rsidRPr="001F5C2F">
              <w:rPr>
                <w:rFonts w:cs="Times New Roman"/>
                <w:sz w:val="22"/>
              </w:rPr>
              <w:t>Ne.</w:t>
            </w:r>
            <w:r w:rsidR="007B289E">
              <w:t xml:space="preserve"> </w:t>
            </w:r>
            <w:r w:rsidR="007B289E" w:rsidRPr="007B289E">
              <w:rPr>
                <w:rFonts w:cs="Times New Roman"/>
                <w:sz w:val="22"/>
              </w:rPr>
              <w:t>Šis kriterijus Projektui nėra aktualus.</w:t>
            </w:r>
          </w:p>
        </w:tc>
        <w:tc>
          <w:tcPr>
            <w:tcW w:w="4299" w:type="dxa"/>
            <w:gridSpan w:val="2"/>
            <w:shd w:val="clear" w:color="auto" w:fill="FFFFFF" w:themeFill="background1"/>
          </w:tcPr>
          <w:p w14:paraId="1E3F431E" w14:textId="77777777" w:rsidR="007E6803" w:rsidRPr="001F5C2F" w:rsidRDefault="007E6803" w:rsidP="0043658A">
            <w:pPr>
              <w:rPr>
                <w:rFonts w:cs="Times New Roman"/>
                <w:sz w:val="22"/>
              </w:rPr>
            </w:pPr>
          </w:p>
        </w:tc>
        <w:tc>
          <w:tcPr>
            <w:tcW w:w="3200" w:type="dxa"/>
          </w:tcPr>
          <w:p w14:paraId="7BFE8579" w14:textId="77777777" w:rsidR="007E6803" w:rsidRPr="001F5C2F" w:rsidRDefault="007E6803" w:rsidP="00454A7F">
            <w:pPr>
              <w:rPr>
                <w:rFonts w:cs="Times New Roman"/>
                <w:sz w:val="22"/>
              </w:rPr>
            </w:pPr>
            <w:r w:rsidRPr="001F5C2F">
              <w:rPr>
                <w:rFonts w:cs="Times New Roman"/>
                <w:sz w:val="22"/>
              </w:rPr>
              <w:t>□ tenkina</w:t>
            </w:r>
          </w:p>
          <w:p w14:paraId="6E538045" w14:textId="77777777" w:rsidR="007E6803" w:rsidRPr="001F5C2F" w:rsidRDefault="007E6803" w:rsidP="00454A7F">
            <w:pPr>
              <w:rPr>
                <w:rFonts w:cs="Times New Roman"/>
                <w:sz w:val="22"/>
              </w:rPr>
            </w:pPr>
            <w:r w:rsidRPr="001F5C2F">
              <w:rPr>
                <w:rFonts w:cs="Times New Roman"/>
                <w:sz w:val="22"/>
              </w:rPr>
              <w:t>□ netenkina</w:t>
            </w:r>
          </w:p>
        </w:tc>
      </w:tr>
      <w:tr w:rsidR="00DD0CB0" w:rsidRPr="001F5C2F" w14:paraId="72A6F9FA" w14:textId="77777777" w:rsidTr="006A728F">
        <w:trPr>
          <w:gridAfter w:val="1"/>
          <w:wAfter w:w="75" w:type="dxa"/>
        </w:trPr>
        <w:tc>
          <w:tcPr>
            <w:tcW w:w="532" w:type="dxa"/>
          </w:tcPr>
          <w:p w14:paraId="2C1E5FC0" w14:textId="77777777" w:rsidR="007E6803" w:rsidRPr="001F5C2F" w:rsidRDefault="007E6803" w:rsidP="0043658A">
            <w:pPr>
              <w:rPr>
                <w:rFonts w:cs="Times New Roman"/>
                <w:sz w:val="22"/>
              </w:rPr>
            </w:pPr>
            <w:bookmarkStart w:id="2" w:name="_Hlk83036338"/>
            <w:r w:rsidRPr="001F5C2F">
              <w:rPr>
                <w:rFonts w:cs="Times New Roman"/>
                <w:sz w:val="22"/>
              </w:rPr>
              <w:t>14.</w:t>
            </w:r>
          </w:p>
        </w:tc>
        <w:tc>
          <w:tcPr>
            <w:tcW w:w="3499" w:type="dxa"/>
            <w:gridSpan w:val="3"/>
          </w:tcPr>
          <w:p w14:paraId="244C0A8A" w14:textId="77777777" w:rsidR="007E6803" w:rsidRPr="001F5C2F" w:rsidRDefault="007E6803" w:rsidP="00454A7F">
            <w:pPr>
              <w:spacing w:before="60" w:after="60"/>
              <w:rPr>
                <w:rFonts w:cs="Times New Roman"/>
                <w:sz w:val="22"/>
                <w:highlight w:val="green"/>
              </w:rPr>
            </w:pPr>
            <w:r w:rsidRPr="001F5C2F">
              <w:rPr>
                <w:rFonts w:cs="Times New Roman"/>
                <w:sz w:val="22"/>
              </w:rPr>
              <w:t>Teisės akto projektas nustato administracinių procedūrų viešinimo tvarką.</w:t>
            </w:r>
          </w:p>
        </w:tc>
        <w:tc>
          <w:tcPr>
            <w:tcW w:w="4031" w:type="dxa"/>
            <w:gridSpan w:val="2"/>
            <w:shd w:val="clear" w:color="auto" w:fill="FFFFFF" w:themeFill="background1"/>
          </w:tcPr>
          <w:p w14:paraId="143D160B" w14:textId="12108564" w:rsidR="007E6803" w:rsidRPr="001F5C2F" w:rsidRDefault="001F5C2F" w:rsidP="006A6D87">
            <w:pPr>
              <w:jc w:val="both"/>
              <w:rPr>
                <w:sz w:val="22"/>
              </w:rPr>
            </w:pPr>
            <w:r w:rsidRPr="001F5C2F">
              <w:rPr>
                <w:rFonts w:cs="Times New Roman"/>
                <w:sz w:val="22"/>
              </w:rPr>
              <w:t xml:space="preserve">Ne. </w:t>
            </w:r>
            <w:r w:rsidR="00091912" w:rsidRPr="001F5C2F">
              <w:rPr>
                <w:rFonts w:cs="Times New Roman"/>
                <w:sz w:val="22"/>
              </w:rPr>
              <w:t>Šis kriterijus Projektui nėra</w:t>
            </w:r>
            <w:r w:rsidR="00FF561E">
              <w:rPr>
                <w:rFonts w:cs="Times New Roman"/>
                <w:sz w:val="22"/>
              </w:rPr>
              <w:t xml:space="preserve"> tiesiogiai </w:t>
            </w:r>
            <w:r w:rsidR="00091912" w:rsidRPr="001F5C2F">
              <w:rPr>
                <w:rFonts w:cs="Times New Roman"/>
                <w:sz w:val="22"/>
              </w:rPr>
              <w:t xml:space="preserve"> aktualus.</w:t>
            </w:r>
            <w:r w:rsidR="00FF561E">
              <w:rPr>
                <w:rFonts w:cs="Times New Roman"/>
                <w:sz w:val="22"/>
              </w:rPr>
              <w:t xml:space="preserve"> </w:t>
            </w:r>
          </w:p>
        </w:tc>
        <w:tc>
          <w:tcPr>
            <w:tcW w:w="4299" w:type="dxa"/>
            <w:gridSpan w:val="2"/>
            <w:shd w:val="clear" w:color="auto" w:fill="FFFFFF" w:themeFill="background1"/>
          </w:tcPr>
          <w:p w14:paraId="06836989" w14:textId="77777777" w:rsidR="007E6803" w:rsidRPr="001F5C2F" w:rsidRDefault="007E6803" w:rsidP="0043658A">
            <w:pPr>
              <w:rPr>
                <w:rFonts w:cs="Times New Roman"/>
                <w:sz w:val="22"/>
              </w:rPr>
            </w:pPr>
          </w:p>
        </w:tc>
        <w:tc>
          <w:tcPr>
            <w:tcW w:w="3200" w:type="dxa"/>
          </w:tcPr>
          <w:p w14:paraId="7A744F75" w14:textId="77777777" w:rsidR="007E6803" w:rsidRPr="001F5C2F" w:rsidRDefault="007E6803" w:rsidP="00454A7F">
            <w:pPr>
              <w:rPr>
                <w:rFonts w:cs="Times New Roman"/>
                <w:sz w:val="22"/>
              </w:rPr>
            </w:pPr>
            <w:r w:rsidRPr="001F5C2F">
              <w:rPr>
                <w:rFonts w:cs="Times New Roman"/>
                <w:sz w:val="22"/>
              </w:rPr>
              <w:t>□ tenkina</w:t>
            </w:r>
          </w:p>
          <w:p w14:paraId="5B193F87" w14:textId="77777777" w:rsidR="007E6803" w:rsidRPr="001F5C2F" w:rsidRDefault="007E6803" w:rsidP="00454A7F">
            <w:pPr>
              <w:rPr>
                <w:rFonts w:cs="Times New Roman"/>
                <w:sz w:val="22"/>
              </w:rPr>
            </w:pPr>
            <w:r w:rsidRPr="001F5C2F">
              <w:rPr>
                <w:rFonts w:cs="Times New Roman"/>
                <w:sz w:val="22"/>
              </w:rPr>
              <w:t>□ netenkina</w:t>
            </w:r>
          </w:p>
        </w:tc>
      </w:tr>
      <w:bookmarkEnd w:id="2"/>
      <w:tr w:rsidR="00DD0CB0" w:rsidRPr="001F5C2F" w14:paraId="31A4B0AE" w14:textId="77777777" w:rsidTr="006A728F">
        <w:trPr>
          <w:gridAfter w:val="1"/>
          <w:wAfter w:w="75" w:type="dxa"/>
        </w:trPr>
        <w:tc>
          <w:tcPr>
            <w:tcW w:w="532" w:type="dxa"/>
          </w:tcPr>
          <w:p w14:paraId="0AD0E728" w14:textId="77777777" w:rsidR="00091912" w:rsidRPr="001F5C2F" w:rsidRDefault="00091912" w:rsidP="00091912">
            <w:pPr>
              <w:rPr>
                <w:rFonts w:cs="Times New Roman"/>
                <w:sz w:val="22"/>
              </w:rPr>
            </w:pPr>
            <w:r w:rsidRPr="001F5C2F">
              <w:rPr>
                <w:rFonts w:cs="Times New Roman"/>
                <w:sz w:val="22"/>
              </w:rPr>
              <w:t>15.</w:t>
            </w:r>
          </w:p>
        </w:tc>
        <w:tc>
          <w:tcPr>
            <w:tcW w:w="3499" w:type="dxa"/>
            <w:gridSpan w:val="3"/>
          </w:tcPr>
          <w:p w14:paraId="0B409C69" w14:textId="77777777" w:rsidR="00091912" w:rsidRPr="001F5C2F" w:rsidRDefault="00091912" w:rsidP="00091912">
            <w:pPr>
              <w:spacing w:before="60" w:after="60"/>
              <w:rPr>
                <w:rFonts w:cs="Times New Roman"/>
                <w:sz w:val="22"/>
              </w:rPr>
            </w:pPr>
            <w:r w:rsidRPr="001F5C2F">
              <w:rPr>
                <w:rFonts w:cs="Times New Roman"/>
                <w:sz w:val="22"/>
              </w:rPr>
              <w:t>Teisės akto projektas nustato kontrolės (priežiūros) procedūrą ir aiškius jos vykdymo kriterijus (atvejus, periodiškumą, fiksavimą, kontrolės rezultatų viešinimą ir pan.).</w:t>
            </w:r>
          </w:p>
        </w:tc>
        <w:tc>
          <w:tcPr>
            <w:tcW w:w="4031" w:type="dxa"/>
            <w:gridSpan w:val="2"/>
            <w:shd w:val="clear" w:color="auto" w:fill="FFFFFF" w:themeFill="background1"/>
          </w:tcPr>
          <w:p w14:paraId="48BD286F" w14:textId="1239067A" w:rsidR="00091912" w:rsidRPr="001F5C2F" w:rsidRDefault="00091912" w:rsidP="00091912">
            <w:pPr>
              <w:jc w:val="both"/>
              <w:rPr>
                <w:rFonts w:cs="Times New Roman"/>
                <w:sz w:val="22"/>
              </w:rPr>
            </w:pPr>
            <w:r w:rsidRPr="001F5C2F">
              <w:rPr>
                <w:rFonts w:cs="Times New Roman"/>
                <w:sz w:val="22"/>
              </w:rPr>
              <w:t>Šis kriterijus Projektui nėra aktualus.</w:t>
            </w:r>
          </w:p>
        </w:tc>
        <w:tc>
          <w:tcPr>
            <w:tcW w:w="4299" w:type="dxa"/>
            <w:gridSpan w:val="2"/>
            <w:shd w:val="clear" w:color="auto" w:fill="FFFFFF" w:themeFill="background1"/>
          </w:tcPr>
          <w:p w14:paraId="1BC4FE52" w14:textId="77777777" w:rsidR="00091912" w:rsidRPr="001F5C2F" w:rsidRDefault="00091912" w:rsidP="00091912">
            <w:pPr>
              <w:rPr>
                <w:rFonts w:cs="Times New Roman"/>
                <w:sz w:val="22"/>
              </w:rPr>
            </w:pPr>
          </w:p>
        </w:tc>
        <w:tc>
          <w:tcPr>
            <w:tcW w:w="3200" w:type="dxa"/>
          </w:tcPr>
          <w:p w14:paraId="6F5D5B04" w14:textId="77777777" w:rsidR="00091912" w:rsidRPr="001F5C2F" w:rsidRDefault="00091912" w:rsidP="00091912">
            <w:pPr>
              <w:rPr>
                <w:rFonts w:cs="Times New Roman"/>
                <w:sz w:val="22"/>
              </w:rPr>
            </w:pPr>
            <w:r w:rsidRPr="001F5C2F">
              <w:rPr>
                <w:rFonts w:cs="Times New Roman"/>
                <w:sz w:val="22"/>
              </w:rPr>
              <w:t>□ tenkina</w:t>
            </w:r>
          </w:p>
          <w:p w14:paraId="6B799060" w14:textId="77777777" w:rsidR="00091912" w:rsidRPr="001F5C2F" w:rsidRDefault="00091912" w:rsidP="00091912">
            <w:pPr>
              <w:rPr>
                <w:rFonts w:cs="Times New Roman"/>
                <w:sz w:val="22"/>
              </w:rPr>
            </w:pPr>
            <w:r w:rsidRPr="001F5C2F">
              <w:rPr>
                <w:rFonts w:cs="Times New Roman"/>
                <w:sz w:val="22"/>
              </w:rPr>
              <w:t>□ netenkina</w:t>
            </w:r>
          </w:p>
        </w:tc>
      </w:tr>
      <w:tr w:rsidR="00DD0CB0" w:rsidRPr="001F5C2F" w14:paraId="16D52CAA" w14:textId="77777777" w:rsidTr="006A728F">
        <w:trPr>
          <w:gridAfter w:val="1"/>
          <w:wAfter w:w="75" w:type="dxa"/>
        </w:trPr>
        <w:tc>
          <w:tcPr>
            <w:tcW w:w="532" w:type="dxa"/>
          </w:tcPr>
          <w:p w14:paraId="161ADC27" w14:textId="77777777" w:rsidR="00091912" w:rsidRPr="001F5C2F" w:rsidRDefault="00091912" w:rsidP="00091912">
            <w:pPr>
              <w:rPr>
                <w:rFonts w:cs="Times New Roman"/>
                <w:sz w:val="22"/>
              </w:rPr>
            </w:pPr>
            <w:r w:rsidRPr="001F5C2F">
              <w:rPr>
                <w:rFonts w:cs="Times New Roman"/>
                <w:sz w:val="22"/>
              </w:rPr>
              <w:t>16.</w:t>
            </w:r>
          </w:p>
        </w:tc>
        <w:tc>
          <w:tcPr>
            <w:tcW w:w="3499" w:type="dxa"/>
            <w:gridSpan w:val="3"/>
          </w:tcPr>
          <w:p w14:paraId="1F7C8EF3" w14:textId="77777777" w:rsidR="00091912" w:rsidRPr="001F5C2F" w:rsidRDefault="00091912" w:rsidP="00091912">
            <w:pPr>
              <w:spacing w:before="60" w:after="60"/>
              <w:rPr>
                <w:rFonts w:cs="Times New Roman"/>
                <w:sz w:val="22"/>
              </w:rPr>
            </w:pPr>
            <w:r w:rsidRPr="001F5C2F">
              <w:rPr>
                <w:rFonts w:cs="Times New Roman"/>
                <w:sz w:val="22"/>
              </w:rPr>
              <w:t>Teisės akto projekte numatytos kontrolės (priežiūros) skaidrumo ir objektyvumo užtikrinimo priemonės</w:t>
            </w:r>
            <w:r w:rsidRPr="001F5C2F">
              <w:rPr>
                <w:rStyle w:val="Puslapioinaosnuoroda"/>
                <w:rFonts w:cs="Times New Roman"/>
                <w:sz w:val="22"/>
              </w:rPr>
              <w:footnoteReference w:id="3"/>
            </w:r>
            <w:r w:rsidRPr="001F5C2F">
              <w:rPr>
                <w:rFonts w:cs="Times New Roman"/>
                <w:sz w:val="22"/>
              </w:rPr>
              <w:t>.</w:t>
            </w:r>
          </w:p>
        </w:tc>
        <w:tc>
          <w:tcPr>
            <w:tcW w:w="4031" w:type="dxa"/>
            <w:gridSpan w:val="2"/>
            <w:shd w:val="clear" w:color="auto" w:fill="FFFFFF" w:themeFill="background1"/>
          </w:tcPr>
          <w:p w14:paraId="78058272" w14:textId="77777777" w:rsidR="00A16B19" w:rsidRDefault="00160CC7" w:rsidP="00091912">
            <w:pPr>
              <w:jc w:val="both"/>
              <w:rPr>
                <w:rFonts w:cs="Times New Roman"/>
                <w:sz w:val="22"/>
              </w:rPr>
            </w:pPr>
            <w:r>
              <w:rPr>
                <w:rFonts w:cs="Times New Roman"/>
                <w:sz w:val="22"/>
              </w:rPr>
              <w:t>Taip. Pvz. Aprašo 9 p. siūloma nustatyti, kad „</w:t>
            </w:r>
            <w:r w:rsidRPr="00160CC7">
              <w:rPr>
                <w:rFonts w:cs="Times New Roman"/>
                <w:i/>
                <w:iCs/>
                <w:sz w:val="22"/>
              </w:rPr>
              <w:t xml:space="preserve">Į veiklos vertinimo pokalbį darbuotojas / biudžetinės įstaigos vadovas turi teisę kviesti biudžetinės įstaigos </w:t>
            </w:r>
            <w:r w:rsidRPr="00160CC7">
              <w:rPr>
                <w:rFonts w:cs="Times New Roman"/>
                <w:b/>
                <w:bCs/>
                <w:i/>
                <w:iCs/>
                <w:sz w:val="22"/>
              </w:rPr>
              <w:t>darbuotojų atstovą</w:t>
            </w:r>
            <w:r w:rsidRPr="00160CC7">
              <w:rPr>
                <w:rFonts w:cs="Times New Roman"/>
                <w:i/>
                <w:iCs/>
                <w:sz w:val="22"/>
              </w:rPr>
              <w:t xml:space="preserve">, kuris Lietuvos Respublikos darbo kodekso nustatytais atvejais ir tvarka </w:t>
            </w:r>
            <w:r w:rsidRPr="00160CC7">
              <w:rPr>
                <w:rFonts w:cs="Times New Roman"/>
                <w:b/>
                <w:bCs/>
                <w:i/>
                <w:iCs/>
                <w:sz w:val="22"/>
              </w:rPr>
              <w:t>įgyvendina darbuotojų atstovavimą</w:t>
            </w:r>
            <w:r w:rsidRPr="00160CC7">
              <w:rPr>
                <w:rFonts w:cs="Times New Roman"/>
                <w:i/>
                <w:iCs/>
                <w:sz w:val="22"/>
              </w:rPr>
              <w:t xml:space="preserve"> (informavimą, konsultavimą ir dalyvavimą darbdaviui priimant sprendimus) biudžetinėje įstaigoje  ir kuris veiklos vertinimo pokalbyje gali dalyvauti stebėtojo teisėmis</w:t>
            </w:r>
            <w:r w:rsidRPr="00160CC7">
              <w:rPr>
                <w:rFonts w:cs="Times New Roman"/>
                <w:sz w:val="22"/>
              </w:rPr>
              <w:t>.</w:t>
            </w:r>
          </w:p>
          <w:p w14:paraId="0884BE66" w14:textId="4A1F42F9" w:rsidR="00160CC7" w:rsidRPr="001F5C2F" w:rsidRDefault="00160CC7" w:rsidP="00091912">
            <w:pPr>
              <w:jc w:val="both"/>
              <w:rPr>
                <w:rFonts w:cs="Times New Roman"/>
                <w:sz w:val="22"/>
              </w:rPr>
            </w:pPr>
            <w:r>
              <w:rPr>
                <w:rFonts w:cs="Times New Roman"/>
                <w:sz w:val="22"/>
              </w:rPr>
              <w:lastRenderedPageBreak/>
              <w:t xml:space="preserve">Taip pat Aprašo 4 p. siūloma įtvirtinti imperatyvią nuostatą, numatančią, kad </w:t>
            </w:r>
            <w:r w:rsidRPr="00160CC7">
              <w:rPr>
                <w:rFonts w:cs="Times New Roman"/>
                <w:i/>
                <w:iCs/>
                <w:sz w:val="22"/>
              </w:rPr>
              <w:t xml:space="preserve">„Darbuotojams ir biudžetinių įstaigų vadovams nustatytos metinės užduotys turi būti </w:t>
            </w:r>
            <w:r w:rsidRPr="00160CC7">
              <w:rPr>
                <w:rFonts w:cs="Times New Roman"/>
                <w:b/>
                <w:bCs/>
                <w:i/>
                <w:iCs/>
                <w:sz w:val="22"/>
              </w:rPr>
              <w:t>aiškios, įvykdomos</w:t>
            </w:r>
            <w:r w:rsidRPr="00160CC7">
              <w:rPr>
                <w:rFonts w:cs="Times New Roman"/>
                <w:i/>
                <w:iCs/>
                <w:sz w:val="22"/>
              </w:rPr>
              <w:t xml:space="preserve">, turėti nustatytą įvykdymo terminą. Siektinų rezultatų vertinimo rodikliai turi būti </w:t>
            </w:r>
            <w:r w:rsidRPr="00160CC7">
              <w:rPr>
                <w:rFonts w:cs="Times New Roman"/>
                <w:b/>
                <w:bCs/>
                <w:i/>
                <w:iCs/>
                <w:sz w:val="22"/>
              </w:rPr>
              <w:t>aiškūs,</w:t>
            </w:r>
            <w:r w:rsidRPr="00160CC7">
              <w:rPr>
                <w:rFonts w:cs="Times New Roman"/>
                <w:i/>
                <w:iCs/>
                <w:sz w:val="22"/>
              </w:rPr>
              <w:t xml:space="preserve"> leidžiantys įvertinti, ar pasiekt</w:t>
            </w:r>
            <w:r w:rsidR="006A728F">
              <w:rPr>
                <w:rFonts w:cs="Times New Roman"/>
                <w:i/>
                <w:iCs/>
                <w:sz w:val="22"/>
              </w:rPr>
              <w:t>i</w:t>
            </w:r>
            <w:r w:rsidRPr="00160CC7">
              <w:rPr>
                <w:rFonts w:cs="Times New Roman"/>
                <w:i/>
                <w:iCs/>
                <w:sz w:val="22"/>
              </w:rPr>
              <w:t xml:space="preserve"> konkret</w:t>
            </w:r>
            <w:r w:rsidR="006A728F">
              <w:rPr>
                <w:rFonts w:cs="Times New Roman"/>
                <w:i/>
                <w:iCs/>
                <w:sz w:val="22"/>
              </w:rPr>
              <w:t>ū</w:t>
            </w:r>
            <w:r w:rsidRPr="00160CC7">
              <w:rPr>
                <w:rFonts w:cs="Times New Roman"/>
                <w:i/>
                <w:iCs/>
                <w:sz w:val="22"/>
              </w:rPr>
              <w:t>s rezultata</w:t>
            </w:r>
            <w:r w:rsidR="006A728F">
              <w:rPr>
                <w:rFonts w:cs="Times New Roman"/>
                <w:i/>
                <w:iCs/>
                <w:sz w:val="22"/>
              </w:rPr>
              <w:t>i</w:t>
            </w:r>
            <w:r w:rsidRPr="00160CC7">
              <w:rPr>
                <w:rFonts w:cs="Times New Roman"/>
                <w:i/>
                <w:iCs/>
                <w:sz w:val="22"/>
              </w:rPr>
              <w:t>.</w:t>
            </w:r>
            <w:r>
              <w:rPr>
                <w:rFonts w:cs="Times New Roman"/>
                <w:i/>
                <w:iCs/>
                <w:sz w:val="22"/>
              </w:rPr>
              <w:t>“</w:t>
            </w:r>
          </w:p>
        </w:tc>
        <w:tc>
          <w:tcPr>
            <w:tcW w:w="4299" w:type="dxa"/>
            <w:gridSpan w:val="2"/>
            <w:shd w:val="clear" w:color="auto" w:fill="FFFFFF" w:themeFill="background1"/>
          </w:tcPr>
          <w:p w14:paraId="6788F26B" w14:textId="77777777" w:rsidR="00091912" w:rsidRPr="001F5C2F" w:rsidRDefault="00091912" w:rsidP="00091912">
            <w:pPr>
              <w:rPr>
                <w:rFonts w:cs="Times New Roman"/>
                <w:sz w:val="22"/>
              </w:rPr>
            </w:pPr>
          </w:p>
        </w:tc>
        <w:tc>
          <w:tcPr>
            <w:tcW w:w="3200" w:type="dxa"/>
          </w:tcPr>
          <w:p w14:paraId="0BC8E8E3" w14:textId="77777777" w:rsidR="00091912" w:rsidRPr="001F5C2F" w:rsidRDefault="00091912" w:rsidP="00091912">
            <w:pPr>
              <w:rPr>
                <w:rFonts w:cs="Times New Roman"/>
                <w:sz w:val="22"/>
              </w:rPr>
            </w:pPr>
            <w:r w:rsidRPr="001F5C2F">
              <w:rPr>
                <w:rFonts w:cs="Times New Roman"/>
                <w:sz w:val="22"/>
              </w:rPr>
              <w:t>□ tenkina</w:t>
            </w:r>
          </w:p>
          <w:p w14:paraId="359B032A" w14:textId="77777777" w:rsidR="00091912" w:rsidRPr="001F5C2F" w:rsidRDefault="00091912" w:rsidP="00091912">
            <w:pPr>
              <w:rPr>
                <w:rFonts w:cs="Times New Roman"/>
                <w:sz w:val="22"/>
              </w:rPr>
            </w:pPr>
            <w:r w:rsidRPr="001F5C2F">
              <w:rPr>
                <w:rFonts w:cs="Times New Roman"/>
                <w:sz w:val="22"/>
              </w:rPr>
              <w:t>□ netenkina</w:t>
            </w:r>
          </w:p>
        </w:tc>
      </w:tr>
      <w:tr w:rsidR="00DD0CB0" w:rsidRPr="001F5C2F" w14:paraId="1C231631" w14:textId="77777777" w:rsidTr="006A728F">
        <w:trPr>
          <w:gridAfter w:val="1"/>
          <w:wAfter w:w="75" w:type="dxa"/>
        </w:trPr>
        <w:tc>
          <w:tcPr>
            <w:tcW w:w="532" w:type="dxa"/>
          </w:tcPr>
          <w:p w14:paraId="0B1F3766" w14:textId="77777777" w:rsidR="00091912" w:rsidRPr="001F5C2F" w:rsidRDefault="00091912" w:rsidP="00091912">
            <w:pPr>
              <w:rPr>
                <w:rFonts w:cs="Times New Roman"/>
                <w:sz w:val="22"/>
              </w:rPr>
            </w:pPr>
            <w:r w:rsidRPr="001F5C2F">
              <w:rPr>
                <w:rFonts w:cs="Times New Roman"/>
                <w:sz w:val="22"/>
              </w:rPr>
              <w:t>17.</w:t>
            </w:r>
          </w:p>
        </w:tc>
        <w:tc>
          <w:tcPr>
            <w:tcW w:w="3499" w:type="dxa"/>
            <w:gridSpan w:val="3"/>
          </w:tcPr>
          <w:p w14:paraId="479CFC07" w14:textId="77777777" w:rsidR="00091912" w:rsidRPr="001F5C2F" w:rsidRDefault="00091912" w:rsidP="00091912">
            <w:pPr>
              <w:spacing w:before="60" w:after="60"/>
              <w:rPr>
                <w:rFonts w:cs="Times New Roman"/>
                <w:sz w:val="22"/>
              </w:rPr>
            </w:pPr>
            <w:r w:rsidRPr="001F5C2F">
              <w:rPr>
                <w:rFonts w:cs="Times New Roman"/>
                <w:sz w:val="22"/>
              </w:rPr>
              <w:t>Teisės akto projekte numatyta subjektų, su kuriais susijęs teisės akto projekto įgyvendinimas, atsakomybės rūšis (tarnybinė, administracinė, baudžiamoji ir pan.).</w:t>
            </w:r>
          </w:p>
        </w:tc>
        <w:tc>
          <w:tcPr>
            <w:tcW w:w="4031" w:type="dxa"/>
            <w:gridSpan w:val="2"/>
            <w:shd w:val="clear" w:color="auto" w:fill="FFFFFF" w:themeFill="background1"/>
          </w:tcPr>
          <w:p w14:paraId="6C7D6651" w14:textId="43ED56F8" w:rsidR="00091912" w:rsidRPr="001F5C2F" w:rsidRDefault="00091912" w:rsidP="00091912">
            <w:pPr>
              <w:jc w:val="both"/>
              <w:rPr>
                <w:rFonts w:cs="Times New Roman"/>
                <w:b/>
                <w:sz w:val="22"/>
              </w:rPr>
            </w:pPr>
            <w:r w:rsidRPr="001F5C2F">
              <w:rPr>
                <w:sz w:val="22"/>
              </w:rPr>
              <w:t xml:space="preserve">Ne. Tai nėra </w:t>
            </w:r>
            <w:r w:rsidR="00631EEE" w:rsidRPr="001F5C2F">
              <w:rPr>
                <w:sz w:val="22"/>
              </w:rPr>
              <w:t>P</w:t>
            </w:r>
            <w:r w:rsidRPr="001F5C2F">
              <w:rPr>
                <w:sz w:val="22"/>
              </w:rPr>
              <w:t xml:space="preserve">rojekto reguliavimo dalykas.  </w:t>
            </w:r>
          </w:p>
        </w:tc>
        <w:tc>
          <w:tcPr>
            <w:tcW w:w="4299" w:type="dxa"/>
            <w:gridSpan w:val="2"/>
            <w:shd w:val="clear" w:color="auto" w:fill="FFFFFF" w:themeFill="background1"/>
          </w:tcPr>
          <w:p w14:paraId="21CB2019" w14:textId="77777777" w:rsidR="00091912" w:rsidRPr="001F5C2F" w:rsidRDefault="00091912" w:rsidP="00091912">
            <w:pPr>
              <w:rPr>
                <w:rFonts w:cs="Times New Roman"/>
                <w:sz w:val="22"/>
              </w:rPr>
            </w:pPr>
          </w:p>
        </w:tc>
        <w:tc>
          <w:tcPr>
            <w:tcW w:w="3200" w:type="dxa"/>
          </w:tcPr>
          <w:p w14:paraId="089B1D80" w14:textId="77777777" w:rsidR="00091912" w:rsidRPr="001F5C2F" w:rsidRDefault="00091912" w:rsidP="00091912">
            <w:pPr>
              <w:rPr>
                <w:rFonts w:cs="Times New Roman"/>
                <w:sz w:val="22"/>
              </w:rPr>
            </w:pPr>
            <w:r w:rsidRPr="001F5C2F">
              <w:rPr>
                <w:rFonts w:cs="Times New Roman"/>
                <w:sz w:val="22"/>
              </w:rPr>
              <w:t>□ tenkina</w:t>
            </w:r>
          </w:p>
          <w:p w14:paraId="41C776BD" w14:textId="77777777" w:rsidR="00091912" w:rsidRPr="001F5C2F" w:rsidRDefault="00091912" w:rsidP="00091912">
            <w:pPr>
              <w:rPr>
                <w:rFonts w:cs="Times New Roman"/>
                <w:sz w:val="22"/>
              </w:rPr>
            </w:pPr>
            <w:r w:rsidRPr="001F5C2F">
              <w:rPr>
                <w:rFonts w:cs="Times New Roman"/>
                <w:sz w:val="22"/>
              </w:rPr>
              <w:t>□ netenkina</w:t>
            </w:r>
          </w:p>
        </w:tc>
      </w:tr>
      <w:tr w:rsidR="00DD0CB0" w:rsidRPr="001F5C2F" w14:paraId="64E153CC" w14:textId="77777777" w:rsidTr="006A728F">
        <w:trPr>
          <w:gridAfter w:val="1"/>
          <w:wAfter w:w="75" w:type="dxa"/>
        </w:trPr>
        <w:tc>
          <w:tcPr>
            <w:tcW w:w="532" w:type="dxa"/>
          </w:tcPr>
          <w:p w14:paraId="09170E00" w14:textId="77777777" w:rsidR="00091912" w:rsidRPr="001F5C2F" w:rsidRDefault="00091912" w:rsidP="00091912">
            <w:pPr>
              <w:rPr>
                <w:rFonts w:cs="Times New Roman"/>
                <w:sz w:val="22"/>
              </w:rPr>
            </w:pPr>
            <w:r w:rsidRPr="001F5C2F">
              <w:rPr>
                <w:rFonts w:cs="Times New Roman"/>
                <w:sz w:val="22"/>
              </w:rPr>
              <w:t>18.</w:t>
            </w:r>
          </w:p>
        </w:tc>
        <w:tc>
          <w:tcPr>
            <w:tcW w:w="3499" w:type="dxa"/>
            <w:gridSpan w:val="3"/>
          </w:tcPr>
          <w:p w14:paraId="5480D251" w14:textId="77777777" w:rsidR="00091912" w:rsidRPr="001F5C2F" w:rsidRDefault="00091912" w:rsidP="00091912">
            <w:pPr>
              <w:spacing w:before="60" w:after="60"/>
              <w:rPr>
                <w:rFonts w:cs="Times New Roman"/>
                <w:sz w:val="22"/>
              </w:rPr>
            </w:pPr>
            <w:r w:rsidRPr="001F5C2F">
              <w:rPr>
                <w:rFonts w:cs="Times New Roman"/>
                <w:sz w:val="22"/>
              </w:rPr>
              <w:t>Už teisės akto projekte įtvirtintų nurodymų nevykdymą numatytas baigtinis kriterijų skirti nuobaudą (sankciją) sąrašas ir aiški jų skyrimo procedūra.</w:t>
            </w:r>
          </w:p>
        </w:tc>
        <w:tc>
          <w:tcPr>
            <w:tcW w:w="4031" w:type="dxa"/>
            <w:gridSpan w:val="2"/>
            <w:shd w:val="clear" w:color="auto" w:fill="FFFFFF" w:themeFill="background1"/>
          </w:tcPr>
          <w:p w14:paraId="6D114FBB" w14:textId="1E45BAC9" w:rsidR="00091912" w:rsidRPr="001F5C2F" w:rsidRDefault="00091912" w:rsidP="00091912">
            <w:pPr>
              <w:jc w:val="both"/>
              <w:rPr>
                <w:rFonts w:cs="Times New Roman"/>
                <w:sz w:val="22"/>
              </w:rPr>
            </w:pPr>
            <w:r w:rsidRPr="001F5C2F">
              <w:rPr>
                <w:rFonts w:cs="Times New Roman"/>
                <w:sz w:val="22"/>
              </w:rPr>
              <w:t xml:space="preserve">Šis kriterijus </w:t>
            </w:r>
            <w:r w:rsidR="00631EEE" w:rsidRPr="001F5C2F">
              <w:rPr>
                <w:rFonts w:cs="Times New Roman"/>
                <w:sz w:val="22"/>
              </w:rPr>
              <w:t>P</w:t>
            </w:r>
            <w:r w:rsidRPr="001F5C2F">
              <w:rPr>
                <w:rFonts w:cs="Times New Roman"/>
                <w:sz w:val="22"/>
              </w:rPr>
              <w:t xml:space="preserve">rojektui nėra aktualus.  </w:t>
            </w:r>
          </w:p>
        </w:tc>
        <w:tc>
          <w:tcPr>
            <w:tcW w:w="4299" w:type="dxa"/>
            <w:gridSpan w:val="2"/>
            <w:shd w:val="clear" w:color="auto" w:fill="FFFFFF" w:themeFill="background1"/>
          </w:tcPr>
          <w:p w14:paraId="4C2C9EC3" w14:textId="77777777" w:rsidR="00091912" w:rsidRPr="001F5C2F" w:rsidRDefault="00091912" w:rsidP="00091912">
            <w:pPr>
              <w:jc w:val="both"/>
              <w:rPr>
                <w:rFonts w:cs="Times New Roman"/>
                <w:sz w:val="22"/>
              </w:rPr>
            </w:pPr>
          </w:p>
        </w:tc>
        <w:tc>
          <w:tcPr>
            <w:tcW w:w="3200" w:type="dxa"/>
            <w:shd w:val="clear" w:color="auto" w:fill="FFFFFF" w:themeFill="background1"/>
          </w:tcPr>
          <w:p w14:paraId="66D372FB" w14:textId="77777777" w:rsidR="00091912" w:rsidRPr="001F5C2F" w:rsidRDefault="00091912" w:rsidP="00091912">
            <w:pPr>
              <w:rPr>
                <w:rFonts w:cs="Times New Roman"/>
                <w:sz w:val="22"/>
              </w:rPr>
            </w:pPr>
            <w:r w:rsidRPr="001F5C2F">
              <w:rPr>
                <w:rFonts w:cs="Times New Roman"/>
                <w:sz w:val="22"/>
              </w:rPr>
              <w:t>□ tenkina</w:t>
            </w:r>
          </w:p>
          <w:p w14:paraId="58EF06B6" w14:textId="77777777" w:rsidR="00091912" w:rsidRPr="001F5C2F" w:rsidRDefault="00091912" w:rsidP="00091912">
            <w:pPr>
              <w:rPr>
                <w:rFonts w:cs="Times New Roman"/>
                <w:sz w:val="22"/>
              </w:rPr>
            </w:pPr>
            <w:r w:rsidRPr="001F5C2F">
              <w:rPr>
                <w:rFonts w:cs="Times New Roman"/>
                <w:sz w:val="22"/>
              </w:rPr>
              <w:t>□ netenkina</w:t>
            </w:r>
          </w:p>
        </w:tc>
      </w:tr>
      <w:tr w:rsidR="00DD0CB0" w:rsidRPr="001F5C2F" w14:paraId="719EC250" w14:textId="77777777" w:rsidTr="006A728F">
        <w:trPr>
          <w:gridAfter w:val="1"/>
          <w:wAfter w:w="75" w:type="dxa"/>
        </w:trPr>
        <w:tc>
          <w:tcPr>
            <w:tcW w:w="532" w:type="dxa"/>
            <w:shd w:val="clear" w:color="auto" w:fill="FFFFFF" w:themeFill="background1"/>
          </w:tcPr>
          <w:p w14:paraId="3358B797" w14:textId="77777777" w:rsidR="00091912" w:rsidRPr="001F5C2F" w:rsidRDefault="00091912" w:rsidP="00091912">
            <w:pPr>
              <w:rPr>
                <w:rFonts w:cs="Times New Roman"/>
                <w:sz w:val="22"/>
              </w:rPr>
            </w:pPr>
            <w:r w:rsidRPr="001F5C2F">
              <w:rPr>
                <w:rFonts w:cs="Times New Roman"/>
                <w:sz w:val="22"/>
              </w:rPr>
              <w:t>19.</w:t>
            </w:r>
          </w:p>
        </w:tc>
        <w:tc>
          <w:tcPr>
            <w:tcW w:w="3499" w:type="dxa"/>
            <w:gridSpan w:val="3"/>
            <w:shd w:val="clear" w:color="auto" w:fill="FFFFFF" w:themeFill="background1"/>
          </w:tcPr>
          <w:p w14:paraId="6D87E6B5" w14:textId="77777777" w:rsidR="00091912" w:rsidRPr="001F5C2F" w:rsidRDefault="00091912" w:rsidP="00091912">
            <w:pPr>
              <w:spacing w:before="60" w:after="60"/>
              <w:rPr>
                <w:rFonts w:cs="Times New Roman"/>
                <w:sz w:val="22"/>
              </w:rPr>
            </w:pPr>
            <w:r w:rsidRPr="001F5C2F">
              <w:rPr>
                <w:rFonts w:cs="Times New Roman"/>
                <w:sz w:val="22"/>
              </w:rPr>
              <w:t>Kiti svarbūs kriterijai.</w:t>
            </w:r>
          </w:p>
        </w:tc>
        <w:tc>
          <w:tcPr>
            <w:tcW w:w="4031" w:type="dxa"/>
            <w:gridSpan w:val="2"/>
            <w:shd w:val="clear" w:color="auto" w:fill="FFFFFF" w:themeFill="background1"/>
          </w:tcPr>
          <w:p w14:paraId="2E531500" w14:textId="24F23C33" w:rsidR="00091912" w:rsidRPr="001F5C2F" w:rsidRDefault="00A16B19" w:rsidP="00091912">
            <w:pPr>
              <w:jc w:val="both"/>
              <w:rPr>
                <w:rFonts w:cs="Times New Roman"/>
                <w:sz w:val="22"/>
                <w:highlight w:val="green"/>
              </w:rPr>
            </w:pPr>
            <w:r w:rsidRPr="001F5C2F">
              <w:rPr>
                <w:rFonts w:cs="Times New Roman"/>
                <w:sz w:val="22"/>
              </w:rPr>
              <w:t>Nėra.</w:t>
            </w:r>
          </w:p>
        </w:tc>
        <w:tc>
          <w:tcPr>
            <w:tcW w:w="4299" w:type="dxa"/>
            <w:gridSpan w:val="2"/>
            <w:shd w:val="clear" w:color="auto" w:fill="FFFFFF" w:themeFill="background1"/>
          </w:tcPr>
          <w:p w14:paraId="44597DFC" w14:textId="77777777" w:rsidR="00091912" w:rsidRPr="001F5C2F" w:rsidRDefault="00091912" w:rsidP="00091912">
            <w:pPr>
              <w:rPr>
                <w:rFonts w:cs="Times New Roman"/>
                <w:sz w:val="22"/>
              </w:rPr>
            </w:pPr>
          </w:p>
        </w:tc>
        <w:tc>
          <w:tcPr>
            <w:tcW w:w="3200" w:type="dxa"/>
            <w:shd w:val="clear" w:color="auto" w:fill="FFFFFF" w:themeFill="background1"/>
          </w:tcPr>
          <w:p w14:paraId="38431659" w14:textId="77777777" w:rsidR="00091912" w:rsidRPr="001F5C2F" w:rsidRDefault="00091912" w:rsidP="00091912">
            <w:pPr>
              <w:rPr>
                <w:rFonts w:cs="Times New Roman"/>
                <w:sz w:val="22"/>
              </w:rPr>
            </w:pPr>
            <w:r w:rsidRPr="001F5C2F">
              <w:rPr>
                <w:rFonts w:cs="Times New Roman"/>
                <w:sz w:val="22"/>
              </w:rPr>
              <w:t>□ tenkina</w:t>
            </w:r>
          </w:p>
          <w:p w14:paraId="00BD1A18" w14:textId="77777777" w:rsidR="00091912" w:rsidRPr="001F5C2F" w:rsidRDefault="00091912" w:rsidP="00091912">
            <w:pPr>
              <w:rPr>
                <w:rFonts w:cs="Times New Roman"/>
                <w:sz w:val="22"/>
              </w:rPr>
            </w:pPr>
            <w:r w:rsidRPr="001F5C2F">
              <w:rPr>
                <w:rFonts w:cs="Times New Roman"/>
                <w:sz w:val="22"/>
              </w:rPr>
              <w:t>□ netenkina</w:t>
            </w:r>
          </w:p>
        </w:tc>
      </w:tr>
      <w:tr w:rsidR="00DD0CB0" w:rsidRPr="001F5C2F" w14:paraId="275918CC" w14:textId="77777777" w:rsidTr="002B5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35" w:type="dxa"/>
            <w:gridSpan w:val="3"/>
          </w:tcPr>
          <w:p w14:paraId="72916EB9" w14:textId="664AFE66" w:rsidR="00091912" w:rsidRDefault="00091912" w:rsidP="00091912">
            <w:pPr>
              <w:rPr>
                <w:sz w:val="20"/>
                <w:szCs w:val="20"/>
              </w:rPr>
            </w:pPr>
          </w:p>
          <w:p w14:paraId="660E7195" w14:textId="77777777" w:rsidR="00DD0CB0" w:rsidRPr="001F5C2F" w:rsidRDefault="00DD0CB0" w:rsidP="00091912">
            <w:pPr>
              <w:rPr>
                <w:sz w:val="20"/>
                <w:szCs w:val="20"/>
              </w:rPr>
            </w:pPr>
          </w:p>
          <w:p w14:paraId="505197BB" w14:textId="77777777" w:rsidR="00091912" w:rsidRPr="001F5C2F" w:rsidRDefault="00091912" w:rsidP="00091912">
            <w:pPr>
              <w:rPr>
                <w:sz w:val="20"/>
                <w:szCs w:val="20"/>
              </w:rPr>
            </w:pPr>
            <w:r w:rsidRPr="001F5C2F">
              <w:rPr>
                <w:sz w:val="20"/>
                <w:szCs w:val="20"/>
              </w:rPr>
              <w:t>Teisės akto projekto tiesioginis  rengėjas:</w:t>
            </w:r>
          </w:p>
        </w:tc>
        <w:tc>
          <w:tcPr>
            <w:tcW w:w="4734" w:type="dxa"/>
            <w:gridSpan w:val="2"/>
            <w:tcBorders>
              <w:bottom w:val="single" w:sz="4" w:space="0" w:color="auto"/>
            </w:tcBorders>
          </w:tcPr>
          <w:p w14:paraId="6536C9C2" w14:textId="53285BDC" w:rsidR="00091912" w:rsidRDefault="00091912" w:rsidP="00091912">
            <w:pPr>
              <w:rPr>
                <w:sz w:val="20"/>
                <w:szCs w:val="20"/>
              </w:rPr>
            </w:pPr>
          </w:p>
          <w:p w14:paraId="4E58F4FE" w14:textId="77777777" w:rsidR="00DD0CB0" w:rsidRPr="001F5C2F" w:rsidRDefault="00DD0CB0" w:rsidP="00091912">
            <w:pPr>
              <w:rPr>
                <w:sz w:val="20"/>
                <w:szCs w:val="20"/>
              </w:rPr>
            </w:pPr>
          </w:p>
          <w:p w14:paraId="1982E5FE" w14:textId="77777777" w:rsidR="000057ED" w:rsidRDefault="000057ED" w:rsidP="00091912">
            <w:pPr>
              <w:rPr>
                <w:sz w:val="20"/>
                <w:szCs w:val="20"/>
              </w:rPr>
            </w:pPr>
            <w:r w:rsidRPr="000057ED">
              <w:rPr>
                <w:sz w:val="20"/>
                <w:szCs w:val="20"/>
              </w:rPr>
              <w:t>Darbo teisės skyriaus vyriausioji specialistė</w:t>
            </w:r>
          </w:p>
          <w:p w14:paraId="146E1A78" w14:textId="4DBDFEF0" w:rsidR="00091912" w:rsidRPr="001F5C2F" w:rsidRDefault="000057ED" w:rsidP="00091912">
            <w:pPr>
              <w:rPr>
                <w:sz w:val="20"/>
                <w:szCs w:val="20"/>
              </w:rPr>
            </w:pPr>
            <w:r w:rsidRPr="000057ED">
              <w:rPr>
                <w:sz w:val="20"/>
                <w:szCs w:val="20"/>
              </w:rPr>
              <w:t>Viktorija Trachimovič</w:t>
            </w:r>
          </w:p>
        </w:tc>
        <w:tc>
          <w:tcPr>
            <w:tcW w:w="2918" w:type="dxa"/>
            <w:gridSpan w:val="2"/>
          </w:tcPr>
          <w:p w14:paraId="5EFA3A05" w14:textId="45BB8798" w:rsidR="00091912" w:rsidRDefault="00091912" w:rsidP="00091912">
            <w:pPr>
              <w:rPr>
                <w:sz w:val="20"/>
                <w:szCs w:val="20"/>
              </w:rPr>
            </w:pPr>
          </w:p>
          <w:p w14:paraId="464DAB75" w14:textId="77777777" w:rsidR="00DD0CB0" w:rsidRPr="001F5C2F" w:rsidRDefault="00DD0CB0" w:rsidP="00091912">
            <w:pPr>
              <w:rPr>
                <w:sz w:val="20"/>
                <w:szCs w:val="20"/>
              </w:rPr>
            </w:pPr>
          </w:p>
          <w:p w14:paraId="4090CD26" w14:textId="77777777" w:rsidR="00091912" w:rsidRPr="001F5C2F" w:rsidRDefault="00091912" w:rsidP="00091912">
            <w:pPr>
              <w:rPr>
                <w:sz w:val="20"/>
                <w:szCs w:val="20"/>
              </w:rPr>
            </w:pPr>
            <w:r w:rsidRPr="001F5C2F">
              <w:rPr>
                <w:sz w:val="20"/>
                <w:szCs w:val="20"/>
              </w:rPr>
              <w:t>Teisės akto projekto vertintojas:</w:t>
            </w:r>
          </w:p>
        </w:tc>
        <w:tc>
          <w:tcPr>
            <w:tcW w:w="5349" w:type="dxa"/>
            <w:gridSpan w:val="3"/>
            <w:tcBorders>
              <w:bottom w:val="single" w:sz="4" w:space="0" w:color="auto"/>
            </w:tcBorders>
          </w:tcPr>
          <w:p w14:paraId="3D7140E8" w14:textId="2CB78E28" w:rsidR="00091912" w:rsidRDefault="00091912" w:rsidP="00091912">
            <w:pPr>
              <w:rPr>
                <w:sz w:val="20"/>
                <w:szCs w:val="20"/>
              </w:rPr>
            </w:pPr>
          </w:p>
          <w:p w14:paraId="18D56887" w14:textId="77777777" w:rsidR="00DD0CB0" w:rsidRPr="001F5C2F" w:rsidRDefault="00DD0CB0" w:rsidP="00091912">
            <w:pPr>
              <w:rPr>
                <w:sz w:val="20"/>
                <w:szCs w:val="20"/>
              </w:rPr>
            </w:pPr>
          </w:p>
          <w:p w14:paraId="1FE43CEC" w14:textId="77777777" w:rsidR="00AE259A" w:rsidRPr="001F5C2F" w:rsidRDefault="00091912" w:rsidP="00091912">
            <w:pPr>
              <w:rPr>
                <w:sz w:val="20"/>
                <w:szCs w:val="20"/>
              </w:rPr>
            </w:pPr>
            <w:r w:rsidRPr="001F5C2F">
              <w:rPr>
                <w:sz w:val="20"/>
                <w:szCs w:val="20"/>
              </w:rPr>
              <w:t>Prevencijos skyriaus patarėjas</w:t>
            </w:r>
          </w:p>
          <w:p w14:paraId="3CD3E085" w14:textId="4E17CE45" w:rsidR="00091912" w:rsidRPr="001F5C2F" w:rsidRDefault="00091912" w:rsidP="00091912">
            <w:pPr>
              <w:rPr>
                <w:sz w:val="20"/>
                <w:szCs w:val="20"/>
              </w:rPr>
            </w:pPr>
            <w:r w:rsidRPr="001F5C2F">
              <w:rPr>
                <w:sz w:val="20"/>
                <w:szCs w:val="20"/>
              </w:rPr>
              <w:t>Marius Vainauskas</w:t>
            </w:r>
          </w:p>
        </w:tc>
      </w:tr>
      <w:tr w:rsidR="00DD0CB0" w:rsidRPr="001F5C2F" w14:paraId="3DB2CE16" w14:textId="77777777" w:rsidTr="002B5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35" w:type="dxa"/>
            <w:gridSpan w:val="3"/>
          </w:tcPr>
          <w:p w14:paraId="201912B8" w14:textId="77777777" w:rsidR="00091912" w:rsidRPr="001F5C2F" w:rsidRDefault="00091912" w:rsidP="00091912">
            <w:pPr>
              <w:rPr>
                <w:sz w:val="20"/>
                <w:szCs w:val="20"/>
              </w:rPr>
            </w:pPr>
          </w:p>
        </w:tc>
        <w:tc>
          <w:tcPr>
            <w:tcW w:w="4734" w:type="dxa"/>
            <w:gridSpan w:val="2"/>
            <w:tcBorders>
              <w:top w:val="single" w:sz="4" w:space="0" w:color="auto"/>
            </w:tcBorders>
          </w:tcPr>
          <w:p w14:paraId="7CEFD0B1" w14:textId="77777777" w:rsidR="00091912" w:rsidRPr="001F5C2F" w:rsidRDefault="00091912" w:rsidP="00091912">
            <w:pPr>
              <w:ind w:left="-11" w:firstLine="11"/>
              <w:rPr>
                <w:sz w:val="20"/>
                <w:szCs w:val="20"/>
              </w:rPr>
            </w:pPr>
            <w:r w:rsidRPr="001F5C2F">
              <w:rPr>
                <w:sz w:val="20"/>
                <w:szCs w:val="20"/>
              </w:rPr>
              <w:t xml:space="preserve">pareigos                         v. pavardė                                   </w:t>
            </w:r>
          </w:p>
        </w:tc>
        <w:tc>
          <w:tcPr>
            <w:tcW w:w="2918" w:type="dxa"/>
            <w:gridSpan w:val="2"/>
          </w:tcPr>
          <w:p w14:paraId="17260AD1" w14:textId="77777777" w:rsidR="00091912" w:rsidRPr="001F5C2F" w:rsidRDefault="00091912" w:rsidP="00091912">
            <w:pPr>
              <w:rPr>
                <w:sz w:val="20"/>
                <w:szCs w:val="20"/>
              </w:rPr>
            </w:pPr>
          </w:p>
        </w:tc>
        <w:tc>
          <w:tcPr>
            <w:tcW w:w="5349" w:type="dxa"/>
            <w:gridSpan w:val="3"/>
            <w:tcBorders>
              <w:top w:val="single" w:sz="4" w:space="0" w:color="auto"/>
            </w:tcBorders>
          </w:tcPr>
          <w:p w14:paraId="2979B8C9" w14:textId="77777777" w:rsidR="00091912" w:rsidRPr="001F5C2F" w:rsidRDefault="00091912" w:rsidP="00091912">
            <w:pPr>
              <w:ind w:left="-11" w:firstLine="11"/>
              <w:rPr>
                <w:sz w:val="20"/>
                <w:szCs w:val="20"/>
              </w:rPr>
            </w:pPr>
            <w:r w:rsidRPr="001F5C2F">
              <w:rPr>
                <w:sz w:val="20"/>
                <w:szCs w:val="20"/>
              </w:rPr>
              <w:t xml:space="preserve">pareigos                          v. pavardė                                    </w:t>
            </w:r>
          </w:p>
        </w:tc>
      </w:tr>
      <w:tr w:rsidR="00DD0CB0" w:rsidRPr="001F5C2F" w14:paraId="280C1503" w14:textId="77777777" w:rsidTr="002B5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35" w:type="dxa"/>
            <w:gridSpan w:val="3"/>
          </w:tcPr>
          <w:p w14:paraId="0F98FE62" w14:textId="77777777" w:rsidR="00091912" w:rsidRPr="001F5C2F" w:rsidRDefault="00091912" w:rsidP="00091912">
            <w:pPr>
              <w:rPr>
                <w:sz w:val="20"/>
                <w:szCs w:val="20"/>
              </w:rPr>
            </w:pPr>
          </w:p>
        </w:tc>
        <w:tc>
          <w:tcPr>
            <w:tcW w:w="4734" w:type="dxa"/>
            <w:gridSpan w:val="2"/>
            <w:tcBorders>
              <w:bottom w:val="single" w:sz="4" w:space="0" w:color="auto"/>
            </w:tcBorders>
          </w:tcPr>
          <w:p w14:paraId="7B63A7A6" w14:textId="77777777" w:rsidR="00091912" w:rsidRPr="001F5C2F" w:rsidRDefault="00091912" w:rsidP="00091912">
            <w:pPr>
              <w:rPr>
                <w:sz w:val="20"/>
                <w:szCs w:val="20"/>
              </w:rPr>
            </w:pPr>
          </w:p>
        </w:tc>
        <w:tc>
          <w:tcPr>
            <w:tcW w:w="2918" w:type="dxa"/>
            <w:gridSpan w:val="2"/>
          </w:tcPr>
          <w:p w14:paraId="39239865" w14:textId="77777777" w:rsidR="00091912" w:rsidRPr="001F5C2F" w:rsidRDefault="00091912" w:rsidP="00091912">
            <w:pPr>
              <w:rPr>
                <w:sz w:val="20"/>
                <w:szCs w:val="20"/>
              </w:rPr>
            </w:pPr>
          </w:p>
        </w:tc>
        <w:tc>
          <w:tcPr>
            <w:tcW w:w="5349" w:type="dxa"/>
            <w:gridSpan w:val="3"/>
            <w:tcBorders>
              <w:bottom w:val="single" w:sz="4" w:space="0" w:color="auto"/>
            </w:tcBorders>
          </w:tcPr>
          <w:p w14:paraId="259A35BB" w14:textId="77777777" w:rsidR="00091912" w:rsidRPr="001F5C2F" w:rsidRDefault="00091912" w:rsidP="00091912">
            <w:pPr>
              <w:ind w:left="-11" w:firstLine="11"/>
              <w:rPr>
                <w:sz w:val="20"/>
                <w:szCs w:val="20"/>
              </w:rPr>
            </w:pPr>
          </w:p>
        </w:tc>
      </w:tr>
      <w:tr w:rsidR="00DD0CB0" w:rsidRPr="001F5C2F" w14:paraId="7E878BDE" w14:textId="77777777" w:rsidTr="002B50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35" w:type="dxa"/>
            <w:gridSpan w:val="2"/>
          </w:tcPr>
          <w:p w14:paraId="728ED1E7" w14:textId="77777777" w:rsidR="00091912" w:rsidRPr="001F5C2F" w:rsidRDefault="00091912" w:rsidP="00091912">
            <w:pPr>
              <w:rPr>
                <w:sz w:val="20"/>
                <w:szCs w:val="20"/>
              </w:rPr>
            </w:pPr>
          </w:p>
        </w:tc>
        <w:tc>
          <w:tcPr>
            <w:tcW w:w="5434" w:type="dxa"/>
            <w:gridSpan w:val="3"/>
            <w:tcBorders>
              <w:top w:val="single" w:sz="4" w:space="0" w:color="auto"/>
            </w:tcBorders>
          </w:tcPr>
          <w:p w14:paraId="6C178580" w14:textId="77777777" w:rsidR="00091912" w:rsidRPr="001F5C2F" w:rsidRDefault="00091912" w:rsidP="00091912">
            <w:pPr>
              <w:ind w:left="-11" w:firstLine="11"/>
              <w:rPr>
                <w:sz w:val="20"/>
                <w:szCs w:val="20"/>
              </w:rPr>
            </w:pPr>
            <w:r w:rsidRPr="001F5C2F">
              <w:rPr>
                <w:sz w:val="20"/>
                <w:szCs w:val="20"/>
              </w:rPr>
              <w:t xml:space="preserve">              parašas                                                     data</w:t>
            </w:r>
          </w:p>
        </w:tc>
        <w:tc>
          <w:tcPr>
            <w:tcW w:w="2918" w:type="dxa"/>
            <w:gridSpan w:val="2"/>
          </w:tcPr>
          <w:p w14:paraId="5D695FA2" w14:textId="77777777" w:rsidR="00091912" w:rsidRPr="001F5C2F" w:rsidRDefault="00091912" w:rsidP="00091912">
            <w:pPr>
              <w:rPr>
                <w:sz w:val="20"/>
                <w:szCs w:val="20"/>
              </w:rPr>
            </w:pPr>
          </w:p>
        </w:tc>
        <w:tc>
          <w:tcPr>
            <w:tcW w:w="5349" w:type="dxa"/>
            <w:gridSpan w:val="3"/>
            <w:tcBorders>
              <w:top w:val="single" w:sz="4" w:space="0" w:color="auto"/>
            </w:tcBorders>
          </w:tcPr>
          <w:p w14:paraId="2E86A57E" w14:textId="77777777" w:rsidR="00091912" w:rsidRPr="001F5C2F" w:rsidRDefault="00091912" w:rsidP="00091912">
            <w:pPr>
              <w:ind w:left="-11" w:firstLine="11"/>
              <w:rPr>
                <w:sz w:val="20"/>
                <w:szCs w:val="20"/>
              </w:rPr>
            </w:pPr>
            <w:r w:rsidRPr="001F5C2F">
              <w:rPr>
                <w:sz w:val="20"/>
                <w:szCs w:val="20"/>
              </w:rPr>
              <w:t>parašas                                                        data</w:t>
            </w:r>
          </w:p>
        </w:tc>
      </w:tr>
    </w:tbl>
    <w:p w14:paraId="310DAD39" w14:textId="77777777" w:rsidR="00CC1332" w:rsidRPr="001F5C2F" w:rsidRDefault="00CC1332" w:rsidP="00F64410">
      <w:pPr>
        <w:tabs>
          <w:tab w:val="left" w:pos="2127"/>
        </w:tabs>
      </w:pPr>
    </w:p>
    <w:sectPr w:rsidR="00CC1332" w:rsidRPr="001F5C2F" w:rsidSect="0092657F">
      <w:headerReference w:type="default" r:id="rId8"/>
      <w:footerReference w:type="default" r:id="rId9"/>
      <w:pgSz w:w="16838" w:h="11906" w:orient="landscape"/>
      <w:pgMar w:top="1134" w:right="567"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4047E" w14:textId="77777777" w:rsidR="004C685F" w:rsidRDefault="004C685F" w:rsidP="001557AB">
      <w:pPr>
        <w:spacing w:after="0"/>
      </w:pPr>
      <w:r>
        <w:separator/>
      </w:r>
    </w:p>
  </w:endnote>
  <w:endnote w:type="continuationSeparator" w:id="0">
    <w:p w14:paraId="21501290" w14:textId="77777777" w:rsidR="004C685F" w:rsidRDefault="004C685F" w:rsidP="001557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7598F" w14:textId="77777777" w:rsidR="00400764" w:rsidRDefault="00400764">
    <w:pPr>
      <w:pStyle w:val="Porat"/>
      <w:jc w:val="right"/>
    </w:pPr>
  </w:p>
  <w:p w14:paraId="49B3A362" w14:textId="77777777" w:rsidR="00400764" w:rsidRDefault="0040076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2AE1C9" w14:textId="77777777" w:rsidR="004C685F" w:rsidRDefault="004C685F" w:rsidP="001557AB">
      <w:pPr>
        <w:spacing w:after="0"/>
      </w:pPr>
      <w:r>
        <w:separator/>
      </w:r>
    </w:p>
  </w:footnote>
  <w:footnote w:type="continuationSeparator" w:id="0">
    <w:p w14:paraId="54CB8ECA" w14:textId="77777777" w:rsidR="004C685F" w:rsidRDefault="004C685F" w:rsidP="001557AB">
      <w:pPr>
        <w:spacing w:after="0"/>
      </w:pPr>
      <w:r>
        <w:continuationSeparator/>
      </w:r>
    </w:p>
  </w:footnote>
  <w:footnote w:id="1">
    <w:p w14:paraId="6DE6AD63" w14:textId="77777777" w:rsidR="00400764" w:rsidRPr="00A35253" w:rsidRDefault="00400764" w:rsidP="00433FA9">
      <w:pPr>
        <w:pStyle w:val="Puslapioinaostekstas"/>
        <w:jc w:val="both"/>
      </w:pPr>
      <w:r w:rsidRPr="00A35253">
        <w:rPr>
          <w:rStyle w:val="Puslapioinaosnuoroda"/>
        </w:rPr>
        <w:footnoteRef/>
      </w:r>
      <w:r w:rsidRPr="00A35253">
        <w:t>Jei tas pats kriterijus taikomas kelioms teisės akto projekto nuostatoms, nurodyti ir konkrečias teisės akto projekto nuostatas, dėl kurių galima korupcijos rizika nėra eliminuota ar kuriai valdyti nėra numatytos priemonės teisės akto projekte.</w:t>
      </w:r>
    </w:p>
  </w:footnote>
  <w:footnote w:id="2">
    <w:p w14:paraId="45969E15" w14:textId="77777777" w:rsidR="00400764" w:rsidRPr="00A35253" w:rsidRDefault="00400764" w:rsidP="00433FA9">
      <w:pPr>
        <w:pStyle w:val="Puslapioinaostekstas"/>
        <w:jc w:val="both"/>
      </w:pPr>
      <w:r w:rsidRPr="00A35253">
        <w:rPr>
          <w:rStyle w:val="Puslapioinaosnuoroda"/>
        </w:rPr>
        <w:footnoteRef/>
      </w:r>
      <w:r>
        <w:t>T. p.</w:t>
      </w:r>
    </w:p>
  </w:footnote>
  <w:footnote w:id="3">
    <w:p w14:paraId="3E3B73DB" w14:textId="77777777" w:rsidR="00091912" w:rsidRPr="008E4C80" w:rsidRDefault="00091912" w:rsidP="008E4C80">
      <w:pPr>
        <w:pStyle w:val="Puslapioinaostekstas"/>
        <w:jc w:val="both"/>
      </w:pPr>
      <w:r w:rsidRPr="008E4C80">
        <w:rPr>
          <w:rStyle w:val="Puslapioinaosnuoroda"/>
        </w:rPr>
        <w:footnoteRef/>
      </w:r>
      <w:r>
        <w:rPr>
          <w:rFonts w:cs="Times New Roman"/>
        </w:rPr>
        <w:t>Pavyzdžiui,</w:t>
      </w:r>
      <w:r w:rsidRPr="008E4C80">
        <w:rPr>
          <w:rFonts w:cs="Times New Roman"/>
        </w:rPr>
        <w:t xml:space="preserve"> aiški</w:t>
      </w:r>
      <w:r>
        <w:rPr>
          <w:rFonts w:cs="Times New Roman"/>
        </w:rPr>
        <w:t>ai i</w:t>
      </w:r>
      <w:r w:rsidRPr="008E4C80">
        <w:rPr>
          <w:rFonts w:cs="Times New Roman"/>
        </w:rPr>
        <w:t>r išsamiai apibrėžtos kontroliuojančio subjekto teisės ir pareigos, standartizuota kontrolės atlikimo procedūra, reikalavimas fiksuoti atskirus kontrolės procedūros etapus ir jų rezultatus, atsakingų specialistų rotacija, kontroliuojančio ir kontroliuojamo subjekto tiesioginio kontakto be liudininkų eliminavimas ir 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7071570"/>
      <w:docPartObj>
        <w:docPartGallery w:val="Page Numbers (Top of Page)"/>
        <w:docPartUnique/>
      </w:docPartObj>
    </w:sdtPr>
    <w:sdtEndPr/>
    <w:sdtContent>
      <w:p w14:paraId="71101458" w14:textId="77777777" w:rsidR="00400764" w:rsidRDefault="00400764">
        <w:pPr>
          <w:pStyle w:val="Antrats"/>
          <w:jc w:val="center"/>
        </w:pPr>
        <w:r>
          <w:fldChar w:fldCharType="begin"/>
        </w:r>
        <w:r>
          <w:instrText>PAGE   \* MERGEFORMAT</w:instrText>
        </w:r>
        <w:r>
          <w:fldChar w:fldCharType="separate"/>
        </w:r>
        <w:r w:rsidR="005232F4">
          <w:rPr>
            <w:noProof/>
          </w:rPr>
          <w:t>2</w:t>
        </w:r>
        <w:r>
          <w:fldChar w:fldCharType="end"/>
        </w:r>
      </w:p>
    </w:sdtContent>
  </w:sdt>
  <w:p w14:paraId="10E959F3" w14:textId="77777777" w:rsidR="00400764" w:rsidRDefault="0040076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3E7E15"/>
    <w:multiLevelType w:val="multilevel"/>
    <w:tmpl w:val="8BAA79E0"/>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DD717B2"/>
    <w:multiLevelType w:val="multilevel"/>
    <w:tmpl w:val="8B1086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AC6FE4"/>
    <w:multiLevelType w:val="hybridMultilevel"/>
    <w:tmpl w:val="9E1AF610"/>
    <w:lvl w:ilvl="0" w:tplc="B25C145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49E3E3E"/>
    <w:multiLevelType w:val="multilevel"/>
    <w:tmpl w:val="176003E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5A"/>
    <w:rsid w:val="00000B9C"/>
    <w:rsid w:val="00004FA9"/>
    <w:rsid w:val="000057ED"/>
    <w:rsid w:val="00010ED8"/>
    <w:rsid w:val="000122D1"/>
    <w:rsid w:val="00016F8E"/>
    <w:rsid w:val="000228C1"/>
    <w:rsid w:val="00025DEF"/>
    <w:rsid w:val="0003396D"/>
    <w:rsid w:val="00045C47"/>
    <w:rsid w:val="0005542D"/>
    <w:rsid w:val="00062579"/>
    <w:rsid w:val="00062E47"/>
    <w:rsid w:val="00063BA4"/>
    <w:rsid w:val="00077B77"/>
    <w:rsid w:val="00091912"/>
    <w:rsid w:val="0009352B"/>
    <w:rsid w:val="000A4655"/>
    <w:rsid w:val="000A4F3B"/>
    <w:rsid w:val="000B0328"/>
    <w:rsid w:val="000B2B4D"/>
    <w:rsid w:val="000D57FB"/>
    <w:rsid w:val="000F25D3"/>
    <w:rsid w:val="000F2895"/>
    <w:rsid w:val="001026B2"/>
    <w:rsid w:val="001119E9"/>
    <w:rsid w:val="00116021"/>
    <w:rsid w:val="001161A5"/>
    <w:rsid w:val="00120929"/>
    <w:rsid w:val="00122E92"/>
    <w:rsid w:val="00127C05"/>
    <w:rsid w:val="00130D03"/>
    <w:rsid w:val="00132078"/>
    <w:rsid w:val="00142671"/>
    <w:rsid w:val="001542D2"/>
    <w:rsid w:val="001557AB"/>
    <w:rsid w:val="001562F1"/>
    <w:rsid w:val="00160CC7"/>
    <w:rsid w:val="001635D7"/>
    <w:rsid w:val="0016691B"/>
    <w:rsid w:val="00175034"/>
    <w:rsid w:val="00184518"/>
    <w:rsid w:val="00187C03"/>
    <w:rsid w:val="001A012E"/>
    <w:rsid w:val="001A025A"/>
    <w:rsid w:val="001A1758"/>
    <w:rsid w:val="001A42E8"/>
    <w:rsid w:val="001A6BDD"/>
    <w:rsid w:val="001A7892"/>
    <w:rsid w:val="001B0428"/>
    <w:rsid w:val="001B2E6D"/>
    <w:rsid w:val="001B329C"/>
    <w:rsid w:val="001C1BC1"/>
    <w:rsid w:val="001C2CCF"/>
    <w:rsid w:val="001C3AA2"/>
    <w:rsid w:val="001D1FF6"/>
    <w:rsid w:val="001D47D6"/>
    <w:rsid w:val="001E6C34"/>
    <w:rsid w:val="001E715D"/>
    <w:rsid w:val="001F3FFE"/>
    <w:rsid w:val="001F5C2F"/>
    <w:rsid w:val="001F6767"/>
    <w:rsid w:val="00213308"/>
    <w:rsid w:val="002167E8"/>
    <w:rsid w:val="00222CC2"/>
    <w:rsid w:val="002236CC"/>
    <w:rsid w:val="0022434B"/>
    <w:rsid w:val="00230235"/>
    <w:rsid w:val="0023572D"/>
    <w:rsid w:val="0024624E"/>
    <w:rsid w:val="00250F8B"/>
    <w:rsid w:val="00251255"/>
    <w:rsid w:val="00252DF6"/>
    <w:rsid w:val="0026263D"/>
    <w:rsid w:val="00275567"/>
    <w:rsid w:val="00280A80"/>
    <w:rsid w:val="00285572"/>
    <w:rsid w:val="00291A47"/>
    <w:rsid w:val="002A5A55"/>
    <w:rsid w:val="002B2962"/>
    <w:rsid w:val="002B50C8"/>
    <w:rsid w:val="002D02BF"/>
    <w:rsid w:val="002E55D5"/>
    <w:rsid w:val="00305F17"/>
    <w:rsid w:val="00315DC2"/>
    <w:rsid w:val="00322D14"/>
    <w:rsid w:val="003337FD"/>
    <w:rsid w:val="0033380D"/>
    <w:rsid w:val="00336218"/>
    <w:rsid w:val="00340233"/>
    <w:rsid w:val="003416A8"/>
    <w:rsid w:val="00355A27"/>
    <w:rsid w:val="00357709"/>
    <w:rsid w:val="00362ACF"/>
    <w:rsid w:val="00364F79"/>
    <w:rsid w:val="00375D5D"/>
    <w:rsid w:val="00376373"/>
    <w:rsid w:val="0038602F"/>
    <w:rsid w:val="00393B95"/>
    <w:rsid w:val="00396E24"/>
    <w:rsid w:val="003A160F"/>
    <w:rsid w:val="003A208E"/>
    <w:rsid w:val="003B1251"/>
    <w:rsid w:val="003B434E"/>
    <w:rsid w:val="003C20C4"/>
    <w:rsid w:val="003C3168"/>
    <w:rsid w:val="003C742B"/>
    <w:rsid w:val="003C7E7D"/>
    <w:rsid w:val="003D0A7F"/>
    <w:rsid w:val="003D2D33"/>
    <w:rsid w:val="003E08F7"/>
    <w:rsid w:val="003E74C5"/>
    <w:rsid w:val="00400764"/>
    <w:rsid w:val="00400DF3"/>
    <w:rsid w:val="00404EE1"/>
    <w:rsid w:val="004159FD"/>
    <w:rsid w:val="00416A6F"/>
    <w:rsid w:val="00422ACE"/>
    <w:rsid w:val="0042316A"/>
    <w:rsid w:val="004310E7"/>
    <w:rsid w:val="00433241"/>
    <w:rsid w:val="00433791"/>
    <w:rsid w:val="00433FA9"/>
    <w:rsid w:val="0043658A"/>
    <w:rsid w:val="00443024"/>
    <w:rsid w:val="00454A7F"/>
    <w:rsid w:val="00455FA4"/>
    <w:rsid w:val="00474E72"/>
    <w:rsid w:val="004779E9"/>
    <w:rsid w:val="0049025B"/>
    <w:rsid w:val="00492339"/>
    <w:rsid w:val="004A4281"/>
    <w:rsid w:val="004B0FC3"/>
    <w:rsid w:val="004B2A1E"/>
    <w:rsid w:val="004C02DE"/>
    <w:rsid w:val="004C3C13"/>
    <w:rsid w:val="004C685F"/>
    <w:rsid w:val="004C68DC"/>
    <w:rsid w:val="004C6939"/>
    <w:rsid w:val="004D5AA4"/>
    <w:rsid w:val="004E0818"/>
    <w:rsid w:val="004E202F"/>
    <w:rsid w:val="004E2448"/>
    <w:rsid w:val="004E34BD"/>
    <w:rsid w:val="004E5B48"/>
    <w:rsid w:val="005008FD"/>
    <w:rsid w:val="005128F7"/>
    <w:rsid w:val="00516E96"/>
    <w:rsid w:val="005232F4"/>
    <w:rsid w:val="00524C51"/>
    <w:rsid w:val="0053580F"/>
    <w:rsid w:val="00536BC9"/>
    <w:rsid w:val="00537AAE"/>
    <w:rsid w:val="00544BB7"/>
    <w:rsid w:val="00544C87"/>
    <w:rsid w:val="00550B23"/>
    <w:rsid w:val="005553A1"/>
    <w:rsid w:val="005579C5"/>
    <w:rsid w:val="005712A8"/>
    <w:rsid w:val="00580B78"/>
    <w:rsid w:val="005832EF"/>
    <w:rsid w:val="00592DA3"/>
    <w:rsid w:val="005B3751"/>
    <w:rsid w:val="005B383D"/>
    <w:rsid w:val="005B4130"/>
    <w:rsid w:val="005B4C0D"/>
    <w:rsid w:val="005C08B7"/>
    <w:rsid w:val="005C24EC"/>
    <w:rsid w:val="005C51D0"/>
    <w:rsid w:val="005C7ECB"/>
    <w:rsid w:val="005D7D07"/>
    <w:rsid w:val="005F6DA4"/>
    <w:rsid w:val="00601848"/>
    <w:rsid w:val="00602B5C"/>
    <w:rsid w:val="00605200"/>
    <w:rsid w:val="00610725"/>
    <w:rsid w:val="00613FB8"/>
    <w:rsid w:val="00616E76"/>
    <w:rsid w:val="00622FAC"/>
    <w:rsid w:val="00623D34"/>
    <w:rsid w:val="00626341"/>
    <w:rsid w:val="00631EEE"/>
    <w:rsid w:val="00633EE1"/>
    <w:rsid w:val="00634ECB"/>
    <w:rsid w:val="00635195"/>
    <w:rsid w:val="006378A4"/>
    <w:rsid w:val="00641DAD"/>
    <w:rsid w:val="00643B9D"/>
    <w:rsid w:val="00652401"/>
    <w:rsid w:val="00664B3B"/>
    <w:rsid w:val="006668E3"/>
    <w:rsid w:val="00682083"/>
    <w:rsid w:val="0068352C"/>
    <w:rsid w:val="0068519F"/>
    <w:rsid w:val="006903A9"/>
    <w:rsid w:val="00692BE3"/>
    <w:rsid w:val="0069463F"/>
    <w:rsid w:val="00695895"/>
    <w:rsid w:val="00697C8A"/>
    <w:rsid w:val="006A3CB3"/>
    <w:rsid w:val="006A6D87"/>
    <w:rsid w:val="006A728F"/>
    <w:rsid w:val="006C09B2"/>
    <w:rsid w:val="006C0BEF"/>
    <w:rsid w:val="006C2731"/>
    <w:rsid w:val="006C47E1"/>
    <w:rsid w:val="006C68F4"/>
    <w:rsid w:val="006D1404"/>
    <w:rsid w:val="006D6CEA"/>
    <w:rsid w:val="006E1D60"/>
    <w:rsid w:val="006E1E3B"/>
    <w:rsid w:val="006E5435"/>
    <w:rsid w:val="006F21B2"/>
    <w:rsid w:val="006F4993"/>
    <w:rsid w:val="006F5CA1"/>
    <w:rsid w:val="006F611E"/>
    <w:rsid w:val="006F64D5"/>
    <w:rsid w:val="0070068B"/>
    <w:rsid w:val="00713729"/>
    <w:rsid w:val="00731DD8"/>
    <w:rsid w:val="00733862"/>
    <w:rsid w:val="00733E5C"/>
    <w:rsid w:val="00736F02"/>
    <w:rsid w:val="007414A5"/>
    <w:rsid w:val="00745434"/>
    <w:rsid w:val="007609AC"/>
    <w:rsid w:val="00761ECA"/>
    <w:rsid w:val="007626FD"/>
    <w:rsid w:val="00771BEE"/>
    <w:rsid w:val="007746F9"/>
    <w:rsid w:val="00781611"/>
    <w:rsid w:val="00782A5D"/>
    <w:rsid w:val="00785D84"/>
    <w:rsid w:val="007874FB"/>
    <w:rsid w:val="00791A1B"/>
    <w:rsid w:val="00796C76"/>
    <w:rsid w:val="0079705E"/>
    <w:rsid w:val="007A4B65"/>
    <w:rsid w:val="007A5DE5"/>
    <w:rsid w:val="007A69AF"/>
    <w:rsid w:val="007B1B92"/>
    <w:rsid w:val="007B256A"/>
    <w:rsid w:val="007B289E"/>
    <w:rsid w:val="007B4955"/>
    <w:rsid w:val="007B74C4"/>
    <w:rsid w:val="007C3465"/>
    <w:rsid w:val="007C6BDE"/>
    <w:rsid w:val="007D1CDC"/>
    <w:rsid w:val="007D5162"/>
    <w:rsid w:val="007D6374"/>
    <w:rsid w:val="007E6803"/>
    <w:rsid w:val="007E6BE1"/>
    <w:rsid w:val="007F1141"/>
    <w:rsid w:val="007F4FE1"/>
    <w:rsid w:val="00807083"/>
    <w:rsid w:val="00811EB1"/>
    <w:rsid w:val="008122D2"/>
    <w:rsid w:val="00815255"/>
    <w:rsid w:val="0082047E"/>
    <w:rsid w:val="00821E79"/>
    <w:rsid w:val="0082302E"/>
    <w:rsid w:val="00824C61"/>
    <w:rsid w:val="00835CC8"/>
    <w:rsid w:val="00837408"/>
    <w:rsid w:val="00841EE3"/>
    <w:rsid w:val="0084672D"/>
    <w:rsid w:val="00850C64"/>
    <w:rsid w:val="00853BDC"/>
    <w:rsid w:val="008661C2"/>
    <w:rsid w:val="008756F9"/>
    <w:rsid w:val="0088618E"/>
    <w:rsid w:val="00887212"/>
    <w:rsid w:val="00893A56"/>
    <w:rsid w:val="00894000"/>
    <w:rsid w:val="008A29C0"/>
    <w:rsid w:val="008B4C85"/>
    <w:rsid w:val="008C3B74"/>
    <w:rsid w:val="008D22E9"/>
    <w:rsid w:val="008D5A7D"/>
    <w:rsid w:val="008E4C80"/>
    <w:rsid w:val="008F3308"/>
    <w:rsid w:val="008F59E9"/>
    <w:rsid w:val="00900D63"/>
    <w:rsid w:val="00901E5E"/>
    <w:rsid w:val="00907300"/>
    <w:rsid w:val="00922E2A"/>
    <w:rsid w:val="0092657F"/>
    <w:rsid w:val="00930414"/>
    <w:rsid w:val="00932CEA"/>
    <w:rsid w:val="009357CE"/>
    <w:rsid w:val="00940C20"/>
    <w:rsid w:val="00942141"/>
    <w:rsid w:val="00944546"/>
    <w:rsid w:val="0094662A"/>
    <w:rsid w:val="009577AA"/>
    <w:rsid w:val="00961FEA"/>
    <w:rsid w:val="009652EB"/>
    <w:rsid w:val="00981C12"/>
    <w:rsid w:val="00983446"/>
    <w:rsid w:val="00990979"/>
    <w:rsid w:val="0099632B"/>
    <w:rsid w:val="009A77D2"/>
    <w:rsid w:val="009B4FBA"/>
    <w:rsid w:val="009C1C79"/>
    <w:rsid w:val="009C35AB"/>
    <w:rsid w:val="009C3709"/>
    <w:rsid w:val="009D310B"/>
    <w:rsid w:val="009D5940"/>
    <w:rsid w:val="009E4719"/>
    <w:rsid w:val="009F3D24"/>
    <w:rsid w:val="00A13251"/>
    <w:rsid w:val="00A16B19"/>
    <w:rsid w:val="00A25A98"/>
    <w:rsid w:val="00A27454"/>
    <w:rsid w:val="00A27DA0"/>
    <w:rsid w:val="00A33458"/>
    <w:rsid w:val="00A35253"/>
    <w:rsid w:val="00A36964"/>
    <w:rsid w:val="00A40269"/>
    <w:rsid w:val="00A4267D"/>
    <w:rsid w:val="00A44882"/>
    <w:rsid w:val="00A45C18"/>
    <w:rsid w:val="00A663A6"/>
    <w:rsid w:val="00A71011"/>
    <w:rsid w:val="00A800D3"/>
    <w:rsid w:val="00A8169A"/>
    <w:rsid w:val="00A826FC"/>
    <w:rsid w:val="00A90C85"/>
    <w:rsid w:val="00AA082D"/>
    <w:rsid w:val="00AA2AE1"/>
    <w:rsid w:val="00AE259A"/>
    <w:rsid w:val="00AE5AF2"/>
    <w:rsid w:val="00AF034A"/>
    <w:rsid w:val="00AF3CAB"/>
    <w:rsid w:val="00B03A1D"/>
    <w:rsid w:val="00B16788"/>
    <w:rsid w:val="00B252FD"/>
    <w:rsid w:val="00B35926"/>
    <w:rsid w:val="00B36CC3"/>
    <w:rsid w:val="00B47479"/>
    <w:rsid w:val="00B52E8B"/>
    <w:rsid w:val="00B547B4"/>
    <w:rsid w:val="00B550DD"/>
    <w:rsid w:val="00B62ADC"/>
    <w:rsid w:val="00B65AB1"/>
    <w:rsid w:val="00B664BF"/>
    <w:rsid w:val="00B72407"/>
    <w:rsid w:val="00B73C62"/>
    <w:rsid w:val="00B77391"/>
    <w:rsid w:val="00B87A7B"/>
    <w:rsid w:val="00B93046"/>
    <w:rsid w:val="00BA1169"/>
    <w:rsid w:val="00BA6CBA"/>
    <w:rsid w:val="00BC150C"/>
    <w:rsid w:val="00BC3495"/>
    <w:rsid w:val="00BC55B5"/>
    <w:rsid w:val="00BD537E"/>
    <w:rsid w:val="00BD54A3"/>
    <w:rsid w:val="00BD6C8A"/>
    <w:rsid w:val="00BE1732"/>
    <w:rsid w:val="00BE363D"/>
    <w:rsid w:val="00BE5C10"/>
    <w:rsid w:val="00C06804"/>
    <w:rsid w:val="00C107F9"/>
    <w:rsid w:val="00C119D5"/>
    <w:rsid w:val="00C120B0"/>
    <w:rsid w:val="00C27911"/>
    <w:rsid w:val="00C317A9"/>
    <w:rsid w:val="00C35F00"/>
    <w:rsid w:val="00C4127A"/>
    <w:rsid w:val="00C53087"/>
    <w:rsid w:val="00C611F6"/>
    <w:rsid w:val="00C662E9"/>
    <w:rsid w:val="00C76453"/>
    <w:rsid w:val="00C831F8"/>
    <w:rsid w:val="00CA3118"/>
    <w:rsid w:val="00CA3414"/>
    <w:rsid w:val="00CA38B7"/>
    <w:rsid w:val="00CC1332"/>
    <w:rsid w:val="00CD5F55"/>
    <w:rsid w:val="00CE0937"/>
    <w:rsid w:val="00CE3064"/>
    <w:rsid w:val="00CE4472"/>
    <w:rsid w:val="00CE5C1A"/>
    <w:rsid w:val="00D04B4F"/>
    <w:rsid w:val="00D05E88"/>
    <w:rsid w:val="00D06793"/>
    <w:rsid w:val="00D068CC"/>
    <w:rsid w:val="00D0756F"/>
    <w:rsid w:val="00D10823"/>
    <w:rsid w:val="00D10BA8"/>
    <w:rsid w:val="00D35A0F"/>
    <w:rsid w:val="00D41B20"/>
    <w:rsid w:val="00D43F17"/>
    <w:rsid w:val="00D50B5A"/>
    <w:rsid w:val="00D54E8F"/>
    <w:rsid w:val="00D577D8"/>
    <w:rsid w:val="00D6395E"/>
    <w:rsid w:val="00D853B9"/>
    <w:rsid w:val="00D8705F"/>
    <w:rsid w:val="00D9268C"/>
    <w:rsid w:val="00D92C54"/>
    <w:rsid w:val="00D96F13"/>
    <w:rsid w:val="00DB0E07"/>
    <w:rsid w:val="00DB5868"/>
    <w:rsid w:val="00DB7D59"/>
    <w:rsid w:val="00DC1B1D"/>
    <w:rsid w:val="00DC2894"/>
    <w:rsid w:val="00DC5548"/>
    <w:rsid w:val="00DD0BCA"/>
    <w:rsid w:val="00DD0CB0"/>
    <w:rsid w:val="00DD308C"/>
    <w:rsid w:val="00DE4EE3"/>
    <w:rsid w:val="00DE5225"/>
    <w:rsid w:val="00DE7EA8"/>
    <w:rsid w:val="00DF61FA"/>
    <w:rsid w:val="00DF6772"/>
    <w:rsid w:val="00E01B5A"/>
    <w:rsid w:val="00E37BE0"/>
    <w:rsid w:val="00E415A8"/>
    <w:rsid w:val="00E43088"/>
    <w:rsid w:val="00E634E3"/>
    <w:rsid w:val="00E865D5"/>
    <w:rsid w:val="00E925FC"/>
    <w:rsid w:val="00EA13C7"/>
    <w:rsid w:val="00EA1E1D"/>
    <w:rsid w:val="00EA7BC7"/>
    <w:rsid w:val="00EB223D"/>
    <w:rsid w:val="00EC2463"/>
    <w:rsid w:val="00ED5F95"/>
    <w:rsid w:val="00EE1302"/>
    <w:rsid w:val="00EE7E70"/>
    <w:rsid w:val="00EF5060"/>
    <w:rsid w:val="00F010C4"/>
    <w:rsid w:val="00F01307"/>
    <w:rsid w:val="00F01342"/>
    <w:rsid w:val="00F04161"/>
    <w:rsid w:val="00F05E2E"/>
    <w:rsid w:val="00F16A95"/>
    <w:rsid w:val="00F252BA"/>
    <w:rsid w:val="00F460A4"/>
    <w:rsid w:val="00F511E9"/>
    <w:rsid w:val="00F610DF"/>
    <w:rsid w:val="00F63494"/>
    <w:rsid w:val="00F63588"/>
    <w:rsid w:val="00F64410"/>
    <w:rsid w:val="00F71B83"/>
    <w:rsid w:val="00F75BA8"/>
    <w:rsid w:val="00F85819"/>
    <w:rsid w:val="00F96183"/>
    <w:rsid w:val="00FA2C2D"/>
    <w:rsid w:val="00FA314B"/>
    <w:rsid w:val="00FB4F14"/>
    <w:rsid w:val="00FD5A65"/>
    <w:rsid w:val="00FD74A3"/>
    <w:rsid w:val="00FE5B63"/>
    <w:rsid w:val="00FE6201"/>
    <w:rsid w:val="00FF397D"/>
    <w:rsid w:val="00FF561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01DE0"/>
  <w15:docId w15:val="{94C393F8-234E-46BD-8A64-92DCA1D1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42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C133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1557AB"/>
    <w:rPr>
      <w:sz w:val="16"/>
      <w:szCs w:val="16"/>
    </w:rPr>
  </w:style>
  <w:style w:type="paragraph" w:styleId="Komentarotekstas">
    <w:name w:val="annotation text"/>
    <w:basedOn w:val="prastasis"/>
    <w:link w:val="KomentarotekstasDiagrama"/>
    <w:uiPriority w:val="99"/>
    <w:semiHidden/>
    <w:unhideWhenUsed/>
    <w:rsid w:val="001557AB"/>
    <w:rPr>
      <w:sz w:val="20"/>
      <w:szCs w:val="20"/>
    </w:rPr>
  </w:style>
  <w:style w:type="character" w:customStyle="1" w:styleId="KomentarotekstasDiagrama">
    <w:name w:val="Komentaro tekstas Diagrama"/>
    <w:basedOn w:val="Numatytasispastraiposriftas"/>
    <w:link w:val="Komentarotekstas"/>
    <w:uiPriority w:val="99"/>
    <w:semiHidden/>
    <w:rsid w:val="001557AB"/>
    <w:rPr>
      <w:sz w:val="20"/>
      <w:szCs w:val="20"/>
    </w:rPr>
  </w:style>
  <w:style w:type="paragraph" w:styleId="Komentarotema">
    <w:name w:val="annotation subject"/>
    <w:basedOn w:val="Komentarotekstas"/>
    <w:next w:val="Komentarotekstas"/>
    <w:link w:val="KomentarotemaDiagrama"/>
    <w:uiPriority w:val="99"/>
    <w:semiHidden/>
    <w:unhideWhenUsed/>
    <w:rsid w:val="001557AB"/>
    <w:rPr>
      <w:b/>
      <w:bCs/>
    </w:rPr>
  </w:style>
  <w:style w:type="character" w:customStyle="1" w:styleId="KomentarotemaDiagrama">
    <w:name w:val="Komentaro tema Diagrama"/>
    <w:basedOn w:val="KomentarotekstasDiagrama"/>
    <w:link w:val="Komentarotema"/>
    <w:uiPriority w:val="99"/>
    <w:semiHidden/>
    <w:rsid w:val="001557AB"/>
    <w:rPr>
      <w:b/>
      <w:bCs/>
      <w:sz w:val="20"/>
      <w:szCs w:val="20"/>
    </w:rPr>
  </w:style>
  <w:style w:type="paragraph" w:styleId="Debesliotekstas">
    <w:name w:val="Balloon Text"/>
    <w:basedOn w:val="prastasis"/>
    <w:link w:val="DebesliotekstasDiagrama"/>
    <w:uiPriority w:val="99"/>
    <w:semiHidden/>
    <w:unhideWhenUsed/>
    <w:rsid w:val="001557AB"/>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57AB"/>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1557AB"/>
    <w:pPr>
      <w:spacing w:after="0"/>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557AB"/>
    <w:rPr>
      <w:sz w:val="20"/>
      <w:szCs w:val="20"/>
    </w:rPr>
  </w:style>
  <w:style w:type="character" w:styleId="Puslapioinaosnuoroda">
    <w:name w:val="footnote reference"/>
    <w:basedOn w:val="Numatytasispastraiposriftas"/>
    <w:uiPriority w:val="99"/>
    <w:semiHidden/>
    <w:unhideWhenUsed/>
    <w:rsid w:val="001557AB"/>
    <w:rPr>
      <w:vertAlign w:val="superscript"/>
    </w:rPr>
  </w:style>
  <w:style w:type="paragraph" w:styleId="Antrats">
    <w:name w:val="header"/>
    <w:basedOn w:val="prastasis"/>
    <w:link w:val="AntratsDiagrama"/>
    <w:uiPriority w:val="99"/>
    <w:unhideWhenUsed/>
    <w:rsid w:val="0068519F"/>
    <w:pPr>
      <w:tabs>
        <w:tab w:val="center" w:pos="4819"/>
        <w:tab w:val="right" w:pos="9638"/>
      </w:tabs>
      <w:spacing w:after="0"/>
    </w:pPr>
  </w:style>
  <w:style w:type="character" w:customStyle="1" w:styleId="AntratsDiagrama">
    <w:name w:val="Antraštės Diagrama"/>
    <w:basedOn w:val="Numatytasispastraiposriftas"/>
    <w:link w:val="Antrats"/>
    <w:uiPriority w:val="99"/>
    <w:rsid w:val="0068519F"/>
  </w:style>
  <w:style w:type="paragraph" w:styleId="Porat">
    <w:name w:val="footer"/>
    <w:basedOn w:val="prastasis"/>
    <w:link w:val="PoratDiagrama"/>
    <w:uiPriority w:val="99"/>
    <w:unhideWhenUsed/>
    <w:rsid w:val="0068519F"/>
    <w:pPr>
      <w:tabs>
        <w:tab w:val="center" w:pos="4819"/>
        <w:tab w:val="right" w:pos="9638"/>
      </w:tabs>
      <w:spacing w:after="0"/>
    </w:pPr>
  </w:style>
  <w:style w:type="character" w:customStyle="1" w:styleId="PoratDiagrama">
    <w:name w:val="Poraštė Diagrama"/>
    <w:basedOn w:val="Numatytasispastraiposriftas"/>
    <w:link w:val="Porat"/>
    <w:uiPriority w:val="99"/>
    <w:rsid w:val="0068519F"/>
  </w:style>
  <w:style w:type="paragraph" w:styleId="Sraopastraipa">
    <w:name w:val="List Paragraph"/>
    <w:basedOn w:val="prastasis"/>
    <w:uiPriority w:val="34"/>
    <w:qFormat/>
    <w:rsid w:val="00D577D8"/>
    <w:pPr>
      <w:ind w:left="720"/>
      <w:contextualSpacing/>
    </w:pPr>
  </w:style>
  <w:style w:type="character" w:styleId="Hipersaitas">
    <w:name w:val="Hyperlink"/>
    <w:basedOn w:val="Numatytasispastraiposriftas"/>
    <w:uiPriority w:val="99"/>
    <w:unhideWhenUsed/>
    <w:rsid w:val="00835C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04232">
      <w:bodyDiv w:val="1"/>
      <w:marLeft w:val="0"/>
      <w:marRight w:val="0"/>
      <w:marTop w:val="0"/>
      <w:marBottom w:val="0"/>
      <w:divBdr>
        <w:top w:val="none" w:sz="0" w:space="0" w:color="auto"/>
        <w:left w:val="none" w:sz="0" w:space="0" w:color="auto"/>
        <w:bottom w:val="none" w:sz="0" w:space="0" w:color="auto"/>
        <w:right w:val="none" w:sz="0" w:space="0" w:color="auto"/>
      </w:divBdr>
    </w:div>
    <w:div w:id="133595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FF246-BA58-47A3-84E0-DEAF9DF5C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5791</Words>
  <Characters>3301</Characters>
  <Application>Microsoft Office Word</Application>
  <DocSecurity>4</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2021-12-17T14:14:00Z</dcterms:created>
  <dc:creator>Jolita Vasiliauskaitė</dc:creator>
  <cp:lastModifiedBy>Viktorija Trachimovič</cp:lastModifiedBy>
  <cp:lastPrinted>2018-02-13T12:34:00Z</cp:lastPrinted>
  <dcterms:modified xsi:type="dcterms:W3CDTF">2021-12-17T14:14:00Z</dcterms:modified>
  <cp:revision>2</cp:revision>
</cp:coreProperties>
</file>