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840DB0" w14:textId="77777777" w:rsidR="003B164A" w:rsidRDefault="003B164A" w:rsidP="003B164A">
      <w:pPr>
        <w:pStyle w:val="Header"/>
        <w:tabs>
          <w:tab w:val="left" w:pos="1134"/>
        </w:tabs>
        <w:spacing w:line="240" w:lineRule="atLeast"/>
        <w:ind w:firstLine="709"/>
        <w:jc w:val="right"/>
        <w:rPr>
          <w:b/>
          <w:spacing w:val="-4"/>
        </w:rPr>
      </w:pPr>
      <w:r>
        <w:rPr>
          <w:spacing w:val="-4"/>
        </w:rPr>
        <w:t xml:space="preserve">  </w:t>
      </w:r>
      <w:r>
        <w:rPr>
          <w:b/>
          <w:spacing w:val="-4"/>
        </w:rPr>
        <w:t>Projektas</w:t>
      </w:r>
    </w:p>
    <w:p w14:paraId="0C0E048A" w14:textId="77777777" w:rsidR="003B164A" w:rsidRDefault="003B164A" w:rsidP="003B164A">
      <w:pPr>
        <w:pStyle w:val="NormalWeb"/>
        <w:tabs>
          <w:tab w:val="left" w:pos="1134"/>
        </w:tabs>
        <w:spacing w:before="120" w:beforeAutospacing="0" w:after="0" w:afterAutospacing="0" w:line="240" w:lineRule="atLeast"/>
        <w:ind w:firstLine="709"/>
        <w:jc w:val="center"/>
        <w:rPr>
          <w:b/>
          <w:bCs/>
          <w:color w:val="000000"/>
          <w:spacing w:val="-4"/>
        </w:rPr>
      </w:pPr>
      <w:r>
        <w:rPr>
          <w:b/>
          <w:bCs/>
          <w:color w:val="000000"/>
          <w:spacing w:val="-4"/>
        </w:rPr>
        <w:t>LIETUVOS RESPUBLIKOS VYRIAUSYBĖS</w:t>
      </w:r>
    </w:p>
    <w:p w14:paraId="10D0CF51" w14:textId="77777777" w:rsidR="003B164A" w:rsidRDefault="003B164A" w:rsidP="003B164A">
      <w:pPr>
        <w:pStyle w:val="NormalWeb"/>
        <w:tabs>
          <w:tab w:val="left" w:pos="1134"/>
        </w:tabs>
        <w:spacing w:before="120" w:beforeAutospacing="0" w:after="0" w:afterAutospacing="0" w:line="240" w:lineRule="atLeast"/>
        <w:ind w:firstLine="709"/>
        <w:jc w:val="center"/>
        <w:rPr>
          <w:b/>
          <w:bCs/>
          <w:color w:val="000000"/>
          <w:spacing w:val="-4"/>
        </w:rPr>
      </w:pPr>
      <w:r>
        <w:rPr>
          <w:b/>
          <w:bCs/>
          <w:color w:val="000000"/>
          <w:spacing w:val="-4"/>
        </w:rPr>
        <w:t>PASITARIMO</w:t>
      </w:r>
    </w:p>
    <w:p w14:paraId="35AE1E35" w14:textId="77777777" w:rsidR="003B164A" w:rsidRDefault="003B164A" w:rsidP="003B164A">
      <w:pPr>
        <w:pStyle w:val="NormalWeb"/>
        <w:tabs>
          <w:tab w:val="left" w:pos="1134"/>
        </w:tabs>
        <w:spacing w:before="120" w:beforeAutospacing="0" w:after="0" w:afterAutospacing="0" w:line="240" w:lineRule="atLeast"/>
        <w:ind w:firstLine="709"/>
        <w:jc w:val="center"/>
        <w:rPr>
          <w:b/>
          <w:bCs/>
          <w:color w:val="000000"/>
          <w:spacing w:val="-4"/>
        </w:rPr>
      </w:pPr>
      <w:r>
        <w:rPr>
          <w:b/>
          <w:bCs/>
          <w:color w:val="000000"/>
          <w:spacing w:val="-4"/>
        </w:rPr>
        <w:t>PROTOKOLAS</w:t>
      </w:r>
    </w:p>
    <w:p w14:paraId="73C9B18A" w14:textId="77777777" w:rsidR="003B164A" w:rsidRDefault="003B164A" w:rsidP="003B164A">
      <w:pPr>
        <w:pStyle w:val="Header"/>
        <w:tabs>
          <w:tab w:val="left" w:pos="1134"/>
        </w:tabs>
        <w:ind w:firstLine="709"/>
        <w:jc w:val="center"/>
        <w:rPr>
          <w:color w:val="000000"/>
          <w:spacing w:val="-4"/>
        </w:rPr>
      </w:pPr>
    </w:p>
    <w:p w14:paraId="1BACF69E" w14:textId="77777777" w:rsidR="003B164A" w:rsidRDefault="003B164A" w:rsidP="003B164A">
      <w:pPr>
        <w:pStyle w:val="Header"/>
        <w:tabs>
          <w:tab w:val="left" w:pos="1134"/>
        </w:tabs>
        <w:ind w:firstLine="709"/>
        <w:jc w:val="center"/>
        <w:rPr>
          <w:color w:val="000000"/>
          <w:spacing w:val="-4"/>
        </w:rPr>
      </w:pPr>
    </w:p>
    <w:p w14:paraId="557DCC10" w14:textId="09EEDECD" w:rsidR="003B164A" w:rsidRDefault="003B164A" w:rsidP="003B164A">
      <w:pPr>
        <w:pStyle w:val="Header"/>
        <w:tabs>
          <w:tab w:val="left" w:pos="1134"/>
        </w:tabs>
        <w:ind w:firstLine="709"/>
        <w:jc w:val="center"/>
        <w:rPr>
          <w:color w:val="000000"/>
          <w:spacing w:val="-4"/>
        </w:rPr>
      </w:pPr>
      <w:r>
        <w:rPr>
          <w:color w:val="000000"/>
          <w:spacing w:val="-4"/>
        </w:rPr>
        <w:t>20</w:t>
      </w:r>
      <w:r>
        <w:rPr>
          <w:color w:val="000000"/>
          <w:spacing w:val="-4"/>
          <w:lang w:val="en-US"/>
        </w:rPr>
        <w:t>2</w:t>
      </w:r>
      <w:r>
        <w:rPr>
          <w:color w:val="000000"/>
          <w:spacing w:val="-4"/>
          <w:lang w:val="en-GB"/>
        </w:rPr>
        <w:t xml:space="preserve">1 </w:t>
      </w:r>
      <w:r>
        <w:rPr>
          <w:color w:val="000000"/>
          <w:spacing w:val="-4"/>
          <w:lang w:val="en-US"/>
        </w:rPr>
        <w:t xml:space="preserve"> </w:t>
      </w:r>
      <w:r>
        <w:rPr>
          <w:color w:val="000000"/>
          <w:spacing w:val="-4"/>
        </w:rPr>
        <w:t xml:space="preserve">m. </w:t>
      </w:r>
      <w:r>
        <w:rPr>
          <w:color w:val="000000"/>
          <w:spacing w:val="-4"/>
        </w:rPr>
        <w:t>gegužės</w:t>
      </w:r>
      <w:r>
        <w:rPr>
          <w:color w:val="000000"/>
          <w:spacing w:val="-4"/>
        </w:rPr>
        <w:t xml:space="preserve">        d.  Nr. </w:t>
      </w:r>
    </w:p>
    <w:p w14:paraId="560A5249" w14:textId="77777777" w:rsidR="003B164A" w:rsidRDefault="003B164A" w:rsidP="003B164A">
      <w:pPr>
        <w:pStyle w:val="Header"/>
        <w:tabs>
          <w:tab w:val="left" w:pos="1134"/>
        </w:tabs>
        <w:ind w:firstLine="709"/>
        <w:jc w:val="center"/>
        <w:rPr>
          <w:color w:val="000000"/>
          <w:spacing w:val="-4"/>
        </w:rPr>
      </w:pPr>
    </w:p>
    <w:p w14:paraId="65039781" w14:textId="31E76D21" w:rsidR="003B164A" w:rsidRDefault="003B164A" w:rsidP="003B164A">
      <w:pPr>
        <w:pStyle w:val="IntenseQuote"/>
        <w:framePr w:w="9635" w:wrap="notBeside"/>
        <w:tabs>
          <w:tab w:val="left" w:pos="1134"/>
        </w:tabs>
        <w:spacing w:before="0" w:after="0"/>
        <w:ind w:left="0" w:right="6"/>
      </w:pPr>
      <w:r>
        <w:t xml:space="preserve">Dėl priemonės </w:t>
      </w:r>
      <w:r>
        <w:rPr>
          <w:lang w:eastAsia="en-US"/>
        </w:rPr>
        <w:t>„</w:t>
      </w:r>
      <w:r>
        <w:rPr>
          <w:lang w:eastAsia="en-US"/>
        </w:rPr>
        <w:t>Turgavietės mokesčio kompensacija</w:t>
      </w:r>
      <w:r>
        <w:rPr>
          <w:lang w:eastAsia="en-US"/>
        </w:rPr>
        <w:t>“</w:t>
      </w:r>
      <w:r>
        <w:t xml:space="preserve"> koncepcijos patikslinimo</w:t>
      </w:r>
    </w:p>
    <w:p w14:paraId="55D819A9" w14:textId="77777777" w:rsidR="003B164A" w:rsidRDefault="003B164A" w:rsidP="003B164A">
      <w:pPr>
        <w:pStyle w:val="Header"/>
        <w:tabs>
          <w:tab w:val="left" w:pos="1134"/>
        </w:tabs>
        <w:ind w:firstLine="709"/>
        <w:jc w:val="center"/>
        <w:rPr>
          <w:color w:val="000000"/>
          <w:spacing w:val="-4"/>
        </w:rPr>
      </w:pPr>
    </w:p>
    <w:p w14:paraId="5E5D5484" w14:textId="2839D586" w:rsidR="003B164A" w:rsidRDefault="003B164A" w:rsidP="003B164A">
      <w:pPr>
        <w:numPr>
          <w:ilvl w:val="0"/>
          <w:numId w:val="10"/>
        </w:numPr>
        <w:tabs>
          <w:tab w:val="left" w:pos="810"/>
          <w:tab w:val="left" w:pos="1134"/>
        </w:tabs>
        <w:spacing w:line="360" w:lineRule="auto"/>
        <w:ind w:left="0" w:firstLine="709"/>
        <w:jc w:val="both"/>
      </w:pPr>
      <w:bookmarkStart w:id="0" w:name="_Hlk524437858"/>
      <w:r>
        <w:rPr>
          <w:bCs/>
        </w:rPr>
        <w:t xml:space="preserve">Pritarti patikslintai Ekonomikos ir inovacijų ministerijos pateiktai </w:t>
      </w:r>
      <w:bookmarkEnd w:id="0"/>
      <w:r>
        <w:rPr>
          <w:lang w:eastAsia="en-US"/>
        </w:rPr>
        <w:t>priemonės „</w:t>
      </w:r>
      <w:r>
        <w:rPr>
          <w:lang w:eastAsia="en-US"/>
        </w:rPr>
        <w:t>Turgavietės mokesčio kompensacija</w:t>
      </w:r>
      <w:r>
        <w:rPr>
          <w:lang w:eastAsia="en-US"/>
        </w:rPr>
        <w:t>“</w:t>
      </w:r>
      <w:r>
        <w:t xml:space="preserve"> koncepcijai (pridedama).</w:t>
      </w:r>
    </w:p>
    <w:p w14:paraId="3D8029EA" w14:textId="77777777" w:rsidR="003B164A" w:rsidRDefault="003B164A" w:rsidP="003B164A">
      <w:pPr>
        <w:numPr>
          <w:ilvl w:val="0"/>
          <w:numId w:val="10"/>
        </w:numPr>
        <w:tabs>
          <w:tab w:val="left" w:pos="709"/>
          <w:tab w:val="left" w:pos="810"/>
          <w:tab w:val="left" w:pos="1134"/>
        </w:tabs>
        <w:spacing w:line="360" w:lineRule="auto"/>
        <w:ind w:left="0" w:firstLine="709"/>
        <w:jc w:val="both"/>
      </w:pPr>
      <w:r>
        <w:t>Įpareigoti Ekonomikos ir inovacijų ministeriją ir kitas institucijas pagal kompetenciją parengti ir pateikti Vyriausybei koncepcijai įgyvendinti reikalingų teisės aktų projektus ir pagal kompetenciją priimti reikiamus sprendimus.</w:t>
      </w:r>
    </w:p>
    <w:p w14:paraId="78D4C74D" w14:textId="77777777" w:rsidR="003B164A" w:rsidRDefault="003B164A" w:rsidP="003B164A">
      <w:pPr>
        <w:pStyle w:val="xmsonormal"/>
        <w:ind w:left="1069"/>
        <w:jc w:val="both"/>
      </w:pPr>
    </w:p>
    <w:p w14:paraId="15EED840" w14:textId="77777777" w:rsidR="003B164A" w:rsidRDefault="003B164A" w:rsidP="003B164A">
      <w:pPr>
        <w:tabs>
          <w:tab w:val="left" w:pos="567"/>
          <w:tab w:val="left" w:pos="709"/>
          <w:tab w:val="left" w:pos="1134"/>
        </w:tabs>
        <w:spacing w:line="360" w:lineRule="auto"/>
        <w:ind w:firstLine="709"/>
        <w:jc w:val="both"/>
        <w:rPr>
          <w:lang w:eastAsia="en-US"/>
        </w:rPr>
      </w:pPr>
    </w:p>
    <w:tbl>
      <w:tblPr>
        <w:tblW w:w="5000" w:type="pct"/>
        <w:tblCellSpacing w:w="15" w:type="dxa"/>
        <w:tblLook w:val="04A0" w:firstRow="1" w:lastRow="0" w:firstColumn="1" w:lastColumn="0" w:noHBand="0" w:noVBand="1"/>
      </w:tblPr>
      <w:tblGrid>
        <w:gridCol w:w="6666"/>
        <w:gridCol w:w="2972"/>
      </w:tblGrid>
      <w:tr w:rsidR="003B164A" w14:paraId="23F7F1A4" w14:textId="77777777" w:rsidTr="003B164A">
        <w:trPr>
          <w:tblCellSpacing w:w="15" w:type="dxa"/>
        </w:trPr>
        <w:tc>
          <w:tcPr>
            <w:tcW w:w="3435" w:type="pct"/>
            <w:tcMar>
              <w:top w:w="15" w:type="dxa"/>
              <w:left w:w="15" w:type="dxa"/>
              <w:bottom w:w="15" w:type="dxa"/>
              <w:right w:w="15" w:type="dxa"/>
            </w:tcMar>
            <w:vAlign w:val="center"/>
          </w:tcPr>
          <w:p w14:paraId="06EACBB9" w14:textId="77777777" w:rsidR="003B164A" w:rsidRDefault="003B164A">
            <w:pPr>
              <w:tabs>
                <w:tab w:val="left" w:pos="1134"/>
              </w:tabs>
              <w:spacing w:line="360" w:lineRule="auto"/>
              <w:ind w:firstLine="709"/>
              <w:jc w:val="both"/>
              <w:rPr>
                <w:color w:val="000000"/>
              </w:rPr>
            </w:pPr>
          </w:p>
          <w:p w14:paraId="78961BB8" w14:textId="77777777" w:rsidR="003B164A" w:rsidRDefault="003B164A">
            <w:pPr>
              <w:tabs>
                <w:tab w:val="left" w:pos="1134"/>
              </w:tabs>
              <w:spacing w:line="360" w:lineRule="auto"/>
              <w:ind w:firstLine="709"/>
              <w:jc w:val="both"/>
              <w:rPr>
                <w:color w:val="000000"/>
              </w:rPr>
            </w:pPr>
            <w:r>
              <w:rPr>
                <w:color w:val="000000"/>
              </w:rPr>
              <w:t>Ministras Pirmininkas  </w:t>
            </w:r>
          </w:p>
        </w:tc>
        <w:tc>
          <w:tcPr>
            <w:tcW w:w="1519" w:type="pct"/>
            <w:tcMar>
              <w:top w:w="15" w:type="dxa"/>
              <w:left w:w="15" w:type="dxa"/>
              <w:bottom w:w="15" w:type="dxa"/>
              <w:right w:w="15" w:type="dxa"/>
            </w:tcMar>
            <w:vAlign w:val="center"/>
          </w:tcPr>
          <w:p w14:paraId="31B265CB" w14:textId="77777777" w:rsidR="003B164A" w:rsidRDefault="003B164A">
            <w:pPr>
              <w:tabs>
                <w:tab w:val="left" w:pos="1134"/>
              </w:tabs>
              <w:spacing w:line="360" w:lineRule="auto"/>
              <w:ind w:firstLine="709"/>
              <w:jc w:val="both"/>
              <w:rPr>
                <w:color w:val="FF0000"/>
              </w:rPr>
            </w:pPr>
          </w:p>
        </w:tc>
      </w:tr>
    </w:tbl>
    <w:p w14:paraId="79FDF2B2" w14:textId="77777777" w:rsidR="003B164A" w:rsidRDefault="003B164A" w:rsidP="003B164A">
      <w:pPr>
        <w:tabs>
          <w:tab w:val="left" w:pos="1134"/>
        </w:tabs>
        <w:spacing w:line="360" w:lineRule="auto"/>
        <w:ind w:firstLine="709"/>
      </w:pPr>
    </w:p>
    <w:p w14:paraId="1E5499DE" w14:textId="77777777" w:rsidR="003B164A" w:rsidRDefault="003B164A" w:rsidP="003B164A">
      <w:pPr>
        <w:tabs>
          <w:tab w:val="left" w:pos="1134"/>
        </w:tabs>
        <w:spacing w:line="360" w:lineRule="auto"/>
        <w:ind w:firstLine="709"/>
      </w:pPr>
    </w:p>
    <w:p w14:paraId="5C6A74B3" w14:textId="77777777" w:rsidR="003B164A" w:rsidRDefault="003B164A" w:rsidP="008670B8">
      <w:pPr>
        <w:tabs>
          <w:tab w:val="left" w:pos="4536"/>
        </w:tabs>
        <w:ind w:firstLine="4536"/>
        <w:rPr>
          <w:rFonts w:eastAsia="Calibri"/>
        </w:rPr>
        <w:sectPr w:rsidR="003B164A" w:rsidSect="001B17F1">
          <w:pgSz w:w="11906" w:h="16838"/>
          <w:pgMar w:top="993" w:right="567" w:bottom="1134" w:left="1701" w:header="567" w:footer="567" w:gutter="0"/>
          <w:cols w:space="1296"/>
          <w:docGrid w:linePitch="360"/>
        </w:sectPr>
      </w:pPr>
    </w:p>
    <w:p w14:paraId="5E3DD091" w14:textId="5ECC3DC4" w:rsidR="008670B8" w:rsidRDefault="008670B8" w:rsidP="008670B8">
      <w:pPr>
        <w:tabs>
          <w:tab w:val="left" w:pos="4536"/>
        </w:tabs>
        <w:ind w:firstLine="4536"/>
        <w:rPr>
          <w:rFonts w:eastAsia="Calibri"/>
        </w:rPr>
      </w:pPr>
      <w:r>
        <w:rPr>
          <w:rFonts w:eastAsia="Calibri"/>
        </w:rPr>
        <w:t>Lietuvos Respublikos Vyriausybės</w:t>
      </w:r>
    </w:p>
    <w:p w14:paraId="04774663" w14:textId="71B93197" w:rsidR="008670B8" w:rsidRDefault="008670B8" w:rsidP="008670B8">
      <w:pPr>
        <w:tabs>
          <w:tab w:val="left" w:pos="4536"/>
        </w:tabs>
        <w:ind w:left="4536"/>
        <w:rPr>
          <w:rFonts w:eastAsia="Calibri"/>
        </w:rPr>
      </w:pPr>
      <w:r>
        <w:rPr>
          <w:rFonts w:eastAsia="Calibri"/>
        </w:rPr>
        <w:t>2021 m. d. pasitarimo sprendimo</w:t>
      </w:r>
    </w:p>
    <w:p w14:paraId="6D2E323A" w14:textId="51A0BC9C" w:rsidR="008670B8" w:rsidRDefault="008670B8" w:rsidP="008670B8">
      <w:pPr>
        <w:tabs>
          <w:tab w:val="left" w:pos="4536"/>
        </w:tabs>
        <w:ind w:left="4536"/>
        <w:rPr>
          <w:rFonts w:eastAsia="Calibri"/>
        </w:rPr>
      </w:pPr>
      <w:r>
        <w:rPr>
          <w:rFonts w:eastAsia="Calibri"/>
        </w:rPr>
        <w:t xml:space="preserve">(protokolo Nr. </w:t>
      </w:r>
      <w:r w:rsidR="00D32D47">
        <w:rPr>
          <w:rFonts w:eastAsia="Calibri"/>
          <w:lang w:val="en-US"/>
        </w:rPr>
        <w:t xml:space="preserve"> </w:t>
      </w:r>
      <w:proofErr w:type="gramStart"/>
      <w:r>
        <w:rPr>
          <w:rFonts w:eastAsia="Calibri"/>
          <w:lang w:val="en-US"/>
        </w:rPr>
        <w:t xml:space="preserve">, </w:t>
      </w:r>
      <w:r w:rsidR="00D32D47">
        <w:rPr>
          <w:rFonts w:eastAsia="Calibri"/>
          <w:lang w:val="en-US"/>
        </w:rPr>
        <w:t xml:space="preserve">  </w:t>
      </w:r>
      <w:proofErr w:type="gramEnd"/>
      <w:r>
        <w:rPr>
          <w:rFonts w:eastAsia="Calibri"/>
        </w:rPr>
        <w:t>klausimas)</w:t>
      </w:r>
    </w:p>
    <w:p w14:paraId="26CB2B47" w14:textId="7E1D9DA3" w:rsidR="008670B8" w:rsidRPr="008670B8" w:rsidRDefault="008670B8" w:rsidP="001E0EAF">
      <w:pPr>
        <w:tabs>
          <w:tab w:val="left" w:pos="4536"/>
        </w:tabs>
        <w:ind w:left="4536"/>
        <w:rPr>
          <w:rFonts w:eastAsia="Calibri"/>
        </w:rPr>
      </w:pPr>
      <w:r>
        <w:rPr>
          <w:rFonts w:eastAsia="Calibri"/>
        </w:rPr>
        <w:t>priedas</w:t>
      </w:r>
    </w:p>
    <w:p w14:paraId="0DB5A5C7" w14:textId="078B322C" w:rsidR="008670B8" w:rsidRDefault="008670B8" w:rsidP="004370EA">
      <w:pPr>
        <w:ind w:left="-993"/>
        <w:jc w:val="center"/>
        <w:rPr>
          <w:rFonts w:eastAsia="Calibri"/>
        </w:rPr>
      </w:pPr>
    </w:p>
    <w:p w14:paraId="02106BB9" w14:textId="77777777" w:rsidR="008670B8" w:rsidRDefault="008670B8" w:rsidP="004370EA">
      <w:pPr>
        <w:ind w:left="-993"/>
        <w:jc w:val="center"/>
        <w:rPr>
          <w:b/>
        </w:rPr>
      </w:pPr>
    </w:p>
    <w:p w14:paraId="692C0971" w14:textId="5E553C37" w:rsidR="004370EA" w:rsidRPr="00A52680" w:rsidRDefault="00AE5651" w:rsidP="003B164A">
      <w:pPr>
        <w:ind w:left="-993"/>
        <w:jc w:val="both"/>
        <w:rPr>
          <w:b/>
        </w:rPr>
      </w:pPr>
      <w:r w:rsidRPr="003E1537">
        <w:rPr>
          <w:b/>
        </w:rPr>
        <w:t>PRIEMONĖS „TURGAVIETĖS MOKESČIO KOMPENSACIJA“</w:t>
      </w:r>
      <w:r w:rsidR="004370EA" w:rsidRPr="003E1537">
        <w:rPr>
          <w:b/>
        </w:rPr>
        <w:t xml:space="preserve"> </w:t>
      </w:r>
      <w:r w:rsidR="004370EA" w:rsidRPr="00A52680">
        <w:rPr>
          <w:b/>
        </w:rPr>
        <w:t xml:space="preserve">KONCEPCIJA (IKI </w:t>
      </w:r>
      <w:r w:rsidRPr="00A52680">
        <w:rPr>
          <w:b/>
        </w:rPr>
        <w:t>2</w:t>
      </w:r>
      <w:r w:rsidR="004843C3">
        <w:rPr>
          <w:b/>
        </w:rPr>
        <w:t>,</w:t>
      </w:r>
      <w:r w:rsidR="006A35FC">
        <w:rPr>
          <w:b/>
          <w:lang w:val="en-US"/>
        </w:rPr>
        <w:t>3</w:t>
      </w:r>
      <w:r w:rsidR="004843C3" w:rsidRPr="003E1537">
        <w:rPr>
          <w:rFonts w:eastAsia="Calibri"/>
        </w:rPr>
        <w:t> </w:t>
      </w:r>
      <w:r w:rsidR="004370EA" w:rsidRPr="00A52680">
        <w:rPr>
          <w:b/>
        </w:rPr>
        <w:t>MLN.</w:t>
      </w:r>
      <w:r w:rsidR="004843C3" w:rsidRPr="004843C3">
        <w:rPr>
          <w:rFonts w:eastAsia="Calibri"/>
        </w:rPr>
        <w:t xml:space="preserve"> </w:t>
      </w:r>
      <w:r w:rsidR="004843C3" w:rsidRPr="003E1537">
        <w:rPr>
          <w:rFonts w:eastAsia="Calibri"/>
        </w:rPr>
        <w:t> </w:t>
      </w:r>
      <w:r w:rsidR="004370EA" w:rsidRPr="00A52680">
        <w:rPr>
          <w:b/>
        </w:rPr>
        <w:t>EUR)</w:t>
      </w:r>
    </w:p>
    <w:p w14:paraId="5973293D" w14:textId="77777777" w:rsidR="004370EA" w:rsidRPr="00A52680" w:rsidRDefault="004370EA" w:rsidP="004370EA">
      <w:pPr>
        <w:ind w:left="-993"/>
        <w:jc w:val="center"/>
        <w:rPr>
          <w:b/>
        </w:rPr>
      </w:pPr>
    </w:p>
    <w:p w14:paraId="72963927" w14:textId="77777777" w:rsidR="008116B2" w:rsidRDefault="00FD00EA" w:rsidP="004370EA">
      <w:pPr>
        <w:ind w:left="-992"/>
        <w:jc w:val="both"/>
        <w:rPr>
          <w:b/>
        </w:rPr>
      </w:pPr>
      <w:r w:rsidRPr="00A52680">
        <w:rPr>
          <w:b/>
        </w:rPr>
        <w:t xml:space="preserve">Kompensacijos </w:t>
      </w:r>
      <w:r w:rsidR="004370EA" w:rsidRPr="00A52680">
        <w:rPr>
          <w:b/>
        </w:rPr>
        <w:t>būtų teikiamos pagal vieną</w:t>
      </w:r>
      <w:r w:rsidR="002D363C" w:rsidRPr="00A52680">
        <w:rPr>
          <w:b/>
        </w:rPr>
        <w:t xml:space="preserve"> </w:t>
      </w:r>
      <w:r w:rsidR="004370EA" w:rsidRPr="00A52680">
        <w:rPr>
          <w:b/>
        </w:rPr>
        <w:t xml:space="preserve">kvietimą, </w:t>
      </w:r>
      <w:r w:rsidR="00D029AF" w:rsidRPr="00A52680">
        <w:rPr>
          <w:b/>
        </w:rPr>
        <w:t xml:space="preserve">skirtą </w:t>
      </w:r>
      <w:r w:rsidRPr="00A52680">
        <w:rPr>
          <w:b/>
        </w:rPr>
        <w:t>turgavietės prekiautojams</w:t>
      </w:r>
      <w:r w:rsidR="00D029AF" w:rsidRPr="00A52680">
        <w:rPr>
          <w:b/>
        </w:rPr>
        <w:t xml:space="preserve">. </w:t>
      </w:r>
    </w:p>
    <w:p w14:paraId="3201E64C" w14:textId="07397951" w:rsidR="004370EA" w:rsidRPr="00A52680" w:rsidRDefault="004370EA" w:rsidP="004370EA">
      <w:pPr>
        <w:ind w:left="-992"/>
        <w:jc w:val="both"/>
      </w:pPr>
      <w:r w:rsidRPr="00A52680">
        <w:t xml:space="preserve">Kvietimui numatoma skirti </w:t>
      </w:r>
      <w:r w:rsidR="00FD00EA" w:rsidRPr="008116B2">
        <w:rPr>
          <w:b/>
          <w:bCs/>
        </w:rPr>
        <w:t>2</w:t>
      </w:r>
      <w:r w:rsidR="004843C3">
        <w:rPr>
          <w:b/>
          <w:bCs/>
        </w:rPr>
        <w:t>,</w:t>
      </w:r>
      <w:r w:rsidR="006A35FC">
        <w:rPr>
          <w:b/>
          <w:bCs/>
        </w:rPr>
        <w:t>3</w:t>
      </w:r>
      <w:r w:rsidR="00FD00EA" w:rsidRPr="008116B2">
        <w:rPr>
          <w:b/>
          <w:bCs/>
        </w:rPr>
        <w:t xml:space="preserve"> </w:t>
      </w:r>
      <w:r w:rsidRPr="008116B2">
        <w:rPr>
          <w:b/>
          <w:bCs/>
        </w:rPr>
        <w:t>m</w:t>
      </w:r>
      <w:r w:rsidRPr="00A52680">
        <w:rPr>
          <w:b/>
        </w:rPr>
        <w:t>ln. Eur</w:t>
      </w:r>
    </w:p>
    <w:p w14:paraId="0DECC2FC" w14:textId="62FABE30" w:rsidR="004370EA" w:rsidRPr="00A52680" w:rsidRDefault="004370EA" w:rsidP="004370EA">
      <w:pPr>
        <w:ind w:left="-992"/>
        <w:jc w:val="both"/>
        <w:rPr>
          <w:b/>
        </w:rPr>
      </w:pPr>
    </w:p>
    <w:tbl>
      <w:tblPr>
        <w:tblStyle w:val="TableGrid"/>
        <w:tblW w:w="0" w:type="auto"/>
        <w:tblInd w:w="-885" w:type="dxa"/>
        <w:tblLook w:val="04A0" w:firstRow="1" w:lastRow="0" w:firstColumn="1" w:lastColumn="0" w:noHBand="0" w:noVBand="1"/>
      </w:tblPr>
      <w:tblGrid>
        <w:gridCol w:w="7117"/>
        <w:gridCol w:w="3396"/>
      </w:tblGrid>
      <w:tr w:rsidR="004370EA" w:rsidRPr="00A52680" w14:paraId="47629BF6" w14:textId="77777777" w:rsidTr="2BA0103E">
        <w:tc>
          <w:tcPr>
            <w:tcW w:w="7117" w:type="dxa"/>
            <w:tcBorders>
              <w:top w:val="single" w:sz="4" w:space="0" w:color="auto"/>
              <w:left w:val="single" w:sz="4" w:space="0" w:color="auto"/>
              <w:bottom w:val="single" w:sz="4" w:space="0" w:color="auto"/>
              <w:right w:val="single" w:sz="4" w:space="0" w:color="auto"/>
            </w:tcBorders>
            <w:hideMark/>
          </w:tcPr>
          <w:p w14:paraId="4F00FB10" w14:textId="77777777" w:rsidR="004370EA" w:rsidRPr="00A52680" w:rsidRDefault="004370EA">
            <w:pPr>
              <w:rPr>
                <w:b/>
              </w:rPr>
            </w:pPr>
            <w:r w:rsidRPr="00A52680">
              <w:rPr>
                <w:b/>
              </w:rPr>
              <w:t>Priemonės elementai ir jų pagrindimas</w:t>
            </w:r>
          </w:p>
        </w:tc>
        <w:tc>
          <w:tcPr>
            <w:tcW w:w="3396" w:type="dxa"/>
            <w:tcBorders>
              <w:top w:val="single" w:sz="4" w:space="0" w:color="auto"/>
              <w:left w:val="single" w:sz="4" w:space="0" w:color="auto"/>
              <w:bottom w:val="single" w:sz="4" w:space="0" w:color="auto"/>
              <w:right w:val="single" w:sz="4" w:space="0" w:color="auto"/>
            </w:tcBorders>
            <w:hideMark/>
          </w:tcPr>
          <w:p w14:paraId="73AC7385" w14:textId="77777777" w:rsidR="004370EA" w:rsidRPr="00A52680" w:rsidRDefault="004370EA">
            <w:pPr>
              <w:rPr>
                <w:b/>
                <w:bCs/>
              </w:rPr>
            </w:pPr>
            <w:r w:rsidRPr="00A52680">
              <w:rPr>
                <w:b/>
                <w:bCs/>
              </w:rPr>
              <w:t xml:space="preserve">Valstybės biudžeto lėšų suma </w:t>
            </w:r>
          </w:p>
          <w:p w14:paraId="39D8A5EF" w14:textId="730582CA" w:rsidR="004370EA" w:rsidRPr="00A52680" w:rsidRDefault="004370EA" w:rsidP="00DB65C4">
            <w:pPr>
              <w:rPr>
                <w:b/>
              </w:rPr>
            </w:pPr>
            <w:r w:rsidRPr="00A52680">
              <w:rPr>
                <w:b/>
                <w:bCs/>
              </w:rPr>
              <w:t xml:space="preserve">2021 m. </w:t>
            </w:r>
            <w:r w:rsidRPr="00A52680">
              <w:rPr>
                <w:b/>
              </w:rPr>
              <w:t xml:space="preserve">(iki </w:t>
            </w:r>
            <w:r w:rsidR="00774350" w:rsidRPr="00A52680">
              <w:rPr>
                <w:b/>
              </w:rPr>
              <w:t xml:space="preserve">2 </w:t>
            </w:r>
            <w:r w:rsidRPr="00A52680">
              <w:rPr>
                <w:b/>
              </w:rPr>
              <w:t>mln. Eur)</w:t>
            </w:r>
          </w:p>
        </w:tc>
      </w:tr>
      <w:tr w:rsidR="004370EA" w:rsidRPr="003E1537" w14:paraId="5D34E279" w14:textId="77777777" w:rsidTr="2BA0103E">
        <w:trPr>
          <w:trHeight w:val="2871"/>
        </w:trPr>
        <w:tc>
          <w:tcPr>
            <w:tcW w:w="7117" w:type="dxa"/>
            <w:tcBorders>
              <w:top w:val="single" w:sz="4" w:space="0" w:color="auto"/>
              <w:left w:val="single" w:sz="4" w:space="0" w:color="auto"/>
              <w:bottom w:val="single" w:sz="4" w:space="0" w:color="auto"/>
              <w:right w:val="single" w:sz="4" w:space="0" w:color="auto"/>
            </w:tcBorders>
          </w:tcPr>
          <w:p w14:paraId="2D0619EA" w14:textId="77777777" w:rsidR="004370EA" w:rsidRPr="00A52680" w:rsidRDefault="004370EA">
            <w:pPr>
              <w:jc w:val="both"/>
              <w:rPr>
                <w:b/>
                <w:i/>
              </w:rPr>
            </w:pPr>
            <w:r w:rsidRPr="00A52680">
              <w:rPr>
                <w:b/>
                <w:i/>
              </w:rPr>
              <w:t>Priemonės problematika ir būtinumas</w:t>
            </w:r>
          </w:p>
          <w:p w14:paraId="5E1CEEE9" w14:textId="06F40278" w:rsidR="004370EA" w:rsidRPr="00A52680" w:rsidRDefault="2BA0103E">
            <w:pPr>
              <w:jc w:val="both"/>
            </w:pPr>
            <w:r w:rsidRPr="00A52680">
              <w:t xml:space="preserve">Lietuvos Respublikos teritorijoje Vyriausybės 2020 m. lapkričio 4 d. nutarimu Nr. 1226 „Dėl karantino Lietuvos Respublikos teritorijoje paskelbimo“ (toliau </w:t>
            </w:r>
            <w:r w:rsidRPr="00A52680">
              <w:rPr>
                <w:rStyle w:val="Strong"/>
              </w:rPr>
              <w:t>–</w:t>
            </w:r>
            <w:r w:rsidRPr="00A52680">
              <w:t xml:space="preserve"> Nutarimas Nr. 1226) paskelbtas karantinas ir dėl to apribota tam tikrų ūkio subjektų veikla. </w:t>
            </w:r>
          </w:p>
          <w:p w14:paraId="170656BC" w14:textId="77777777" w:rsidR="004370EA" w:rsidRPr="00A52680" w:rsidRDefault="004370EA">
            <w:pPr>
              <w:jc w:val="both"/>
            </w:pPr>
          </w:p>
          <w:p w14:paraId="693A27F6" w14:textId="2C7C3FBC" w:rsidR="004370EA" w:rsidRPr="00A52680" w:rsidRDefault="004370EA" w:rsidP="00D029AF">
            <w:pPr>
              <w:spacing w:after="120"/>
              <w:jc w:val="both"/>
            </w:pPr>
            <w:r w:rsidRPr="00A52680">
              <w:rPr>
                <w:b/>
                <w:color w:val="000000"/>
              </w:rPr>
              <w:t xml:space="preserve">Priemonės tikslas – </w:t>
            </w:r>
            <w:r w:rsidR="00E46E74" w:rsidRPr="00A52680">
              <w:t>padėti turgaviečių prekiautojams įveikti koronaviruso (COVID-19) sukeltas neigiamas pasekmes ir užtikrinti turgavietės prekiautojų likvidumą</w:t>
            </w:r>
            <w:r w:rsidR="00E46E74" w:rsidRPr="00A52680">
              <w:rPr>
                <w:i/>
                <w:iCs/>
              </w:rPr>
              <w:t>.</w:t>
            </w:r>
          </w:p>
        </w:tc>
        <w:tc>
          <w:tcPr>
            <w:tcW w:w="3396" w:type="dxa"/>
            <w:vMerge w:val="restart"/>
            <w:tcBorders>
              <w:top w:val="single" w:sz="4" w:space="0" w:color="auto"/>
              <w:left w:val="single" w:sz="4" w:space="0" w:color="auto"/>
              <w:bottom w:val="single" w:sz="4" w:space="0" w:color="auto"/>
              <w:right w:val="single" w:sz="4" w:space="0" w:color="auto"/>
            </w:tcBorders>
            <w:hideMark/>
          </w:tcPr>
          <w:p w14:paraId="771BF503" w14:textId="77777777" w:rsidR="004370EA" w:rsidRPr="00A52680" w:rsidRDefault="004370EA">
            <w:pPr>
              <w:suppressAutoHyphens/>
              <w:autoSpaceDE w:val="0"/>
              <w:autoSpaceDN w:val="0"/>
              <w:adjustRightInd w:val="0"/>
              <w:textAlignment w:val="center"/>
              <w:rPr>
                <w:b/>
                <w:color w:val="000000"/>
              </w:rPr>
            </w:pPr>
            <w:r w:rsidRPr="00A52680">
              <w:rPr>
                <w:b/>
                <w:color w:val="000000"/>
              </w:rPr>
              <w:t>Priemonės teisinis pagrindas</w:t>
            </w:r>
          </w:p>
          <w:p w14:paraId="06935C78" w14:textId="77777777" w:rsidR="004370EA" w:rsidRPr="003E1537" w:rsidRDefault="002F3419">
            <w:pPr>
              <w:pStyle w:val="Default"/>
              <w:jc w:val="both"/>
            </w:pPr>
            <w:r w:rsidRPr="00A52680">
              <w:t xml:space="preserve">2013 m. gruodžio 18 d. Komisijos reglamentą (ES) Nr. 1407/2013 dėl Sutarties dėl Europos Sąjungos veikimo 107 ir 108 straipsnių taikymo </w:t>
            </w:r>
            <w:r w:rsidRPr="00A52680">
              <w:rPr>
                <w:i/>
                <w:iCs/>
              </w:rPr>
              <w:t xml:space="preserve">de </w:t>
            </w:r>
            <w:proofErr w:type="spellStart"/>
            <w:r w:rsidRPr="00A52680">
              <w:rPr>
                <w:i/>
                <w:iCs/>
              </w:rPr>
              <w:t>minimis</w:t>
            </w:r>
            <w:proofErr w:type="spellEnd"/>
            <w:r w:rsidRPr="00A52680">
              <w:t xml:space="preserve"> pagalbai (toliau – </w:t>
            </w:r>
            <w:r w:rsidRPr="00A52680">
              <w:rPr>
                <w:i/>
              </w:rPr>
              <w:t xml:space="preserve">de </w:t>
            </w:r>
            <w:proofErr w:type="spellStart"/>
            <w:r w:rsidRPr="00A52680">
              <w:rPr>
                <w:i/>
              </w:rPr>
              <w:t>minimis</w:t>
            </w:r>
            <w:proofErr w:type="spellEnd"/>
            <w:r w:rsidRPr="00A52680">
              <w:t xml:space="preserve"> reglamentas).</w:t>
            </w:r>
          </w:p>
          <w:p w14:paraId="5E4F1C1E" w14:textId="77777777" w:rsidR="000536A6" w:rsidRPr="003E1537" w:rsidRDefault="000536A6">
            <w:pPr>
              <w:pStyle w:val="Default"/>
              <w:jc w:val="both"/>
            </w:pPr>
          </w:p>
          <w:p w14:paraId="1BF69167" w14:textId="77777777" w:rsidR="000536A6" w:rsidRPr="003E1537" w:rsidRDefault="000536A6" w:rsidP="006D2D0F">
            <w:pPr>
              <w:jc w:val="both"/>
            </w:pPr>
          </w:p>
        </w:tc>
      </w:tr>
      <w:tr w:rsidR="004370EA" w:rsidRPr="003E1537" w14:paraId="3746594E" w14:textId="77777777" w:rsidTr="2BA0103E">
        <w:trPr>
          <w:trHeight w:val="377"/>
        </w:trPr>
        <w:tc>
          <w:tcPr>
            <w:tcW w:w="7117" w:type="dxa"/>
            <w:tcBorders>
              <w:top w:val="single" w:sz="4" w:space="0" w:color="auto"/>
              <w:left w:val="single" w:sz="4" w:space="0" w:color="auto"/>
              <w:bottom w:val="single" w:sz="4" w:space="0" w:color="auto"/>
              <w:right w:val="single" w:sz="4" w:space="0" w:color="auto"/>
            </w:tcBorders>
          </w:tcPr>
          <w:p w14:paraId="50E135CA" w14:textId="16A9E9BE" w:rsidR="004370EA" w:rsidRPr="003E1537" w:rsidRDefault="00473F2C" w:rsidP="007D26C4">
            <w:pPr>
              <w:jc w:val="both"/>
              <w:rPr>
                <w:b/>
                <w:bCs/>
                <w:i/>
              </w:rPr>
            </w:pPr>
            <w:r w:rsidRPr="003E1537">
              <w:rPr>
                <w:b/>
                <w:bCs/>
                <w:i/>
              </w:rPr>
              <w:t>Tinkam</w:t>
            </w:r>
            <w:r w:rsidR="00E46E74" w:rsidRPr="003E1537">
              <w:rPr>
                <w:b/>
                <w:bCs/>
                <w:i/>
              </w:rPr>
              <w:t>as</w:t>
            </w:r>
            <w:r w:rsidRPr="003E1537">
              <w:rPr>
                <w:b/>
                <w:bCs/>
                <w:i/>
              </w:rPr>
              <w:t xml:space="preserve"> p</w:t>
            </w:r>
            <w:r w:rsidR="004370EA" w:rsidRPr="003E1537">
              <w:rPr>
                <w:b/>
                <w:bCs/>
                <w:i/>
              </w:rPr>
              <w:t>areiškėja</w:t>
            </w:r>
            <w:r w:rsidR="00E46E74" w:rsidRPr="003E1537">
              <w:rPr>
                <w:b/>
                <w:bCs/>
                <w:i/>
              </w:rPr>
              <w:t>s</w:t>
            </w:r>
            <w:r w:rsidR="004370EA" w:rsidRPr="003E1537">
              <w:rPr>
                <w:b/>
                <w:bCs/>
                <w:i/>
              </w:rPr>
              <w:t>:</w:t>
            </w:r>
          </w:p>
          <w:p w14:paraId="5824BEFB" w14:textId="2F8DFB75" w:rsidR="00D32D47" w:rsidRDefault="00E46E74" w:rsidP="00BD7FB0">
            <w:pPr>
              <w:pStyle w:val="CommentText"/>
              <w:jc w:val="both"/>
              <w:rPr>
                <w:rStyle w:val="Strong"/>
                <w:sz w:val="24"/>
                <w:szCs w:val="24"/>
              </w:rPr>
            </w:pPr>
            <w:r w:rsidRPr="003E1537">
              <w:rPr>
                <w:rStyle w:val="Strong"/>
                <w:sz w:val="24"/>
                <w:szCs w:val="24"/>
              </w:rPr>
              <w:t>Turgavietės prekiautojas</w:t>
            </w:r>
            <w:r w:rsidR="007C60AB" w:rsidRPr="00FF4634">
              <w:rPr>
                <w:rFonts w:eastAsia="Calibri"/>
              </w:rPr>
              <w:t xml:space="preserve"> </w:t>
            </w:r>
            <w:r w:rsidR="007C60AB" w:rsidRPr="003B164A">
              <w:rPr>
                <w:rFonts w:eastAsia="Calibri"/>
                <w:sz w:val="24"/>
                <w:szCs w:val="24"/>
              </w:rPr>
              <w:t xml:space="preserve">prekiauja ne maisto produktais turgavietėje ir atitinka bent vieną iš </w:t>
            </w:r>
            <w:r w:rsidR="006A35FC">
              <w:rPr>
                <w:rFonts w:eastAsia="Calibri"/>
                <w:sz w:val="24"/>
                <w:szCs w:val="24"/>
              </w:rPr>
              <w:t>toliau</w:t>
            </w:r>
            <w:r w:rsidR="007C60AB" w:rsidRPr="003B164A">
              <w:rPr>
                <w:rFonts w:eastAsia="Calibri"/>
                <w:sz w:val="24"/>
                <w:szCs w:val="24"/>
              </w:rPr>
              <w:t xml:space="preserve"> nurodytų sąlygų</w:t>
            </w:r>
            <w:r w:rsidR="00D32D47" w:rsidRPr="006A35FC">
              <w:rPr>
                <w:rStyle w:val="Strong"/>
                <w:sz w:val="24"/>
                <w:szCs w:val="24"/>
              </w:rPr>
              <w:t>:</w:t>
            </w:r>
          </w:p>
          <w:p w14:paraId="7C141D15" w14:textId="1CB1A40A" w:rsidR="00D32D47" w:rsidRDefault="00D32D47" w:rsidP="00BD7FB0">
            <w:pPr>
              <w:pStyle w:val="CommentText"/>
              <w:jc w:val="both"/>
              <w:rPr>
                <w:rFonts w:eastAsia="Calibri"/>
                <w:sz w:val="24"/>
                <w:szCs w:val="24"/>
              </w:rPr>
            </w:pPr>
            <w:r w:rsidRPr="003B164A">
              <w:rPr>
                <w:rStyle w:val="Strong"/>
                <w:b w:val="0"/>
                <w:bCs w:val="0"/>
                <w:sz w:val="24"/>
                <w:szCs w:val="24"/>
                <w:lang w:val="en-US"/>
              </w:rPr>
              <w:t>1.1.</w:t>
            </w:r>
            <w:r w:rsidR="00E46E74" w:rsidRPr="003B164A">
              <w:rPr>
                <w:rStyle w:val="Strong"/>
                <w:b w:val="0"/>
                <w:bCs w:val="0"/>
                <w:sz w:val="24"/>
                <w:szCs w:val="24"/>
              </w:rPr>
              <w:t xml:space="preserve"> </w:t>
            </w:r>
            <w:r w:rsidR="004843C3" w:rsidRPr="003B164A">
              <w:rPr>
                <w:rStyle w:val="Strong"/>
                <w:b w:val="0"/>
                <w:bCs w:val="0"/>
                <w:sz w:val="24"/>
                <w:szCs w:val="24"/>
              </w:rPr>
              <w:t>vykdo</w:t>
            </w:r>
            <w:r w:rsidR="00E46E74" w:rsidRPr="003B164A">
              <w:rPr>
                <w:rFonts w:eastAsia="Calibri"/>
                <w:b/>
                <w:sz w:val="24"/>
                <w:szCs w:val="24"/>
              </w:rPr>
              <w:t xml:space="preserve"> </w:t>
            </w:r>
            <w:r w:rsidR="00E46E74" w:rsidRPr="003E1537">
              <w:rPr>
                <w:rFonts w:eastAsia="Calibri"/>
                <w:sz w:val="24"/>
                <w:szCs w:val="24"/>
              </w:rPr>
              <w:t>Ekonominės veiklos rūšių klasifikatoriuje (EVRK 2 red.), tvirtinamame Statistikos departamento generalinio direktoriaus įsakymu (toliau – EVRK 2 red.), nustatytą 47.82 ir (arba) 47.89 klasių ekonominę veiklą ir registravęs šios veiklos vykdymą teisės aktų nustatyta tvarka EVRK 2 red. nustatytoms 47.8 grupei arba 47.82 ir (arba) 47.89 klasėms;</w:t>
            </w:r>
          </w:p>
          <w:p w14:paraId="42E0F3D3" w14:textId="1852E111" w:rsidR="00D32D47" w:rsidRDefault="00D32D47" w:rsidP="00BD7FB0">
            <w:pPr>
              <w:pStyle w:val="CommentText"/>
              <w:jc w:val="both"/>
              <w:rPr>
                <w:rFonts w:eastAsia="Calibri"/>
                <w:sz w:val="24"/>
                <w:szCs w:val="24"/>
              </w:rPr>
            </w:pPr>
            <w:r>
              <w:rPr>
                <w:rFonts w:eastAsia="Calibri"/>
                <w:sz w:val="24"/>
                <w:szCs w:val="24"/>
              </w:rPr>
              <w:t>1.2.</w:t>
            </w:r>
            <w:r w:rsidR="00E46E74" w:rsidRPr="003E1537">
              <w:rPr>
                <w:rFonts w:eastAsia="Calibri"/>
                <w:sz w:val="24"/>
                <w:szCs w:val="24"/>
              </w:rPr>
              <w:t xml:space="preserve"> vykd</w:t>
            </w:r>
            <w:r w:rsidR="007C60AB">
              <w:rPr>
                <w:rFonts w:eastAsia="Calibri"/>
                <w:sz w:val="24"/>
                <w:szCs w:val="24"/>
              </w:rPr>
              <w:t>o</w:t>
            </w:r>
            <w:r w:rsidR="00E46E74" w:rsidRPr="003E1537">
              <w:rPr>
                <w:rFonts w:eastAsia="Calibri"/>
                <w:sz w:val="24"/>
                <w:szCs w:val="24"/>
              </w:rPr>
              <w:t xml:space="preserve"> Veiklų, kuriomis gali būti verčiamasi turint verslo liudijimą, rūšių sąrašo, patvirtinto Lietuvos Respublikos Vyriausybės 2002 m. lapkričio 19 d. nutarimu Nr. 1797 „Dėl Verslo liudijimų išdavimo gyventojams taisyklių ir Veiklų, kuriomis gali būti verčiamasi turint verslo liudijimą, rūšių sąrašo“ (toliau – Veiklų, kuriomis gali būti verčiamasi turint verslo liudijimą, rūšių sąrašas) 2.1, 2.2 papunkčiuose ir 60 punkte nurodytą veiklą</w:t>
            </w:r>
            <w:r>
              <w:rPr>
                <w:rFonts w:eastAsia="Calibri"/>
                <w:sz w:val="24"/>
                <w:szCs w:val="24"/>
              </w:rPr>
              <w:t>;</w:t>
            </w:r>
          </w:p>
          <w:p w14:paraId="777B4F33" w14:textId="3E90FB27" w:rsidR="00E46E74" w:rsidRPr="003E1537" w:rsidRDefault="00D32D47" w:rsidP="00BD7FB0">
            <w:pPr>
              <w:pStyle w:val="CommentText"/>
              <w:jc w:val="both"/>
              <w:rPr>
                <w:sz w:val="24"/>
                <w:szCs w:val="24"/>
              </w:rPr>
            </w:pPr>
            <w:r>
              <w:rPr>
                <w:rFonts w:eastAsia="Calibri"/>
                <w:sz w:val="24"/>
                <w:szCs w:val="24"/>
              </w:rPr>
              <w:t xml:space="preserve">1.3. </w:t>
            </w:r>
            <w:r w:rsidR="00C86D29" w:rsidRPr="00C86D29">
              <w:rPr>
                <w:b/>
                <w:bCs/>
                <w:sz w:val="24"/>
                <w:szCs w:val="24"/>
              </w:rPr>
              <w:t>vykd</w:t>
            </w:r>
            <w:r w:rsidR="0055082D">
              <w:rPr>
                <w:b/>
                <w:bCs/>
                <w:sz w:val="24"/>
                <w:szCs w:val="24"/>
              </w:rPr>
              <w:t>o</w:t>
            </w:r>
            <w:r w:rsidR="00C86D29" w:rsidRPr="00C86D29">
              <w:rPr>
                <w:rFonts w:eastAsia="Calibri"/>
                <w:b/>
                <w:bCs/>
                <w:sz w:val="24"/>
                <w:szCs w:val="24"/>
              </w:rPr>
              <w:t xml:space="preserve"> </w:t>
            </w:r>
            <w:r w:rsidR="00C86D29" w:rsidRPr="00C86D29">
              <w:rPr>
                <w:b/>
                <w:bCs/>
                <w:sz w:val="24"/>
                <w:szCs w:val="24"/>
              </w:rPr>
              <w:t>veiklą pagal verslo liudijimą, kuriuo, remiantis Veiklų, kuriomis gali būti verčiamasi turint verslo liudijimą, rūšių sąrašu, suteikiama teisė prekiauti verslo liudijime nurodytomis savo gamybos prekėmis neįsigijus prekybos liudijimo</w:t>
            </w:r>
            <w:r w:rsidR="007C60AB">
              <w:rPr>
                <w:b/>
                <w:bCs/>
                <w:sz w:val="24"/>
                <w:szCs w:val="24"/>
              </w:rPr>
              <w:t>.</w:t>
            </w:r>
          </w:p>
          <w:p w14:paraId="66A08284" w14:textId="77777777" w:rsidR="00EB234C" w:rsidRPr="003E1537" w:rsidRDefault="00EB234C" w:rsidP="00020097">
            <w:pPr>
              <w:tabs>
                <w:tab w:val="left" w:pos="284"/>
              </w:tabs>
              <w:jc w:val="both"/>
            </w:pPr>
          </w:p>
          <w:p w14:paraId="388E8FEF" w14:textId="77777777" w:rsidR="00EB234C" w:rsidRPr="003E1537" w:rsidRDefault="00EB234C" w:rsidP="00020097">
            <w:pPr>
              <w:tabs>
                <w:tab w:val="left" w:pos="284"/>
              </w:tabs>
              <w:jc w:val="both"/>
              <w:rPr>
                <w:b/>
                <w:bCs/>
                <w:u w:val="single"/>
              </w:rPr>
            </w:pPr>
            <w:r w:rsidRPr="003E1537">
              <w:rPr>
                <w:b/>
                <w:bCs/>
                <w:u w:val="single"/>
              </w:rPr>
              <w:t>Reikalavimai pareiškėjams:</w:t>
            </w:r>
          </w:p>
          <w:p w14:paraId="089B5861" w14:textId="0071FD3F" w:rsidR="006F411A" w:rsidRPr="003E1537" w:rsidRDefault="006F411A" w:rsidP="00774350">
            <w:pPr>
              <w:pStyle w:val="ListParagraph"/>
              <w:numPr>
                <w:ilvl w:val="0"/>
                <w:numId w:val="5"/>
              </w:numPr>
              <w:jc w:val="both"/>
            </w:pPr>
            <w:r w:rsidRPr="003E1537">
              <w:t>nukentėjęs nuo koronaviruso (COVID-</w:t>
            </w:r>
            <w:r w:rsidRPr="003E1537">
              <w:rPr>
                <w:lang w:val="en-US"/>
              </w:rPr>
              <w:t>19)</w:t>
            </w:r>
            <w:r w:rsidRPr="003E1537">
              <w:rPr>
                <w:rStyle w:val="FootnoteReference"/>
                <w:lang w:val="en-US"/>
              </w:rPr>
              <w:footnoteReference w:id="1"/>
            </w:r>
            <w:r w:rsidRPr="003E1537">
              <w:rPr>
                <w:lang w:val="en-US"/>
              </w:rPr>
              <w:t>;</w:t>
            </w:r>
          </w:p>
          <w:p w14:paraId="5EE61584" w14:textId="7F54AAB8" w:rsidR="007D6198" w:rsidRPr="003E1537" w:rsidRDefault="007D26C4" w:rsidP="00774350">
            <w:pPr>
              <w:pStyle w:val="ListParagraph"/>
              <w:numPr>
                <w:ilvl w:val="0"/>
                <w:numId w:val="5"/>
              </w:numPr>
              <w:jc w:val="both"/>
            </w:pPr>
            <w:r w:rsidRPr="003E1537">
              <w:lastRenderedPageBreak/>
              <w:t xml:space="preserve">nuo 2020 m. rugsėjo 1 d. iki Nutarimu Nr. 1226 nustatyto veiklų apribojimo dienos (t. y. iki 2020 m. gruodžio 16 d.) buvo įgijęs verslo liudijimą arba </w:t>
            </w:r>
            <w:r w:rsidR="006F411A" w:rsidRPr="003E1537">
              <w:t xml:space="preserve">įregistravęs individualią </w:t>
            </w:r>
            <w:r w:rsidRPr="003E1537">
              <w:t>veikl</w:t>
            </w:r>
            <w:r w:rsidR="006F411A" w:rsidRPr="003E1537">
              <w:t>ą pagal</w:t>
            </w:r>
            <w:r w:rsidRPr="003E1537">
              <w:t xml:space="preserve"> pažymą;</w:t>
            </w:r>
          </w:p>
          <w:p w14:paraId="574D8C0F" w14:textId="0E2D8CB0" w:rsidR="007D26C4" w:rsidRPr="003E1537" w:rsidRDefault="007D26C4" w:rsidP="00774350">
            <w:pPr>
              <w:numPr>
                <w:ilvl w:val="0"/>
                <w:numId w:val="5"/>
              </w:numPr>
              <w:jc w:val="both"/>
              <w:rPr>
                <w:color w:val="000000"/>
              </w:rPr>
            </w:pPr>
            <w:r w:rsidRPr="003E1537">
              <w:rPr>
                <w:color w:val="000000"/>
              </w:rPr>
              <w:t>yra pateikęs metinę pajamų deklaraciją už 2019 metus</w:t>
            </w:r>
            <w:r w:rsidR="00DB361D">
              <w:rPr>
                <w:color w:val="000000"/>
              </w:rPr>
              <w:t>, jei tokią prievolę turėjo</w:t>
            </w:r>
            <w:r w:rsidRPr="003E1537">
              <w:rPr>
                <w:color w:val="000000"/>
              </w:rPr>
              <w:t>;</w:t>
            </w:r>
          </w:p>
          <w:p w14:paraId="39421058" w14:textId="7B856C27" w:rsidR="008116B2" w:rsidRPr="00BD6252" w:rsidRDefault="00DB1087" w:rsidP="008116B2">
            <w:pPr>
              <w:numPr>
                <w:ilvl w:val="0"/>
                <w:numId w:val="5"/>
              </w:numPr>
              <w:jc w:val="both"/>
              <w:rPr>
                <w:color w:val="000000"/>
              </w:rPr>
            </w:pPr>
            <w:r w:rsidRPr="003E1537">
              <w:t xml:space="preserve">yra patvirtinęs, kad </w:t>
            </w:r>
            <w:r w:rsidR="001B17F1">
              <w:rPr>
                <w:lang w:val="en-US"/>
              </w:rPr>
              <w:t>2020 met</w:t>
            </w:r>
            <w:r w:rsidR="001B17F1">
              <w:t xml:space="preserve">ų gruodžio mėnesį </w:t>
            </w:r>
            <w:r w:rsidRPr="003E1537">
              <w:t xml:space="preserve">yra sumokėjęs </w:t>
            </w:r>
            <w:r w:rsidR="001B17F1">
              <w:t xml:space="preserve">ir/ </w:t>
            </w:r>
            <w:r w:rsidRPr="003E1537">
              <w:t xml:space="preserve">arba </w:t>
            </w:r>
            <w:r w:rsidR="00DB361D" w:rsidRPr="003E1537">
              <w:t>įsipareigoj</w:t>
            </w:r>
            <w:r w:rsidR="00DB361D">
              <w:t>a</w:t>
            </w:r>
            <w:r w:rsidR="00DB361D" w:rsidRPr="003E1537">
              <w:t xml:space="preserve"> </w:t>
            </w:r>
            <w:r w:rsidRPr="003E1537">
              <w:t>2021 metais mokėti turgavietės mokestį;</w:t>
            </w:r>
          </w:p>
          <w:p w14:paraId="23FCE7FB" w14:textId="2E0FD84B" w:rsidR="008116B2" w:rsidRPr="008116B2" w:rsidRDefault="008116B2" w:rsidP="008116B2">
            <w:pPr>
              <w:numPr>
                <w:ilvl w:val="0"/>
                <w:numId w:val="5"/>
              </w:numPr>
              <w:jc w:val="both"/>
              <w:rPr>
                <w:color w:val="000000"/>
              </w:rPr>
            </w:pPr>
            <w:r w:rsidRPr="008116B2">
              <w:rPr>
                <w:color w:val="000000"/>
              </w:rPr>
              <w:t xml:space="preserve">yra įsipareigojęs </w:t>
            </w:r>
            <w:r w:rsidRPr="00DF4DF2">
              <w:t xml:space="preserve">kad </w:t>
            </w:r>
            <w:r w:rsidRPr="00734C59">
              <w:t xml:space="preserve">po </w:t>
            </w:r>
            <w:r w:rsidRPr="00E764EC">
              <w:t xml:space="preserve">Nutarimu Nr. 1226 nustatyto veiklų apribojimo pasibaigimo dienos </w:t>
            </w:r>
            <w:r w:rsidRPr="00DF4DF2">
              <w:t xml:space="preserve">2021 metais </w:t>
            </w:r>
            <w:r w:rsidRPr="00FF1A71">
              <w:t>tęs</w:t>
            </w:r>
            <w:r w:rsidR="00DB361D">
              <w:t>ti</w:t>
            </w:r>
            <w:r w:rsidRPr="00FF1A71">
              <w:t xml:space="preserve"> </w:t>
            </w:r>
            <w:r>
              <w:t>turgavietės prekiautojo</w:t>
            </w:r>
            <w:r w:rsidRPr="00FF1A71">
              <w:t xml:space="preserve"> veiklą</w:t>
            </w:r>
            <w:r>
              <w:t>;</w:t>
            </w:r>
          </w:p>
          <w:p w14:paraId="13B6692F" w14:textId="77777777" w:rsidR="00774350" w:rsidRPr="003E1537" w:rsidRDefault="00DB1087" w:rsidP="00774350">
            <w:pPr>
              <w:numPr>
                <w:ilvl w:val="0"/>
                <w:numId w:val="5"/>
              </w:numPr>
              <w:jc w:val="both"/>
              <w:rPr>
                <w:color w:val="000000"/>
              </w:rPr>
            </w:pPr>
            <w:r w:rsidRPr="003E1537">
              <w:rPr>
                <w:rFonts w:eastAsia="Calibri"/>
              </w:rPr>
              <w:t>prekiauja ne maisto produktais turgavietėje ir vykdo EVRK 2 red. nustatytą 47.82 klasės ekonominę veiklą ir (arba) 47.89 klasės ekonominę veiklą ir yra registravęs šios veiklos vykdymą teisės aktų nustatyta tvarka EVRK 2 red. nustatytoms 47.8 grupei arba 47.82 ir (arba) 47.89 klasėms, ir (arba) vykdo Veiklų, kuriomis gali būti verčiamasi turint verslo liudijimą, rūšių sąrašo 2.1, 2.2 papunkčiuose ir 60 punkte nurodytą veiklą ir prekiauja ne maisto produktais turgavietėje;</w:t>
            </w:r>
          </w:p>
          <w:p w14:paraId="5502F5D0" w14:textId="27B9FBFC" w:rsidR="007D26C4" w:rsidRPr="003E1537" w:rsidRDefault="007D26C4" w:rsidP="00774350">
            <w:pPr>
              <w:numPr>
                <w:ilvl w:val="0"/>
                <w:numId w:val="5"/>
              </w:numPr>
              <w:jc w:val="both"/>
              <w:rPr>
                <w:color w:val="000000"/>
              </w:rPr>
            </w:pPr>
            <w:r w:rsidRPr="003E1537">
              <w:rPr>
                <w:color w:val="000000"/>
              </w:rPr>
              <w:t xml:space="preserve">potencialiai tinkamų finansuoti </w:t>
            </w:r>
            <w:r w:rsidR="001E0EAF">
              <w:rPr>
                <w:color w:val="000000"/>
              </w:rPr>
              <w:t>turgavietės prekiautojų</w:t>
            </w:r>
            <w:r w:rsidRPr="003E1537">
              <w:rPr>
                <w:color w:val="000000"/>
              </w:rPr>
              <w:t xml:space="preserve"> sąrašo sudarymo dieną nėra iškelta fizinio asmens bankroto byla pagal Lietuvos Respublikos fizinių asmenų bankroto įstatymą;</w:t>
            </w:r>
          </w:p>
          <w:p w14:paraId="6D9D08A6" w14:textId="1E20D72F" w:rsidR="007D26C4" w:rsidRPr="003E1537" w:rsidRDefault="007D26C4" w:rsidP="00774350">
            <w:pPr>
              <w:numPr>
                <w:ilvl w:val="0"/>
                <w:numId w:val="5"/>
              </w:numPr>
              <w:jc w:val="both"/>
              <w:rPr>
                <w:color w:val="000000"/>
              </w:rPr>
            </w:pPr>
            <w:r w:rsidRPr="003E1537">
              <w:rPr>
                <w:color w:val="000000"/>
              </w:rPr>
              <w:t xml:space="preserve">turi galiojantį asmens dokumentą; </w:t>
            </w:r>
          </w:p>
          <w:p w14:paraId="68F88BE9" w14:textId="5598FBA5" w:rsidR="00591571" w:rsidRPr="00460F9C" w:rsidRDefault="007D26C4" w:rsidP="001E0EAF">
            <w:pPr>
              <w:numPr>
                <w:ilvl w:val="0"/>
                <w:numId w:val="5"/>
              </w:numPr>
              <w:jc w:val="both"/>
              <w:rPr>
                <w:color w:val="000000"/>
              </w:rPr>
            </w:pPr>
            <w:r w:rsidRPr="003E1537">
              <w:rPr>
                <w:color w:val="000000"/>
              </w:rPr>
              <w:t>turi sąskaitą.</w:t>
            </w:r>
          </w:p>
        </w:tc>
        <w:tc>
          <w:tcPr>
            <w:tcW w:w="0" w:type="auto"/>
            <w:vMerge/>
            <w:vAlign w:val="center"/>
            <w:hideMark/>
          </w:tcPr>
          <w:p w14:paraId="221C6B1F" w14:textId="77777777" w:rsidR="004370EA" w:rsidRPr="003E1537" w:rsidRDefault="004370EA">
            <w:pPr>
              <w:rPr>
                <w:rFonts w:eastAsiaTheme="minorEastAsia"/>
              </w:rPr>
            </w:pPr>
          </w:p>
        </w:tc>
      </w:tr>
      <w:tr w:rsidR="004370EA" w:rsidRPr="003E1537" w14:paraId="2CB77110" w14:textId="77777777" w:rsidTr="2BA0103E">
        <w:tc>
          <w:tcPr>
            <w:tcW w:w="7117" w:type="dxa"/>
            <w:tcBorders>
              <w:top w:val="single" w:sz="4" w:space="0" w:color="auto"/>
              <w:left w:val="single" w:sz="4" w:space="0" w:color="auto"/>
              <w:bottom w:val="single" w:sz="4" w:space="0" w:color="auto"/>
              <w:right w:val="single" w:sz="4" w:space="0" w:color="auto"/>
            </w:tcBorders>
          </w:tcPr>
          <w:p w14:paraId="20DCE565" w14:textId="2F653AB8" w:rsidR="004370EA" w:rsidRPr="003E1537" w:rsidRDefault="004370EA">
            <w:pPr>
              <w:jc w:val="both"/>
              <w:rPr>
                <w:b/>
                <w:i/>
              </w:rPr>
            </w:pPr>
            <w:r w:rsidRPr="003E1537">
              <w:rPr>
                <w:b/>
                <w:i/>
              </w:rPr>
              <w:t xml:space="preserve">Remiama veikla: </w:t>
            </w:r>
          </w:p>
          <w:p w14:paraId="598A5F10" w14:textId="77777777" w:rsidR="00C05EAF" w:rsidRPr="003E1537" w:rsidRDefault="00C05EAF">
            <w:pPr>
              <w:jc w:val="both"/>
              <w:rPr>
                <w:b/>
                <w:i/>
              </w:rPr>
            </w:pPr>
          </w:p>
          <w:p w14:paraId="586B5521" w14:textId="68FAC447" w:rsidR="00D32DD5" w:rsidRPr="003E1537" w:rsidRDefault="00DB1087" w:rsidP="008E56F6">
            <w:pPr>
              <w:jc w:val="both"/>
            </w:pPr>
            <w:r w:rsidRPr="003E1537">
              <w:t>Turgavietės prekiautojų veikla, kuri skatinama skiriant kompensaciją turgavietės mokesčiui kompensuoti ir turgavietės prekiautojo apyvartinėms lėšoms.</w:t>
            </w:r>
          </w:p>
        </w:tc>
        <w:tc>
          <w:tcPr>
            <w:tcW w:w="0" w:type="auto"/>
            <w:vMerge/>
            <w:vAlign w:val="center"/>
            <w:hideMark/>
          </w:tcPr>
          <w:p w14:paraId="28ADC04F" w14:textId="77777777" w:rsidR="004370EA" w:rsidRPr="003E1537" w:rsidRDefault="004370EA">
            <w:pPr>
              <w:rPr>
                <w:rFonts w:eastAsiaTheme="minorEastAsia"/>
              </w:rPr>
            </w:pPr>
          </w:p>
        </w:tc>
      </w:tr>
      <w:tr w:rsidR="004370EA" w:rsidRPr="003E1537" w14:paraId="5E0AE07B" w14:textId="77777777" w:rsidTr="2BA0103E">
        <w:tc>
          <w:tcPr>
            <w:tcW w:w="7117" w:type="dxa"/>
            <w:tcBorders>
              <w:top w:val="single" w:sz="4" w:space="0" w:color="auto"/>
              <w:left w:val="single" w:sz="4" w:space="0" w:color="auto"/>
              <w:bottom w:val="single" w:sz="4" w:space="0" w:color="auto"/>
              <w:right w:val="single" w:sz="4" w:space="0" w:color="auto"/>
            </w:tcBorders>
          </w:tcPr>
          <w:p w14:paraId="14794EE7" w14:textId="77777777" w:rsidR="004370EA" w:rsidRPr="003E1537" w:rsidRDefault="004370EA">
            <w:pPr>
              <w:pStyle w:val="Default"/>
              <w:jc w:val="both"/>
              <w:rPr>
                <w:i/>
                <w:color w:val="auto"/>
              </w:rPr>
            </w:pPr>
            <w:r w:rsidRPr="003E1537">
              <w:rPr>
                <w:b/>
                <w:bCs/>
                <w:i/>
                <w:color w:val="auto"/>
              </w:rPr>
              <w:t>Pagalbos dydis, intensyvumas ir laikotarpis</w:t>
            </w:r>
          </w:p>
          <w:p w14:paraId="24DC1F5A" w14:textId="1C1B6557" w:rsidR="00345582" w:rsidRPr="003E1537" w:rsidRDefault="004370EA" w:rsidP="00DB1087">
            <w:pPr>
              <w:jc w:val="both"/>
              <w:rPr>
                <w:b/>
              </w:rPr>
            </w:pPr>
            <w:r w:rsidRPr="003E1537">
              <w:rPr>
                <w:b/>
              </w:rPr>
              <w:t>Pagalbos dydis</w:t>
            </w:r>
            <w:r w:rsidR="00DB1087" w:rsidRPr="003E1537">
              <w:rPr>
                <w:b/>
              </w:rPr>
              <w:t>:</w:t>
            </w:r>
          </w:p>
          <w:p w14:paraId="6BA4CE32" w14:textId="77777777" w:rsidR="00345582" w:rsidRPr="003E1537" w:rsidRDefault="00345582" w:rsidP="00DB1087">
            <w:pPr>
              <w:jc w:val="both"/>
              <w:rPr>
                <w:bCs/>
                <w:lang w:val="en-US"/>
              </w:rPr>
            </w:pPr>
          </w:p>
          <w:p w14:paraId="05242D7A" w14:textId="42590C57" w:rsidR="00774350" w:rsidRPr="00A52680" w:rsidRDefault="00DB1087" w:rsidP="0075461C">
            <w:pPr>
              <w:tabs>
                <w:tab w:val="left" w:pos="1276"/>
              </w:tabs>
              <w:jc w:val="both"/>
            </w:pPr>
            <w:r w:rsidRPr="003E1537">
              <w:rPr>
                <w:bCs/>
                <w:lang w:val="en-US"/>
              </w:rPr>
              <w:t xml:space="preserve">300 </w:t>
            </w:r>
            <w:r w:rsidRPr="003E1537">
              <w:rPr>
                <w:bCs/>
              </w:rPr>
              <w:t>Eur</w:t>
            </w:r>
            <w:r w:rsidR="00A52680">
              <w:rPr>
                <w:rStyle w:val="FootnoteReference"/>
                <w:bCs/>
              </w:rPr>
              <w:footnoteReference w:id="2"/>
            </w:r>
            <w:r w:rsidRPr="003E1537">
              <w:rPr>
                <w:bCs/>
              </w:rPr>
              <w:t xml:space="preserve"> arba mažiau, jei kompensacijos dydis mažinamas atsižvelgiant</w:t>
            </w:r>
            <w:r w:rsidR="00460F9C">
              <w:rPr>
                <w:bCs/>
              </w:rPr>
              <w:t xml:space="preserve"> į</w:t>
            </w:r>
            <w:r w:rsidRPr="003E1537">
              <w:rPr>
                <w:bCs/>
              </w:rPr>
              <w:t xml:space="preserve"> </w:t>
            </w:r>
            <w:r w:rsidR="00345582" w:rsidRPr="003E1537">
              <w:rPr>
                <w:bCs/>
              </w:rPr>
              <w:t xml:space="preserve">turgavietės prekiautojui galimą skirti </w:t>
            </w:r>
            <w:r w:rsidR="00345582" w:rsidRPr="003E1537">
              <w:rPr>
                <w:bCs/>
                <w:i/>
              </w:rPr>
              <w:t xml:space="preserve">de </w:t>
            </w:r>
            <w:proofErr w:type="spellStart"/>
            <w:r w:rsidR="00345582" w:rsidRPr="003E1537">
              <w:rPr>
                <w:bCs/>
                <w:i/>
              </w:rPr>
              <w:t>minimis</w:t>
            </w:r>
            <w:proofErr w:type="spellEnd"/>
            <w:r w:rsidR="00345582" w:rsidRPr="003E1537">
              <w:rPr>
                <w:bCs/>
              </w:rPr>
              <w:t xml:space="preserve"> pagalbos dydį</w:t>
            </w:r>
            <w:r w:rsidR="00774350" w:rsidRPr="003E1537">
              <w:rPr>
                <w:bCs/>
              </w:rPr>
              <w:t xml:space="preserve">. </w:t>
            </w:r>
            <w:bookmarkStart w:id="1" w:name="_Hlk62466210"/>
            <w:r w:rsidR="00A52680" w:rsidRPr="001E0EAF">
              <w:rPr>
                <w:rStyle w:val="Strong"/>
              </w:rPr>
              <w:t>Vienas turgavietės prekiautojas gali</w:t>
            </w:r>
            <w:r w:rsidR="00A52680" w:rsidRPr="00A52680">
              <w:rPr>
                <w:rStyle w:val="Strong"/>
                <w:b w:val="0"/>
                <w:bCs w:val="0"/>
              </w:rPr>
              <w:t xml:space="preserve"> </w:t>
            </w:r>
            <w:r w:rsidR="00A52680" w:rsidRPr="00A52680">
              <w:t>pretenduoti į vieną kompensaciją nepriklausomai nuo prekybos vietų skaičiaus.</w:t>
            </w:r>
          </w:p>
          <w:bookmarkEnd w:id="1"/>
          <w:p w14:paraId="090BAAEC" w14:textId="77777777" w:rsidR="00D32DD5" w:rsidRPr="003E1537" w:rsidRDefault="00D32DD5" w:rsidP="000212AA">
            <w:pPr>
              <w:jc w:val="both"/>
              <w:rPr>
                <w:b/>
              </w:rPr>
            </w:pPr>
          </w:p>
          <w:p w14:paraId="7C6C511B" w14:textId="4E89C65C" w:rsidR="000212AA" w:rsidRPr="003E1537" w:rsidRDefault="00D32DD5" w:rsidP="000212AA">
            <w:pPr>
              <w:jc w:val="both"/>
              <w:rPr>
                <w:color w:val="000000"/>
              </w:rPr>
            </w:pPr>
            <w:r w:rsidRPr="003E1537">
              <w:rPr>
                <w:color w:val="000000"/>
              </w:rPr>
              <w:t xml:space="preserve">Bendra teikiamos </w:t>
            </w:r>
            <w:r w:rsidRPr="003E1537">
              <w:rPr>
                <w:i/>
                <w:iCs/>
                <w:color w:val="000000"/>
              </w:rPr>
              <w:t xml:space="preserve">de </w:t>
            </w:r>
            <w:proofErr w:type="spellStart"/>
            <w:r w:rsidRPr="003E1537">
              <w:rPr>
                <w:i/>
                <w:iCs/>
                <w:color w:val="000000"/>
              </w:rPr>
              <w:t>minimis</w:t>
            </w:r>
            <w:proofErr w:type="spellEnd"/>
            <w:r w:rsidRPr="003E1537">
              <w:rPr>
                <w:color w:val="000000"/>
              </w:rPr>
              <w:t xml:space="preserve"> pagalbos suma</w:t>
            </w:r>
            <w:r w:rsidRPr="003E1537" w:rsidDel="00D32DD5">
              <w:rPr>
                <w:b/>
              </w:rPr>
              <w:t xml:space="preserve"> </w:t>
            </w:r>
            <w:r w:rsidR="004370EA" w:rsidRPr="003E1537">
              <w:t>ne</w:t>
            </w:r>
            <w:r w:rsidR="00B4279F" w:rsidRPr="003E1537">
              <w:t xml:space="preserve">gali viršyti </w:t>
            </w:r>
            <w:r w:rsidR="00B4279F" w:rsidRPr="003E1537">
              <w:rPr>
                <w:i/>
                <w:iCs/>
              </w:rPr>
              <w:t xml:space="preserve">de </w:t>
            </w:r>
            <w:proofErr w:type="spellStart"/>
            <w:r w:rsidR="00B4279F" w:rsidRPr="003E1537">
              <w:rPr>
                <w:i/>
                <w:iCs/>
              </w:rPr>
              <w:t>minimis</w:t>
            </w:r>
            <w:proofErr w:type="spellEnd"/>
            <w:r w:rsidR="00B4279F" w:rsidRPr="003E1537">
              <w:t xml:space="preserve"> ribos, t.</w:t>
            </w:r>
            <w:r w:rsidR="008E56F6" w:rsidRPr="003E1537">
              <w:t xml:space="preserve"> </w:t>
            </w:r>
            <w:r w:rsidR="00B4279F" w:rsidRPr="003E1537">
              <w:t xml:space="preserve">y. </w:t>
            </w:r>
            <w:r w:rsidR="004370EA" w:rsidRPr="003E1537">
              <w:t xml:space="preserve">daugiau kaip </w:t>
            </w:r>
            <w:r w:rsidR="000212AA" w:rsidRPr="003E1537">
              <w:rPr>
                <w:b/>
              </w:rPr>
              <w:t>2</w:t>
            </w:r>
            <w:r w:rsidR="004370EA" w:rsidRPr="003E1537">
              <w:rPr>
                <w:b/>
              </w:rPr>
              <w:t>00 000 Eur</w:t>
            </w:r>
            <w:r w:rsidR="000212AA" w:rsidRPr="003E1537">
              <w:rPr>
                <w:b/>
              </w:rPr>
              <w:t xml:space="preserve"> </w:t>
            </w:r>
            <w:r w:rsidR="000212AA" w:rsidRPr="003E1537">
              <w:rPr>
                <w:color w:val="000000"/>
              </w:rPr>
              <w:t xml:space="preserve">per trejus metus </w:t>
            </w:r>
            <w:r w:rsidR="00DB361D">
              <w:rPr>
                <w:b/>
                <w:color w:val="000000"/>
              </w:rPr>
              <w:t>vienai įmonei</w:t>
            </w:r>
            <w:r w:rsidR="008E56F6" w:rsidRPr="003E1537">
              <w:rPr>
                <w:color w:val="000000"/>
              </w:rPr>
              <w:t>.</w:t>
            </w:r>
          </w:p>
          <w:p w14:paraId="0D24B931" w14:textId="77777777" w:rsidR="004370EA" w:rsidRPr="003E1537" w:rsidRDefault="004370EA" w:rsidP="00784839">
            <w:pPr>
              <w:jc w:val="both"/>
            </w:pPr>
          </w:p>
          <w:p w14:paraId="54E143CC" w14:textId="24135ECF" w:rsidR="00591571" w:rsidRPr="003E1537" w:rsidRDefault="2BA0103E">
            <w:pPr>
              <w:jc w:val="both"/>
              <w:rPr>
                <w:b/>
              </w:rPr>
            </w:pPr>
            <w:r w:rsidRPr="2BA0103E">
              <w:rPr>
                <w:b/>
                <w:bCs/>
              </w:rPr>
              <w:t xml:space="preserve">Kompensacija </w:t>
            </w:r>
            <w:r w:rsidR="000A457A">
              <w:rPr>
                <w:b/>
                <w:bCs/>
              </w:rPr>
              <w:t>skiriama</w:t>
            </w:r>
            <w:r w:rsidR="000A457A" w:rsidRPr="2BA0103E">
              <w:rPr>
                <w:b/>
                <w:bCs/>
              </w:rPr>
              <w:t xml:space="preserve"> </w:t>
            </w:r>
            <w:r w:rsidRPr="2BA0103E">
              <w:rPr>
                <w:b/>
                <w:bCs/>
              </w:rPr>
              <w:t xml:space="preserve">vienam turgavietės prekiautojui tik vieną kartą, ne vėliau kaip iki 2021 m. </w:t>
            </w:r>
            <w:r w:rsidR="007C60AB">
              <w:rPr>
                <w:b/>
                <w:bCs/>
              </w:rPr>
              <w:t>liepos 31</w:t>
            </w:r>
            <w:r w:rsidRPr="2BA0103E">
              <w:rPr>
                <w:b/>
                <w:bCs/>
              </w:rPr>
              <w:t xml:space="preserve"> d. Kvietimas galioja </w:t>
            </w:r>
            <w:r w:rsidR="000A457A">
              <w:rPr>
                <w:b/>
                <w:bCs/>
              </w:rPr>
              <w:t xml:space="preserve">(teikti paraiškas galima) </w:t>
            </w:r>
            <w:r w:rsidRPr="2BA0103E">
              <w:rPr>
                <w:b/>
                <w:bCs/>
              </w:rPr>
              <w:t xml:space="preserve">ne ilgiau kaip iki </w:t>
            </w:r>
            <w:r w:rsidRPr="2BA0103E">
              <w:rPr>
                <w:b/>
                <w:bCs/>
                <w:lang w:val="en-US"/>
              </w:rPr>
              <w:t xml:space="preserve">2021 m. </w:t>
            </w:r>
            <w:proofErr w:type="spellStart"/>
            <w:r w:rsidR="007C60AB">
              <w:rPr>
                <w:b/>
                <w:bCs/>
                <w:lang w:val="en-US"/>
              </w:rPr>
              <w:t>liepos</w:t>
            </w:r>
            <w:proofErr w:type="spellEnd"/>
            <w:r w:rsidR="007C60AB">
              <w:rPr>
                <w:b/>
                <w:bCs/>
                <w:lang w:val="en-US"/>
              </w:rPr>
              <w:t xml:space="preserve"> </w:t>
            </w:r>
            <w:r w:rsidRPr="2BA0103E">
              <w:rPr>
                <w:b/>
                <w:bCs/>
                <w:lang w:val="en-US"/>
              </w:rPr>
              <w:t>1 d.</w:t>
            </w:r>
          </w:p>
        </w:tc>
        <w:tc>
          <w:tcPr>
            <w:tcW w:w="0" w:type="auto"/>
            <w:vMerge/>
            <w:vAlign w:val="center"/>
            <w:hideMark/>
          </w:tcPr>
          <w:p w14:paraId="60F2CF63" w14:textId="77777777" w:rsidR="004370EA" w:rsidRPr="003E1537" w:rsidRDefault="004370EA">
            <w:pPr>
              <w:rPr>
                <w:rFonts w:eastAsiaTheme="minorEastAsia"/>
              </w:rPr>
            </w:pPr>
          </w:p>
        </w:tc>
      </w:tr>
      <w:tr w:rsidR="004370EA" w:rsidRPr="003E1537" w14:paraId="401D6C70" w14:textId="77777777" w:rsidTr="2BA0103E">
        <w:tc>
          <w:tcPr>
            <w:tcW w:w="7117" w:type="dxa"/>
            <w:tcBorders>
              <w:top w:val="single" w:sz="4" w:space="0" w:color="auto"/>
              <w:left w:val="single" w:sz="4" w:space="0" w:color="auto"/>
              <w:bottom w:val="single" w:sz="4" w:space="0" w:color="auto"/>
              <w:right w:val="single" w:sz="4" w:space="0" w:color="auto"/>
            </w:tcBorders>
            <w:hideMark/>
          </w:tcPr>
          <w:p w14:paraId="6252AE84" w14:textId="1DC7B179" w:rsidR="004370EA" w:rsidRPr="003E1537" w:rsidRDefault="004370EA">
            <w:pPr>
              <w:jc w:val="both"/>
              <w:rPr>
                <w:b/>
                <w:i/>
              </w:rPr>
            </w:pPr>
            <w:r w:rsidRPr="003E1537">
              <w:rPr>
                <w:b/>
                <w:i/>
              </w:rPr>
              <w:t>Projektų atrankos būdas:</w:t>
            </w:r>
          </w:p>
          <w:p w14:paraId="10F02043" w14:textId="77777777" w:rsidR="00591571" w:rsidRPr="003E1537" w:rsidRDefault="00591571">
            <w:pPr>
              <w:jc w:val="both"/>
              <w:rPr>
                <w:b/>
                <w:i/>
              </w:rPr>
            </w:pPr>
          </w:p>
          <w:p w14:paraId="18FDE402" w14:textId="307EE277" w:rsidR="004370EA" w:rsidRPr="003E1537" w:rsidRDefault="2BA0103E" w:rsidP="7C8875C0">
            <w:pPr>
              <w:jc w:val="both"/>
              <w:rPr>
                <w:color w:val="000000" w:themeColor="text1"/>
              </w:rPr>
            </w:pPr>
            <w:r w:rsidRPr="2BA0103E">
              <w:rPr>
                <w:b/>
                <w:bCs/>
              </w:rPr>
              <w:t>Tęstinė atranka –</w:t>
            </w:r>
            <w:r w:rsidRPr="2BA0103E">
              <w:rPr>
                <w:color w:val="000000" w:themeColor="text1"/>
              </w:rPr>
              <w:t xml:space="preserve"> pagal Valstybinės mokesčių inspekcijos (toliau </w:t>
            </w:r>
            <w:r w:rsidRPr="2BA0103E">
              <w:rPr>
                <w:b/>
                <w:bCs/>
                <w:color w:val="000000" w:themeColor="text1"/>
              </w:rPr>
              <w:t xml:space="preserve">– </w:t>
            </w:r>
            <w:r w:rsidRPr="2BA0103E">
              <w:rPr>
                <w:color w:val="000000" w:themeColor="text1"/>
              </w:rPr>
              <w:t xml:space="preserve">VMI) kvietimą teikti </w:t>
            </w:r>
            <w:r>
              <w:t xml:space="preserve">nukentėjusio nuo koronaviruso (COVID – 19) turgavietės prekiautojo paraiškas gauti turgavietės mokesčio kompensaciją (toliau – paraiška) </w:t>
            </w:r>
            <w:r w:rsidRPr="2BA0103E">
              <w:rPr>
                <w:color w:val="000000" w:themeColor="text1"/>
              </w:rPr>
              <w:t xml:space="preserve">gaunamų paraiškų atranka atliekama nuolat kvietime nurodytu paraiškų teikimo laikotarpiu, t. y. gautos </w:t>
            </w:r>
            <w:r w:rsidRPr="2BA0103E">
              <w:rPr>
                <w:color w:val="000000" w:themeColor="text1"/>
              </w:rPr>
              <w:lastRenderedPageBreak/>
              <w:t>paraiškos vertinamos ir reikalavimus atitinkantiems turgavietės prekiautojams kompensacijos skiriamos nelaukiant kvietime nurodyto paraiškų teikimo termino pabaigos ir atsižvelgiant į gautos paraiškos pateikimo datą.</w:t>
            </w:r>
          </w:p>
          <w:p w14:paraId="49A28A32" w14:textId="77777777" w:rsidR="00591571" w:rsidRPr="003E1537" w:rsidRDefault="00591571">
            <w:pPr>
              <w:jc w:val="both"/>
              <w:rPr>
                <w:color w:val="000000"/>
              </w:rPr>
            </w:pPr>
          </w:p>
          <w:p w14:paraId="3F62AE9E" w14:textId="7E7F1DEC" w:rsidR="004370EA" w:rsidRPr="003E1537" w:rsidRDefault="004370EA" w:rsidP="00C35337">
            <w:pPr>
              <w:jc w:val="both"/>
              <w:rPr>
                <w:color w:val="000000" w:themeColor="text1"/>
              </w:rPr>
            </w:pPr>
            <w:r w:rsidRPr="003E1537">
              <w:rPr>
                <w:b/>
                <w:bCs/>
                <w:color w:val="000000" w:themeColor="text1"/>
              </w:rPr>
              <w:t>Kvietimas stabdomas anksčiau</w:t>
            </w:r>
            <w:r w:rsidRPr="003E1537">
              <w:rPr>
                <w:color w:val="000000" w:themeColor="text1"/>
              </w:rPr>
              <w:t xml:space="preserve">, jeigu pagal priimtus sprendimus dėl </w:t>
            </w:r>
            <w:r w:rsidR="00B71478" w:rsidRPr="003E1537">
              <w:rPr>
                <w:color w:val="000000" w:themeColor="text1"/>
              </w:rPr>
              <w:t xml:space="preserve">kompensacijos </w:t>
            </w:r>
            <w:r w:rsidRPr="003E1537">
              <w:rPr>
                <w:color w:val="000000" w:themeColor="text1"/>
              </w:rPr>
              <w:t xml:space="preserve">skyrimo ir pateiktas naujas paraiškas paskirstyta ir prašomų skirti </w:t>
            </w:r>
            <w:r w:rsidR="00B71478" w:rsidRPr="003E1537">
              <w:rPr>
                <w:color w:val="000000" w:themeColor="text1"/>
              </w:rPr>
              <w:t xml:space="preserve">kompensacijų </w:t>
            </w:r>
            <w:r w:rsidRPr="003E1537">
              <w:rPr>
                <w:color w:val="000000" w:themeColor="text1"/>
              </w:rPr>
              <w:t>suma sudaro galimybę paskirstyti visą priemonei skirtą lėšų sumą.</w:t>
            </w:r>
          </w:p>
          <w:p w14:paraId="6FD5A085" w14:textId="7B9C89E2" w:rsidR="00591571" w:rsidRPr="003E1537" w:rsidRDefault="00591571" w:rsidP="00C35337">
            <w:pPr>
              <w:jc w:val="both"/>
            </w:pPr>
          </w:p>
        </w:tc>
        <w:tc>
          <w:tcPr>
            <w:tcW w:w="0" w:type="auto"/>
            <w:vMerge/>
            <w:vAlign w:val="center"/>
            <w:hideMark/>
          </w:tcPr>
          <w:p w14:paraId="717C1423" w14:textId="77777777" w:rsidR="004370EA" w:rsidRPr="003E1537" w:rsidRDefault="004370EA">
            <w:pPr>
              <w:rPr>
                <w:rFonts w:eastAsiaTheme="minorEastAsia"/>
              </w:rPr>
            </w:pPr>
          </w:p>
        </w:tc>
      </w:tr>
      <w:tr w:rsidR="004370EA" w14:paraId="76C8AC1D" w14:textId="77777777" w:rsidTr="2BA0103E">
        <w:tc>
          <w:tcPr>
            <w:tcW w:w="7117" w:type="dxa"/>
            <w:tcBorders>
              <w:top w:val="single" w:sz="4" w:space="0" w:color="auto"/>
              <w:left w:val="single" w:sz="4" w:space="0" w:color="auto"/>
              <w:bottom w:val="single" w:sz="4" w:space="0" w:color="auto"/>
              <w:right w:val="single" w:sz="4" w:space="0" w:color="auto"/>
            </w:tcBorders>
            <w:hideMark/>
          </w:tcPr>
          <w:p w14:paraId="43D5E9EA" w14:textId="47D1C5A1" w:rsidR="004370EA" w:rsidRPr="003E1537" w:rsidRDefault="004370EA">
            <w:pPr>
              <w:jc w:val="both"/>
              <w:rPr>
                <w:b/>
                <w:i/>
              </w:rPr>
            </w:pPr>
            <w:r w:rsidRPr="003E1537">
              <w:rPr>
                <w:b/>
                <w:i/>
              </w:rPr>
              <w:t>Dalyvaujančių institucijų funkcijos:</w:t>
            </w:r>
          </w:p>
          <w:p w14:paraId="55979059" w14:textId="77777777" w:rsidR="00591571" w:rsidRPr="003E1537" w:rsidRDefault="00591571">
            <w:pPr>
              <w:jc w:val="both"/>
              <w:rPr>
                <w:b/>
                <w:i/>
              </w:rPr>
            </w:pPr>
          </w:p>
          <w:p w14:paraId="007B9F10" w14:textId="27C9A534" w:rsidR="004370EA" w:rsidRPr="003E1537" w:rsidRDefault="004370EA">
            <w:pPr>
              <w:jc w:val="both"/>
              <w:rPr>
                <w:b/>
              </w:rPr>
            </w:pPr>
            <w:r w:rsidRPr="003E1537">
              <w:rPr>
                <w:b/>
              </w:rPr>
              <w:t>VMI ir</w:t>
            </w:r>
            <w:r w:rsidR="002259FB">
              <w:rPr>
                <w:b/>
              </w:rPr>
              <w:t xml:space="preserve"> VšĮ Lietuvos verslo paramos agentūra (toliau –</w:t>
            </w:r>
            <w:r w:rsidRPr="003E1537">
              <w:rPr>
                <w:b/>
              </w:rPr>
              <w:t xml:space="preserve"> LVPA</w:t>
            </w:r>
            <w:r w:rsidR="002259FB">
              <w:rPr>
                <w:b/>
              </w:rPr>
              <w:t>)</w:t>
            </w:r>
            <w:r w:rsidRPr="003E1537">
              <w:rPr>
                <w:b/>
              </w:rPr>
              <w:t>:</w:t>
            </w:r>
          </w:p>
          <w:p w14:paraId="2191CF41" w14:textId="7BA853AA" w:rsidR="004370EA" w:rsidRPr="003E1537" w:rsidRDefault="004370EA" w:rsidP="00E80364">
            <w:pPr>
              <w:pStyle w:val="ListParagraph"/>
              <w:numPr>
                <w:ilvl w:val="0"/>
                <w:numId w:val="3"/>
              </w:numPr>
              <w:jc w:val="both"/>
            </w:pPr>
            <w:r w:rsidRPr="003E1537">
              <w:t>Paraiškos teikiamos VMI per „Mano VMI“ .</w:t>
            </w:r>
            <w:r w:rsidRPr="003E1537">
              <w:rPr>
                <w:color w:val="000000"/>
              </w:rPr>
              <w:t xml:space="preserve"> </w:t>
            </w:r>
          </w:p>
          <w:p w14:paraId="71C8AB0E" w14:textId="3B6DD84B" w:rsidR="004370EA" w:rsidRPr="003E1537" w:rsidRDefault="00BD48FC" w:rsidP="00E80364">
            <w:pPr>
              <w:pStyle w:val="ListParagraph"/>
              <w:numPr>
                <w:ilvl w:val="0"/>
                <w:numId w:val="3"/>
              </w:numPr>
              <w:jc w:val="both"/>
            </w:pPr>
            <w:r w:rsidRPr="003E1537">
              <w:rPr>
                <w:color w:val="000000" w:themeColor="text1"/>
              </w:rPr>
              <w:t xml:space="preserve">Turgavietės prekiautojų </w:t>
            </w:r>
            <w:r w:rsidR="004370EA" w:rsidRPr="003E1537">
              <w:rPr>
                <w:color w:val="000000" w:themeColor="text1"/>
              </w:rPr>
              <w:t>atranką ir vertinimą atlieka VMI kartu su LVPA (Konkurencijos taryba</w:t>
            </w:r>
            <w:r w:rsidR="00B71478" w:rsidRPr="003E1537">
              <w:rPr>
                <w:color w:val="000000" w:themeColor="text1"/>
              </w:rPr>
              <w:t xml:space="preserve"> (toliau – KT)</w:t>
            </w:r>
            <w:r w:rsidR="004370EA" w:rsidRPr="003E1537">
              <w:rPr>
                <w:color w:val="000000" w:themeColor="text1"/>
              </w:rPr>
              <w:t xml:space="preserve"> teikia vertinimui reikalingą informaciją).</w:t>
            </w:r>
          </w:p>
          <w:p w14:paraId="632BBAC2" w14:textId="77777777" w:rsidR="0075461C" w:rsidRPr="003E1537" w:rsidRDefault="0075461C" w:rsidP="00784839">
            <w:pPr>
              <w:jc w:val="both"/>
            </w:pPr>
          </w:p>
          <w:p w14:paraId="3EF91206" w14:textId="78EF3E1A" w:rsidR="004370EA" w:rsidRPr="003E1537" w:rsidRDefault="7C8875C0" w:rsidP="5D1032A6">
            <w:pPr>
              <w:jc w:val="both"/>
              <w:rPr>
                <w:b/>
                <w:bCs/>
              </w:rPr>
            </w:pPr>
            <w:r w:rsidRPr="003E1537">
              <w:rPr>
                <w:b/>
                <w:bCs/>
              </w:rPr>
              <w:t xml:space="preserve">Ekonomikos ir inovacijų ministras per </w:t>
            </w:r>
            <w:r w:rsidR="001D2794" w:rsidRPr="003E1537">
              <w:rPr>
                <w:b/>
                <w:bCs/>
                <w:lang w:val="en-US"/>
              </w:rPr>
              <w:t>3</w:t>
            </w:r>
            <w:r w:rsidR="00B71478" w:rsidRPr="003E1537">
              <w:rPr>
                <w:b/>
                <w:bCs/>
              </w:rPr>
              <w:t xml:space="preserve"> </w:t>
            </w:r>
            <w:r w:rsidRPr="003E1537">
              <w:rPr>
                <w:b/>
                <w:bCs/>
              </w:rPr>
              <w:t xml:space="preserve">darbo dienas nuo tinkamų </w:t>
            </w:r>
            <w:r w:rsidR="0075461C" w:rsidRPr="003E1537">
              <w:rPr>
                <w:b/>
                <w:bCs/>
              </w:rPr>
              <w:t xml:space="preserve">finansuoti turgavietės prekiautojų </w:t>
            </w:r>
            <w:r w:rsidRPr="003E1537">
              <w:rPr>
                <w:b/>
                <w:bCs/>
              </w:rPr>
              <w:t xml:space="preserve">sąrašo gavimo dienos </w:t>
            </w:r>
            <w:r w:rsidRPr="003E1537">
              <w:rPr>
                <w:b/>
                <w:bCs/>
                <w:color w:val="000000" w:themeColor="text1"/>
              </w:rPr>
              <w:t>priima sprendimą</w:t>
            </w:r>
            <w:r w:rsidRPr="003E1537">
              <w:rPr>
                <w:color w:val="000000" w:themeColor="text1"/>
              </w:rPr>
              <w:t xml:space="preserve"> dėl </w:t>
            </w:r>
            <w:r w:rsidR="00B71478" w:rsidRPr="003E1537">
              <w:rPr>
                <w:color w:val="000000" w:themeColor="text1"/>
              </w:rPr>
              <w:t xml:space="preserve">kompensacijos </w:t>
            </w:r>
            <w:r w:rsidRPr="003E1537">
              <w:rPr>
                <w:color w:val="000000" w:themeColor="text1"/>
              </w:rPr>
              <w:t>skyrimo. Ekonomikos ir inovacijų ministerija informaciją dėl</w:t>
            </w:r>
            <w:r w:rsidR="00B71478" w:rsidRPr="003E1537">
              <w:rPr>
                <w:color w:val="000000" w:themeColor="text1"/>
              </w:rPr>
              <w:t xml:space="preserve"> kompensacijų</w:t>
            </w:r>
            <w:r w:rsidRPr="003E1537">
              <w:rPr>
                <w:color w:val="000000" w:themeColor="text1"/>
              </w:rPr>
              <w:t xml:space="preserve"> skyrimo nedelsiant, bet ne vėliau kaip per vieną darbo dieną nuo sprendimo įsigaliojimo, pateikia LVPA, Nacionaliniam bendrųjų funkcijų centrui (toliau – NBFC)</w:t>
            </w:r>
            <w:r w:rsidR="00B71478" w:rsidRPr="003E1537">
              <w:rPr>
                <w:color w:val="000000" w:themeColor="text1"/>
              </w:rPr>
              <w:t>, KT</w:t>
            </w:r>
            <w:r w:rsidRPr="003E1537">
              <w:rPr>
                <w:color w:val="000000" w:themeColor="text1"/>
              </w:rPr>
              <w:t xml:space="preserve"> ir VMI. </w:t>
            </w:r>
          </w:p>
          <w:p w14:paraId="2EB63851" w14:textId="1CB080C4" w:rsidR="5D1032A6" w:rsidRPr="003E1537" w:rsidRDefault="5D1032A6" w:rsidP="5D1032A6">
            <w:pPr>
              <w:pStyle w:val="ListParagraph"/>
              <w:numPr>
                <w:ilvl w:val="0"/>
                <w:numId w:val="3"/>
              </w:numPr>
              <w:jc w:val="both"/>
              <w:rPr>
                <w:rFonts w:asciiTheme="minorHAnsi" w:eastAsiaTheme="minorEastAsia" w:hAnsiTheme="minorHAnsi" w:cstheme="minorBidi"/>
                <w:b/>
                <w:bCs/>
                <w:color w:val="000000" w:themeColor="text1"/>
              </w:rPr>
            </w:pPr>
            <w:r w:rsidRPr="003E1537">
              <w:rPr>
                <w:color w:val="000000" w:themeColor="text1"/>
              </w:rPr>
              <w:t xml:space="preserve">VMI, gavusi iš Ekonomikos ir inovacijų ministerijos informaciją apie priimtą sprendimą skirti </w:t>
            </w:r>
            <w:r w:rsidR="00F30551" w:rsidRPr="003E1537">
              <w:rPr>
                <w:color w:val="000000" w:themeColor="text1"/>
              </w:rPr>
              <w:t>finansavim</w:t>
            </w:r>
            <w:r w:rsidR="00F30551">
              <w:rPr>
                <w:color w:val="000000" w:themeColor="text1"/>
              </w:rPr>
              <w:t>ą</w:t>
            </w:r>
            <w:r w:rsidR="001E0EAF">
              <w:rPr>
                <w:color w:val="000000" w:themeColor="text1"/>
              </w:rPr>
              <w:t xml:space="preserve"> ar jo neskirti</w:t>
            </w:r>
            <w:r w:rsidRPr="003E1537">
              <w:rPr>
                <w:color w:val="000000" w:themeColor="text1"/>
              </w:rPr>
              <w:t xml:space="preserve">, išsiunčia informacinį pranešimą </w:t>
            </w:r>
            <w:r w:rsidR="0075461C" w:rsidRPr="003E1537">
              <w:rPr>
                <w:color w:val="000000" w:themeColor="text1"/>
              </w:rPr>
              <w:t xml:space="preserve">turgavietės prekiautojui </w:t>
            </w:r>
            <w:r w:rsidRPr="003E1537">
              <w:rPr>
                <w:color w:val="000000" w:themeColor="text1"/>
              </w:rPr>
              <w:t>per „Mano VMI“ ir informuoja apie priimtą sprendimą skirti finansavimą.</w:t>
            </w:r>
          </w:p>
          <w:p w14:paraId="5C00F608" w14:textId="3D46281E" w:rsidR="5D1032A6" w:rsidRPr="003E1537" w:rsidRDefault="5D1032A6" w:rsidP="5D1032A6">
            <w:pPr>
              <w:jc w:val="both"/>
              <w:rPr>
                <w:color w:val="000000" w:themeColor="text1"/>
              </w:rPr>
            </w:pPr>
          </w:p>
          <w:p w14:paraId="743558ED" w14:textId="1DFF859E" w:rsidR="00591571" w:rsidRPr="003E1537" w:rsidRDefault="004370EA">
            <w:pPr>
              <w:jc w:val="both"/>
            </w:pPr>
            <w:r w:rsidRPr="003E1537">
              <w:rPr>
                <w:b/>
              </w:rPr>
              <w:t>NBFC</w:t>
            </w:r>
            <w:r w:rsidRPr="003E1537">
              <w:t xml:space="preserve"> </w:t>
            </w:r>
            <w:r w:rsidRPr="003E1537">
              <w:rPr>
                <w:color w:val="000000"/>
              </w:rPr>
              <w:t xml:space="preserve">nedelsdamas, bet ne vėliau kaip per 3 darbo dienas nuo </w:t>
            </w:r>
            <w:r w:rsidR="0075461C" w:rsidRPr="003E1537">
              <w:rPr>
                <w:color w:val="000000"/>
              </w:rPr>
              <w:t xml:space="preserve">sprendimo </w:t>
            </w:r>
            <w:r w:rsidRPr="003E1537">
              <w:rPr>
                <w:color w:val="000000"/>
              </w:rPr>
              <w:t xml:space="preserve">skirti </w:t>
            </w:r>
            <w:r w:rsidR="0075461C" w:rsidRPr="003E1537">
              <w:rPr>
                <w:color w:val="000000"/>
              </w:rPr>
              <w:t xml:space="preserve">kompensaciją </w:t>
            </w:r>
            <w:r w:rsidRPr="003E1537">
              <w:rPr>
                <w:color w:val="000000"/>
              </w:rPr>
              <w:t xml:space="preserve">įsigaliojimo dienos, </w:t>
            </w:r>
            <w:r w:rsidRPr="003E1537">
              <w:rPr>
                <w:b/>
                <w:color w:val="000000"/>
              </w:rPr>
              <w:t xml:space="preserve">perveda </w:t>
            </w:r>
            <w:r w:rsidR="0075461C" w:rsidRPr="003E1537">
              <w:rPr>
                <w:b/>
                <w:color w:val="000000"/>
              </w:rPr>
              <w:t>kompensaciją turgavietės prekiautojui</w:t>
            </w:r>
            <w:r w:rsidR="0075461C" w:rsidRPr="003E1537">
              <w:rPr>
                <w:color w:val="000000"/>
              </w:rPr>
              <w:t xml:space="preserve"> </w:t>
            </w:r>
            <w:r w:rsidRPr="003E1537">
              <w:rPr>
                <w:color w:val="000000"/>
              </w:rPr>
              <w:t>į paraiškoje nurodytą sąskaitą.</w:t>
            </w:r>
          </w:p>
        </w:tc>
        <w:tc>
          <w:tcPr>
            <w:tcW w:w="0" w:type="auto"/>
            <w:vMerge/>
            <w:vAlign w:val="center"/>
            <w:hideMark/>
          </w:tcPr>
          <w:p w14:paraId="3DA179C1" w14:textId="77777777" w:rsidR="004370EA" w:rsidRDefault="004370EA">
            <w:pPr>
              <w:rPr>
                <w:rFonts w:eastAsiaTheme="minorEastAsia"/>
              </w:rPr>
            </w:pPr>
          </w:p>
        </w:tc>
      </w:tr>
    </w:tbl>
    <w:p w14:paraId="0B7FCDEC" w14:textId="77777777" w:rsidR="0063101A" w:rsidRDefault="0063101A"/>
    <w:sectPr w:rsidR="0063101A" w:rsidSect="001B17F1">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99F961" w14:textId="77777777" w:rsidR="00EB774C" w:rsidRDefault="00EB774C" w:rsidP="006F411A">
      <w:r>
        <w:separator/>
      </w:r>
    </w:p>
  </w:endnote>
  <w:endnote w:type="continuationSeparator" w:id="0">
    <w:p w14:paraId="78745FB2" w14:textId="77777777" w:rsidR="00EB774C" w:rsidRDefault="00EB774C" w:rsidP="006F4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E5483B" w14:textId="77777777" w:rsidR="00EB774C" w:rsidRDefault="00EB774C" w:rsidP="006F411A">
      <w:r>
        <w:separator/>
      </w:r>
    </w:p>
  </w:footnote>
  <w:footnote w:type="continuationSeparator" w:id="0">
    <w:p w14:paraId="3C469A46" w14:textId="77777777" w:rsidR="00EB774C" w:rsidRDefault="00EB774C" w:rsidP="006F411A">
      <w:r>
        <w:continuationSeparator/>
      </w:r>
    </w:p>
  </w:footnote>
  <w:footnote w:id="1">
    <w:p w14:paraId="0A15E25A" w14:textId="77777777" w:rsidR="006F411A" w:rsidRPr="00BD7FB0" w:rsidRDefault="006F411A" w:rsidP="00BD6252">
      <w:pPr>
        <w:tabs>
          <w:tab w:val="left" w:pos="1560"/>
        </w:tabs>
        <w:ind w:left="-851"/>
        <w:jc w:val="both"/>
        <w:rPr>
          <w:sz w:val="20"/>
          <w:szCs w:val="20"/>
        </w:rPr>
      </w:pPr>
      <w:r>
        <w:rPr>
          <w:rStyle w:val="FootnoteReference"/>
        </w:rPr>
        <w:footnoteRef/>
      </w:r>
      <w:r>
        <w:t xml:space="preserve"> </w:t>
      </w:r>
      <w:r w:rsidRPr="00BD7FB0">
        <w:rPr>
          <w:b/>
          <w:bCs/>
          <w:sz w:val="20"/>
          <w:szCs w:val="20"/>
        </w:rPr>
        <w:t>Nukentėjęs nuo koronaviruso (COVID</w:t>
      </w:r>
      <w:r w:rsidRPr="00BD7FB0">
        <w:rPr>
          <w:b/>
          <w:sz w:val="20"/>
          <w:szCs w:val="20"/>
        </w:rPr>
        <w:t>-19) turgavietės prekiautojas</w:t>
      </w:r>
      <w:r w:rsidRPr="00BD7FB0">
        <w:rPr>
          <w:sz w:val="20"/>
          <w:szCs w:val="20"/>
        </w:rPr>
        <w:t xml:space="preserve"> – turgavietės prekiautojas, vykdantis veiklą, kuri įtraukta į Lietuvos Respublikos ekonomikos ir inovacijų ministro ir Lietuvos Respublikos socialinės apsaugos ir darbo ministro įsakymu patvirtintą sąrašą, į kurį įtraukiamos Lietuvos Respublikos Vyriausybės 2020 m. lapkričio 4 d. nutarimu Nr. 1226 „Dėl karantino Lietuvos Respublikos teritorijoje paskelbimo“ (toliau – Nutarimas Nr. 1226) ribojamos ūkinės veiklos, taip pat tos veiklos, kurios yra ribojamos netiesiogiai ir kurių įtraukimui į sąrašą yra pritarusi Vyriausybė.</w:t>
      </w:r>
    </w:p>
    <w:p w14:paraId="1EC41785" w14:textId="04995138" w:rsidR="006F411A" w:rsidRPr="00BD7FB0" w:rsidRDefault="006F411A">
      <w:pPr>
        <w:pStyle w:val="FootnoteText"/>
        <w:rPr>
          <w:lang w:val="en-US"/>
        </w:rPr>
      </w:pPr>
    </w:p>
  </w:footnote>
  <w:footnote w:id="2">
    <w:p w14:paraId="25EC174D" w14:textId="51865692" w:rsidR="00A52680" w:rsidRDefault="00A52680" w:rsidP="00BD6252">
      <w:pPr>
        <w:pStyle w:val="FootnoteText"/>
        <w:ind w:left="-851"/>
      </w:pPr>
      <w:r>
        <w:rPr>
          <w:rStyle w:val="FootnoteReference"/>
        </w:rPr>
        <w:footnoteRef/>
      </w:r>
      <w:r>
        <w:t xml:space="preserve"> Vieno mėnesio turgavietės prekybos vietos nuoma sudaro apie </w:t>
      </w:r>
      <w:r>
        <w:rPr>
          <w:lang w:val="en-US"/>
        </w:rPr>
        <w:t xml:space="preserve">155 </w:t>
      </w:r>
      <w:proofErr w:type="spellStart"/>
      <w:r>
        <w:rPr>
          <w:lang w:val="en-US"/>
        </w:rPr>
        <w:t>eur.</w:t>
      </w:r>
      <w:proofErr w:type="spellEnd"/>
      <w:r>
        <w:rPr>
          <w:lang w:val="en-US"/>
        </w:rPr>
        <w:t xml:space="preserve"> </w:t>
      </w:r>
      <w:proofErr w:type="spellStart"/>
      <w:r>
        <w:rPr>
          <w:lang w:val="en-US"/>
        </w:rPr>
        <w:t>Atitinkamai</w:t>
      </w:r>
      <w:proofErr w:type="spellEnd"/>
      <w:r>
        <w:t xml:space="preserve">, atsižvelgiant į karantino trukmę (prekyba ne maisto produktais buvo ribojama </w:t>
      </w:r>
      <w:r>
        <w:rPr>
          <w:lang w:val="en-US"/>
        </w:rPr>
        <w:t xml:space="preserve">2 </w:t>
      </w:r>
      <w:r>
        <w:t xml:space="preserve">mėn.), todėl pasirinktas </w:t>
      </w:r>
      <w:r>
        <w:rPr>
          <w:lang w:val="en-US"/>
        </w:rPr>
        <w:t xml:space="preserve">300 </w:t>
      </w:r>
      <w:proofErr w:type="spellStart"/>
      <w:r>
        <w:rPr>
          <w:lang w:val="en-US"/>
        </w:rPr>
        <w:t>eur</w:t>
      </w:r>
      <w:proofErr w:type="spellEnd"/>
      <w:r>
        <w:rPr>
          <w:lang w:val="en-US"/>
        </w:rPr>
        <w:t xml:space="preserve"> </w:t>
      </w:r>
      <w:proofErr w:type="spellStart"/>
      <w:r>
        <w:rPr>
          <w:lang w:val="en-US"/>
        </w:rPr>
        <w:t>kompensacijos</w:t>
      </w:r>
      <w:proofErr w:type="spellEnd"/>
      <w:r>
        <w:rPr>
          <w:lang w:val="en-US"/>
        </w:rPr>
        <w:t xml:space="preserve"> </w:t>
      </w:r>
      <w:proofErr w:type="spellStart"/>
      <w:r>
        <w:rPr>
          <w:lang w:val="en-US"/>
        </w:rPr>
        <w:t>dydis</w:t>
      </w:r>
      <w:proofErr w:type="spellEnd"/>
      <w:r>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2AE4"/>
    <w:multiLevelType w:val="hybridMultilevel"/>
    <w:tmpl w:val="38CAEF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134664"/>
    <w:multiLevelType w:val="hybridMultilevel"/>
    <w:tmpl w:val="7A8014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E852749"/>
    <w:multiLevelType w:val="multilevel"/>
    <w:tmpl w:val="4340601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7914A05"/>
    <w:multiLevelType w:val="multilevel"/>
    <w:tmpl w:val="1D92E8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100E0E"/>
    <w:multiLevelType w:val="multilevel"/>
    <w:tmpl w:val="D44E4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F10E7D"/>
    <w:multiLevelType w:val="hybridMultilevel"/>
    <w:tmpl w:val="1A80F1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427F4BEE"/>
    <w:multiLevelType w:val="hybridMultilevel"/>
    <w:tmpl w:val="00A62A8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C61C7E"/>
    <w:multiLevelType w:val="multilevel"/>
    <w:tmpl w:val="E910B7A8"/>
    <w:lvl w:ilvl="0">
      <w:start w:val="1"/>
      <w:numFmt w:val="decimal"/>
      <w:lvlText w:val="%1."/>
      <w:lvlJc w:val="left"/>
      <w:pPr>
        <w:ind w:left="1069" w:hanging="360"/>
      </w:pPr>
      <w:rPr>
        <w:b w:val="0"/>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69AF27CF"/>
    <w:multiLevelType w:val="hybridMultilevel"/>
    <w:tmpl w:val="CCF6797E"/>
    <w:lvl w:ilvl="0" w:tplc="3FC4D7BA">
      <w:start w:val="18"/>
      <w:numFmt w:val="bullet"/>
      <w:lvlText w:val="-"/>
      <w:lvlJc w:val="left"/>
      <w:pPr>
        <w:ind w:left="720" w:hanging="360"/>
      </w:pPr>
      <w:rPr>
        <w:rFonts w:ascii="Times New Roman" w:eastAsiaTheme="minorEastAsia"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num>
  <w:num w:numId="4">
    <w:abstractNumId w:val="6"/>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F5B"/>
    <w:rsid w:val="00020097"/>
    <w:rsid w:val="000212AA"/>
    <w:rsid w:val="0004403E"/>
    <w:rsid w:val="000536A6"/>
    <w:rsid w:val="00075560"/>
    <w:rsid w:val="00083F5B"/>
    <w:rsid w:val="000A457A"/>
    <w:rsid w:val="00143475"/>
    <w:rsid w:val="00152750"/>
    <w:rsid w:val="00172E5B"/>
    <w:rsid w:val="001B17F1"/>
    <w:rsid w:val="001D2794"/>
    <w:rsid w:val="001E0EAF"/>
    <w:rsid w:val="002259FB"/>
    <w:rsid w:val="00256CC6"/>
    <w:rsid w:val="00274A3A"/>
    <w:rsid w:val="00296362"/>
    <w:rsid w:val="002C45D8"/>
    <w:rsid w:val="002D363C"/>
    <w:rsid w:val="002E28D5"/>
    <w:rsid w:val="002F3419"/>
    <w:rsid w:val="00345582"/>
    <w:rsid w:val="003B164A"/>
    <w:rsid w:val="003E1537"/>
    <w:rsid w:val="004072AF"/>
    <w:rsid w:val="00425C95"/>
    <w:rsid w:val="004370EA"/>
    <w:rsid w:val="00460F9C"/>
    <w:rsid w:val="00473F2C"/>
    <w:rsid w:val="004843C3"/>
    <w:rsid w:val="004C56CB"/>
    <w:rsid w:val="004C69A0"/>
    <w:rsid w:val="0055082D"/>
    <w:rsid w:val="00584DC2"/>
    <w:rsid w:val="00591571"/>
    <w:rsid w:val="006018DA"/>
    <w:rsid w:val="0063101A"/>
    <w:rsid w:val="00666F12"/>
    <w:rsid w:val="006746A8"/>
    <w:rsid w:val="006765A0"/>
    <w:rsid w:val="006873F5"/>
    <w:rsid w:val="006A35FC"/>
    <w:rsid w:val="006D2D0F"/>
    <w:rsid w:val="006F411A"/>
    <w:rsid w:val="0074109C"/>
    <w:rsid w:val="0075461C"/>
    <w:rsid w:val="00774350"/>
    <w:rsid w:val="00784839"/>
    <w:rsid w:val="007904B0"/>
    <w:rsid w:val="007C60AB"/>
    <w:rsid w:val="007D26C4"/>
    <w:rsid w:val="007D6198"/>
    <w:rsid w:val="008116B2"/>
    <w:rsid w:val="008532CE"/>
    <w:rsid w:val="008670B8"/>
    <w:rsid w:val="008E56F6"/>
    <w:rsid w:val="009108C7"/>
    <w:rsid w:val="009D4602"/>
    <w:rsid w:val="00A52680"/>
    <w:rsid w:val="00A71E54"/>
    <w:rsid w:val="00AE5651"/>
    <w:rsid w:val="00B4279F"/>
    <w:rsid w:val="00B66072"/>
    <w:rsid w:val="00B71478"/>
    <w:rsid w:val="00B803DF"/>
    <w:rsid w:val="00B906DD"/>
    <w:rsid w:val="00BC57F5"/>
    <w:rsid w:val="00BD48FC"/>
    <w:rsid w:val="00BD5318"/>
    <w:rsid w:val="00BD6252"/>
    <w:rsid w:val="00BD7FB0"/>
    <w:rsid w:val="00C01CF9"/>
    <w:rsid w:val="00C05EAF"/>
    <w:rsid w:val="00C35337"/>
    <w:rsid w:val="00C61BE1"/>
    <w:rsid w:val="00C86D29"/>
    <w:rsid w:val="00D029AF"/>
    <w:rsid w:val="00D1382B"/>
    <w:rsid w:val="00D32D47"/>
    <w:rsid w:val="00D32DD5"/>
    <w:rsid w:val="00D34E67"/>
    <w:rsid w:val="00D3683A"/>
    <w:rsid w:val="00D612E5"/>
    <w:rsid w:val="00DB1087"/>
    <w:rsid w:val="00DB361D"/>
    <w:rsid w:val="00DB65C4"/>
    <w:rsid w:val="00DD46AF"/>
    <w:rsid w:val="00DF2193"/>
    <w:rsid w:val="00DF59E7"/>
    <w:rsid w:val="00E25B4E"/>
    <w:rsid w:val="00E46E74"/>
    <w:rsid w:val="00E53DCC"/>
    <w:rsid w:val="00E85D10"/>
    <w:rsid w:val="00EB234C"/>
    <w:rsid w:val="00EB774C"/>
    <w:rsid w:val="00EC508E"/>
    <w:rsid w:val="00EE4282"/>
    <w:rsid w:val="00F30551"/>
    <w:rsid w:val="00F65B0A"/>
    <w:rsid w:val="00F75E58"/>
    <w:rsid w:val="00F8386B"/>
    <w:rsid w:val="00F92DCD"/>
    <w:rsid w:val="00F971B1"/>
    <w:rsid w:val="00FD00EA"/>
    <w:rsid w:val="00FE1BA3"/>
    <w:rsid w:val="2BA0103E"/>
    <w:rsid w:val="5D1032A6"/>
    <w:rsid w:val="6B6709AA"/>
    <w:rsid w:val="7C8875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D1D6"/>
  <w15:chartTrackingRefBased/>
  <w15:docId w15:val="{2C16519F-8BFE-4BD1-BA4B-DBF71C33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0EA"/>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0EA"/>
    <w:pPr>
      <w:ind w:left="720"/>
      <w:contextualSpacing/>
    </w:pPr>
  </w:style>
  <w:style w:type="paragraph" w:customStyle="1" w:styleId="Default">
    <w:name w:val="Default"/>
    <w:rsid w:val="004370E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table" w:styleId="TableGrid">
    <w:name w:val="Table Grid"/>
    <w:basedOn w:val="TableNormal"/>
    <w:uiPriority w:val="59"/>
    <w:rsid w:val="004370EA"/>
    <w:pPr>
      <w:spacing w:after="0" w:line="240" w:lineRule="auto"/>
    </w:pPr>
    <w:rPr>
      <w:rFonts w:eastAsiaTheme="minorEastAsia"/>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12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2AA"/>
    <w:rPr>
      <w:rFonts w:ascii="Segoe UI" w:eastAsia="Times New Roman" w:hAnsi="Segoe UI" w:cs="Segoe UI"/>
      <w:sz w:val="18"/>
      <w:szCs w:val="18"/>
      <w:lang w:eastAsia="lt-LT"/>
    </w:rPr>
  </w:style>
  <w:style w:type="character" w:styleId="CommentReference">
    <w:name w:val="annotation reference"/>
    <w:basedOn w:val="DefaultParagraphFont"/>
    <w:unhideWhenUsed/>
    <w:rsid w:val="00296362"/>
    <w:rPr>
      <w:sz w:val="16"/>
      <w:szCs w:val="16"/>
    </w:rPr>
  </w:style>
  <w:style w:type="paragraph" w:styleId="CommentText">
    <w:name w:val="annotation text"/>
    <w:aliases w:val=" Char,Char"/>
    <w:basedOn w:val="Normal"/>
    <w:link w:val="CommentTextChar"/>
    <w:uiPriority w:val="99"/>
    <w:unhideWhenUsed/>
    <w:rsid w:val="00296362"/>
    <w:rPr>
      <w:sz w:val="20"/>
      <w:szCs w:val="20"/>
    </w:rPr>
  </w:style>
  <w:style w:type="character" w:customStyle="1" w:styleId="CommentTextChar">
    <w:name w:val="Comment Text Char"/>
    <w:aliases w:val=" Char Char,Char Char"/>
    <w:basedOn w:val="DefaultParagraphFont"/>
    <w:link w:val="CommentText"/>
    <w:uiPriority w:val="99"/>
    <w:rsid w:val="00296362"/>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296362"/>
    <w:rPr>
      <w:b/>
      <w:bCs/>
    </w:rPr>
  </w:style>
  <w:style w:type="character" w:customStyle="1" w:styleId="CommentSubjectChar">
    <w:name w:val="Comment Subject Char"/>
    <w:basedOn w:val="CommentTextChar"/>
    <w:link w:val="CommentSubject"/>
    <w:uiPriority w:val="99"/>
    <w:semiHidden/>
    <w:rsid w:val="00296362"/>
    <w:rPr>
      <w:rFonts w:ascii="Times New Roman" w:eastAsia="Times New Roman" w:hAnsi="Times New Roman" w:cs="Times New Roman"/>
      <w:b/>
      <w:bCs/>
      <w:sz w:val="20"/>
      <w:szCs w:val="20"/>
      <w:lang w:eastAsia="lt-LT"/>
    </w:rPr>
  </w:style>
  <w:style w:type="paragraph" w:styleId="NormalWeb">
    <w:name w:val="Normal (Web)"/>
    <w:basedOn w:val="Normal"/>
    <w:uiPriority w:val="99"/>
    <w:unhideWhenUsed/>
    <w:rsid w:val="007D6198"/>
    <w:pPr>
      <w:spacing w:before="100" w:beforeAutospacing="1" w:after="100" w:afterAutospacing="1"/>
    </w:pPr>
    <w:rPr>
      <w:rFonts w:eastAsiaTheme="minorHAnsi"/>
    </w:rPr>
  </w:style>
  <w:style w:type="character" w:styleId="Strong">
    <w:name w:val="Strong"/>
    <w:basedOn w:val="DefaultParagraphFont"/>
    <w:uiPriority w:val="22"/>
    <w:qFormat/>
    <w:rsid w:val="00E46E74"/>
    <w:rPr>
      <w:b/>
      <w:bCs/>
    </w:rPr>
  </w:style>
  <w:style w:type="paragraph" w:styleId="FootnoteText">
    <w:name w:val="footnote text"/>
    <w:basedOn w:val="Normal"/>
    <w:link w:val="FootnoteTextChar"/>
    <w:uiPriority w:val="99"/>
    <w:semiHidden/>
    <w:unhideWhenUsed/>
    <w:rsid w:val="006F411A"/>
    <w:rPr>
      <w:sz w:val="20"/>
      <w:szCs w:val="20"/>
    </w:rPr>
  </w:style>
  <w:style w:type="character" w:customStyle="1" w:styleId="FootnoteTextChar">
    <w:name w:val="Footnote Text Char"/>
    <w:basedOn w:val="DefaultParagraphFont"/>
    <w:link w:val="FootnoteText"/>
    <w:uiPriority w:val="99"/>
    <w:semiHidden/>
    <w:rsid w:val="006F411A"/>
    <w:rPr>
      <w:rFonts w:ascii="Times New Roman" w:eastAsia="Times New Roman" w:hAnsi="Times New Roman" w:cs="Times New Roman"/>
      <w:sz w:val="20"/>
      <w:szCs w:val="20"/>
      <w:lang w:eastAsia="lt-LT"/>
    </w:rPr>
  </w:style>
  <w:style w:type="character" w:styleId="FootnoteReference">
    <w:name w:val="footnote reference"/>
    <w:basedOn w:val="DefaultParagraphFont"/>
    <w:uiPriority w:val="99"/>
    <w:semiHidden/>
    <w:unhideWhenUsed/>
    <w:rsid w:val="006F411A"/>
    <w:rPr>
      <w:vertAlign w:val="superscript"/>
    </w:rPr>
  </w:style>
  <w:style w:type="paragraph" w:customStyle="1" w:styleId="xxmsonormal">
    <w:name w:val="x_x_msonormal"/>
    <w:basedOn w:val="Normal"/>
    <w:rsid w:val="001B17F1"/>
    <w:rPr>
      <w:rFonts w:ascii="Calibri" w:eastAsiaTheme="minorHAnsi" w:hAnsi="Calibri" w:cs="Calibri"/>
      <w:sz w:val="22"/>
      <w:szCs w:val="22"/>
    </w:rPr>
  </w:style>
  <w:style w:type="character" w:styleId="Hyperlink">
    <w:name w:val="Hyperlink"/>
    <w:unhideWhenUsed/>
    <w:rsid w:val="00C86D29"/>
    <w:rPr>
      <w:color w:val="0000FF"/>
      <w:u w:val="single"/>
    </w:rPr>
  </w:style>
  <w:style w:type="character" w:customStyle="1" w:styleId="apple-converted-space">
    <w:name w:val="apple-converted-space"/>
    <w:basedOn w:val="DefaultParagraphFont"/>
    <w:rsid w:val="00C86D29"/>
  </w:style>
  <w:style w:type="paragraph" w:styleId="Header">
    <w:name w:val="header"/>
    <w:basedOn w:val="Normal"/>
    <w:link w:val="HeaderChar"/>
    <w:uiPriority w:val="99"/>
    <w:semiHidden/>
    <w:unhideWhenUsed/>
    <w:rsid w:val="003B164A"/>
    <w:pPr>
      <w:tabs>
        <w:tab w:val="center" w:pos="4819"/>
        <w:tab w:val="right" w:pos="9638"/>
      </w:tabs>
    </w:pPr>
  </w:style>
  <w:style w:type="character" w:customStyle="1" w:styleId="HeaderChar">
    <w:name w:val="Header Char"/>
    <w:basedOn w:val="DefaultParagraphFont"/>
    <w:link w:val="Header"/>
    <w:uiPriority w:val="99"/>
    <w:semiHidden/>
    <w:rsid w:val="003B164A"/>
    <w:rPr>
      <w:rFonts w:ascii="Times New Roman" w:eastAsia="Times New Roman" w:hAnsi="Times New Roman" w:cs="Times New Roman"/>
      <w:sz w:val="24"/>
      <w:szCs w:val="24"/>
      <w:lang w:eastAsia="lt-LT"/>
    </w:rPr>
  </w:style>
  <w:style w:type="paragraph" w:styleId="IntenseQuote">
    <w:name w:val="Intense Quote"/>
    <w:basedOn w:val="Normal"/>
    <w:next w:val="Normal"/>
    <w:link w:val="IntenseQuoteChar"/>
    <w:uiPriority w:val="30"/>
    <w:qFormat/>
    <w:rsid w:val="003B164A"/>
    <w:pPr>
      <w:framePr w:wrap="around" w:vAnchor="text" w:hAnchor="text" w:y="1"/>
      <w:pBdr>
        <w:top w:val="double" w:sz="4" w:space="10" w:color="auto"/>
        <w:bottom w:val="single" w:sz="4" w:space="10" w:color="auto"/>
      </w:pBdr>
      <w:spacing w:before="360" w:after="360"/>
      <w:ind w:left="864" w:right="864"/>
      <w:jc w:val="center"/>
    </w:pPr>
    <w:rPr>
      <w:iCs/>
    </w:rPr>
  </w:style>
  <w:style w:type="character" w:customStyle="1" w:styleId="IntenseQuoteChar">
    <w:name w:val="Intense Quote Char"/>
    <w:basedOn w:val="DefaultParagraphFont"/>
    <w:link w:val="IntenseQuote"/>
    <w:uiPriority w:val="30"/>
    <w:rsid w:val="003B164A"/>
    <w:rPr>
      <w:rFonts w:ascii="Times New Roman" w:eastAsia="Times New Roman" w:hAnsi="Times New Roman" w:cs="Times New Roman"/>
      <w:iCs/>
      <w:sz w:val="24"/>
      <w:szCs w:val="24"/>
      <w:lang w:eastAsia="lt-LT"/>
    </w:rPr>
  </w:style>
  <w:style w:type="paragraph" w:customStyle="1" w:styleId="xmsonormal">
    <w:name w:val="x_msonormal"/>
    <w:basedOn w:val="Normal"/>
    <w:uiPriority w:val="99"/>
    <w:rsid w:val="003B164A"/>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426133">
      <w:bodyDiv w:val="1"/>
      <w:marLeft w:val="0"/>
      <w:marRight w:val="0"/>
      <w:marTop w:val="0"/>
      <w:marBottom w:val="0"/>
      <w:divBdr>
        <w:top w:val="none" w:sz="0" w:space="0" w:color="auto"/>
        <w:left w:val="none" w:sz="0" w:space="0" w:color="auto"/>
        <w:bottom w:val="none" w:sz="0" w:space="0" w:color="auto"/>
        <w:right w:val="none" w:sz="0" w:space="0" w:color="auto"/>
      </w:divBdr>
    </w:div>
    <w:div w:id="831944635">
      <w:bodyDiv w:val="1"/>
      <w:marLeft w:val="0"/>
      <w:marRight w:val="0"/>
      <w:marTop w:val="0"/>
      <w:marBottom w:val="0"/>
      <w:divBdr>
        <w:top w:val="none" w:sz="0" w:space="0" w:color="auto"/>
        <w:left w:val="none" w:sz="0" w:space="0" w:color="auto"/>
        <w:bottom w:val="none" w:sz="0" w:space="0" w:color="auto"/>
        <w:right w:val="none" w:sz="0" w:space="0" w:color="auto"/>
      </w:divBdr>
    </w:div>
    <w:div w:id="1164004138">
      <w:bodyDiv w:val="1"/>
      <w:marLeft w:val="0"/>
      <w:marRight w:val="0"/>
      <w:marTop w:val="0"/>
      <w:marBottom w:val="0"/>
      <w:divBdr>
        <w:top w:val="none" w:sz="0" w:space="0" w:color="auto"/>
        <w:left w:val="none" w:sz="0" w:space="0" w:color="auto"/>
        <w:bottom w:val="none" w:sz="0" w:space="0" w:color="auto"/>
        <w:right w:val="none" w:sz="0" w:space="0" w:color="auto"/>
      </w:divBdr>
    </w:div>
    <w:div w:id="170586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BA67E-1D9E-408A-928D-99532403A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4415</Words>
  <Characters>2517</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Celova Olga</dc:creator>
  <cp:keywords/>
  <dc:description/>
  <cp:lastModifiedBy>Kazlauskienė Aurelija</cp:lastModifiedBy>
  <cp:revision>2</cp:revision>
  <dcterms:created xsi:type="dcterms:W3CDTF">2021-05-04T05:53:00Z</dcterms:created>
  <dcterms:modified xsi:type="dcterms:W3CDTF">2021-05-04T05:53:00Z</dcterms:modified>
</cp:coreProperties>
</file>