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8E428" w14:textId="77777777" w:rsidR="0087202C" w:rsidRPr="00D4321A" w:rsidRDefault="0087202C">
      <w:pPr>
        <w:tabs>
          <w:tab w:val="left" w:pos="4536"/>
        </w:tabs>
        <w:rPr>
          <w:lang w:val="lt-LT"/>
        </w:rPr>
      </w:pPr>
    </w:p>
    <w:tbl>
      <w:tblPr>
        <w:tblW w:w="0" w:type="auto"/>
        <w:tblInd w:w="108" w:type="dxa"/>
        <w:tblLayout w:type="fixed"/>
        <w:tblLook w:val="00A0" w:firstRow="1" w:lastRow="0" w:firstColumn="1" w:lastColumn="0" w:noHBand="0" w:noVBand="0"/>
      </w:tblPr>
      <w:tblGrid>
        <w:gridCol w:w="3828"/>
        <w:gridCol w:w="283"/>
        <w:gridCol w:w="5387"/>
      </w:tblGrid>
      <w:tr w:rsidR="0087202C" w:rsidRPr="00D4321A" w14:paraId="24E5A438" w14:textId="77777777" w:rsidTr="00A64954">
        <w:trPr>
          <w:trHeight w:hRule="exact" w:val="1055"/>
        </w:trPr>
        <w:tc>
          <w:tcPr>
            <w:tcW w:w="9498" w:type="dxa"/>
            <w:gridSpan w:val="3"/>
          </w:tcPr>
          <w:p w14:paraId="70A5D4E7" w14:textId="77777777" w:rsidR="0087202C" w:rsidRPr="00D4321A" w:rsidRDefault="00705792" w:rsidP="00A64954">
            <w:pPr>
              <w:spacing w:after="360"/>
              <w:jc w:val="center"/>
              <w:rPr>
                <w:color w:val="000000"/>
                <w:lang w:val="lt-LT"/>
              </w:rPr>
            </w:pPr>
            <w:r>
              <w:rPr>
                <w:noProof/>
                <w:lang w:val="lt-LT" w:eastAsia="lt-LT"/>
              </w:rPr>
              <w:drawing>
                <wp:inline distT="0" distB="0" distL="0" distR="0" wp14:anchorId="130A2520" wp14:editId="073F0456">
                  <wp:extent cx="504825" cy="571500"/>
                  <wp:effectExtent l="0" t="0" r="9525" b="0"/>
                  <wp:docPr id="2" name="Picture 1" descr="herbas-L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L_spalvot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a:ln>
                            <a:noFill/>
                          </a:ln>
                        </pic:spPr>
                      </pic:pic>
                    </a:graphicData>
                  </a:graphic>
                </wp:inline>
              </w:drawing>
            </w:r>
          </w:p>
        </w:tc>
      </w:tr>
      <w:tr w:rsidR="0087202C" w:rsidRPr="00D4321A" w14:paraId="537DCDC6" w14:textId="77777777" w:rsidTr="00050B0E">
        <w:trPr>
          <w:trHeight w:hRule="exact" w:val="825"/>
        </w:trPr>
        <w:tc>
          <w:tcPr>
            <w:tcW w:w="9498" w:type="dxa"/>
            <w:gridSpan w:val="3"/>
          </w:tcPr>
          <w:p w14:paraId="18D9CD64" w14:textId="77777777" w:rsidR="0087202C" w:rsidRPr="00D4321A" w:rsidRDefault="0087202C">
            <w:pPr>
              <w:pStyle w:val="Heading1"/>
              <w:rPr>
                <w:color w:val="000000"/>
                <w:szCs w:val="24"/>
              </w:rPr>
            </w:pPr>
            <w:r w:rsidRPr="00D4321A">
              <w:rPr>
                <w:szCs w:val="24"/>
              </w:rPr>
              <w:t>LIETUVOS BANKAS</w:t>
            </w:r>
          </w:p>
          <w:p w14:paraId="76A92F05" w14:textId="77777777" w:rsidR="0087202C" w:rsidRPr="00050B0E" w:rsidRDefault="0087202C">
            <w:pPr>
              <w:spacing w:before="120"/>
              <w:jc w:val="center"/>
              <w:rPr>
                <w:b/>
                <w:vanish/>
                <w:color w:val="000000"/>
                <w:sz w:val="24"/>
                <w:szCs w:val="24"/>
                <w:lang w:val="lt-LT"/>
              </w:rPr>
            </w:pPr>
          </w:p>
        </w:tc>
      </w:tr>
      <w:tr w:rsidR="00050B0E" w:rsidRPr="00D4321A" w14:paraId="2AE6D853" w14:textId="77777777" w:rsidTr="000D6A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14:paraId="1C4C019E" w14:textId="77777777" w:rsidR="00050B0E" w:rsidRPr="00D4321A" w:rsidRDefault="00050B0E" w:rsidP="000D6AEB">
            <w:pPr>
              <w:rPr>
                <w:b/>
                <w:bCs/>
                <w:lang w:val="lt-LT"/>
              </w:rPr>
            </w:pPr>
          </w:p>
        </w:tc>
      </w:tr>
      <w:tr w:rsidR="0087202C" w:rsidRPr="00D4321A" w14:paraId="288073D0" w14:textId="77777777" w:rsidTr="00255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3828" w:type="dxa"/>
            <w:tcBorders>
              <w:top w:val="nil"/>
              <w:left w:val="nil"/>
              <w:bottom w:val="nil"/>
              <w:right w:val="nil"/>
            </w:tcBorders>
          </w:tcPr>
          <w:p w14:paraId="3B556C87" w14:textId="35F609EC" w:rsidR="0087202C" w:rsidRDefault="00E4018F">
            <w:pPr>
              <w:rPr>
                <w:lang w:val="lt-LT"/>
              </w:rPr>
            </w:pPr>
            <w:r>
              <w:rPr>
                <w:lang w:val="lt-LT"/>
              </w:rPr>
              <w:t xml:space="preserve">Lietuvos Respublikos </w:t>
            </w:r>
            <w:r w:rsidR="003A7B25">
              <w:rPr>
                <w:lang w:val="lt-LT"/>
              </w:rPr>
              <w:t xml:space="preserve">teisingumo </w:t>
            </w:r>
            <w:r>
              <w:rPr>
                <w:lang w:val="lt-LT"/>
              </w:rPr>
              <w:t>ministerijai</w:t>
            </w:r>
          </w:p>
          <w:p w14:paraId="3FD9A817" w14:textId="73B6A2FF" w:rsidR="00106E9F" w:rsidRDefault="00106E9F">
            <w:pPr>
              <w:rPr>
                <w:lang w:val="lt-LT"/>
              </w:rPr>
            </w:pPr>
          </w:p>
          <w:p w14:paraId="4097F87D" w14:textId="087525D1" w:rsidR="003D0096" w:rsidRDefault="003D0096">
            <w:pPr>
              <w:rPr>
                <w:lang w:val="lt-LT"/>
              </w:rPr>
            </w:pPr>
            <w:r>
              <w:rPr>
                <w:lang w:val="lt-LT"/>
              </w:rPr>
              <w:t>Kopija</w:t>
            </w:r>
          </w:p>
          <w:p w14:paraId="5326ACA3" w14:textId="77777777" w:rsidR="003D0096" w:rsidRPr="003D0096" w:rsidRDefault="003D0096" w:rsidP="003D0096">
            <w:pPr>
              <w:rPr>
                <w:lang w:val="lt-LT"/>
              </w:rPr>
            </w:pPr>
            <w:r w:rsidRPr="003D0096">
              <w:rPr>
                <w:lang w:val="lt-LT"/>
              </w:rPr>
              <w:t>Lietuvos Respublikos Vyriausybės kanceliarijai</w:t>
            </w:r>
          </w:p>
          <w:p w14:paraId="2C2F5E56" w14:textId="77777777" w:rsidR="003D0096" w:rsidRDefault="003D0096" w:rsidP="003D0096">
            <w:pPr>
              <w:rPr>
                <w:lang w:val="lt-LT"/>
              </w:rPr>
            </w:pPr>
            <w:r>
              <w:rPr>
                <w:lang w:val="lt-LT"/>
              </w:rPr>
              <w:t>Lietuvos Respublikos ekonomikos ir inovacijų ministerijai</w:t>
            </w:r>
          </w:p>
          <w:p w14:paraId="7283EB5E" w14:textId="77777777" w:rsidR="003D0096" w:rsidRDefault="003D0096" w:rsidP="003D0096">
            <w:pPr>
              <w:rPr>
                <w:lang w:val="lt-LT"/>
              </w:rPr>
            </w:pPr>
            <w:r>
              <w:rPr>
                <w:lang w:val="lt-LT"/>
              </w:rPr>
              <w:t>Lietuvos Respublikos vidaus reikalų ministerijai</w:t>
            </w:r>
          </w:p>
          <w:p w14:paraId="6EFDF4D9" w14:textId="554B0537" w:rsidR="003D0096" w:rsidRDefault="003D0096" w:rsidP="003D0096">
            <w:pPr>
              <w:rPr>
                <w:lang w:val="lt-LT"/>
              </w:rPr>
            </w:pPr>
            <w:r>
              <w:rPr>
                <w:lang w:val="lt-LT"/>
              </w:rPr>
              <w:t>Valstybės įmonei</w:t>
            </w:r>
            <w:r w:rsidRPr="00917EE4">
              <w:rPr>
                <w:lang w:val="lt-LT"/>
              </w:rPr>
              <w:t xml:space="preserve"> Registrų centr</w:t>
            </w:r>
            <w:r>
              <w:rPr>
                <w:lang w:val="lt-LT"/>
              </w:rPr>
              <w:t>ui</w:t>
            </w:r>
          </w:p>
          <w:p w14:paraId="3A13FC3A" w14:textId="63C930EF" w:rsidR="00E96FBA" w:rsidRDefault="00E96FBA" w:rsidP="003D0096">
            <w:pPr>
              <w:rPr>
                <w:lang w:val="lt-LT"/>
              </w:rPr>
            </w:pPr>
            <w:r>
              <w:rPr>
                <w:lang w:val="lt-LT"/>
              </w:rPr>
              <w:t>Finansinių nusikaltimų tyrimo tarnybai prie Lietuvos Respublikos vidaus reikalų ministerijos</w:t>
            </w:r>
          </w:p>
          <w:p w14:paraId="1BA063A7" w14:textId="77777777" w:rsidR="003D0096" w:rsidRDefault="003D0096">
            <w:pPr>
              <w:rPr>
                <w:lang w:val="lt-LT"/>
              </w:rPr>
            </w:pPr>
          </w:p>
          <w:p w14:paraId="7A14816C" w14:textId="7A1F31E3" w:rsidR="00E555CF" w:rsidRDefault="00E555CF">
            <w:pPr>
              <w:rPr>
                <w:lang w:val="lt-LT"/>
              </w:rPr>
            </w:pPr>
            <w:r w:rsidRPr="00AA08E4">
              <w:rPr>
                <w:i/>
                <w:lang w:val="lt-LT"/>
              </w:rPr>
              <w:t>Siunčiama e. pristatymo sistema</w:t>
            </w:r>
          </w:p>
          <w:p w14:paraId="7505BE64" w14:textId="69876921" w:rsidR="00FF57D5" w:rsidRPr="00D4321A" w:rsidRDefault="00FF57D5">
            <w:pPr>
              <w:rPr>
                <w:lang w:val="lt-LT"/>
              </w:rPr>
            </w:pPr>
          </w:p>
        </w:tc>
        <w:tc>
          <w:tcPr>
            <w:tcW w:w="283" w:type="dxa"/>
            <w:tcBorders>
              <w:top w:val="nil"/>
              <w:left w:val="nil"/>
              <w:bottom w:val="nil"/>
              <w:right w:val="nil"/>
            </w:tcBorders>
          </w:tcPr>
          <w:p w14:paraId="78660526" w14:textId="77777777" w:rsidR="0087202C" w:rsidRPr="00D4321A" w:rsidRDefault="0087202C">
            <w:pPr>
              <w:pStyle w:val="Heading2"/>
              <w:rPr>
                <w:sz w:val="20"/>
              </w:rPr>
            </w:pPr>
          </w:p>
          <w:p w14:paraId="7CE088B3" w14:textId="77777777" w:rsidR="0087202C" w:rsidRPr="00D4321A" w:rsidRDefault="0087202C">
            <w:pPr>
              <w:pStyle w:val="Heading2"/>
              <w:rPr>
                <w:sz w:val="20"/>
              </w:rPr>
            </w:pPr>
            <w:r w:rsidRPr="00D4321A">
              <w:rPr>
                <w:sz w:val="20"/>
              </w:rPr>
              <w:t>Į</w:t>
            </w:r>
          </w:p>
        </w:tc>
        <w:tc>
          <w:tcPr>
            <w:tcW w:w="5387" w:type="dxa"/>
            <w:tcBorders>
              <w:top w:val="nil"/>
              <w:left w:val="nil"/>
              <w:bottom w:val="nil"/>
              <w:right w:val="nil"/>
            </w:tcBorders>
          </w:tcPr>
          <w:p w14:paraId="4CE92BA5" w14:textId="77777777" w:rsidR="0087202C" w:rsidRPr="00325EE4" w:rsidRDefault="0087202C">
            <w:r w:rsidRPr="00325EE4">
              <w:fldChar w:fldCharType="begin"/>
            </w:r>
            <w:r w:rsidRPr="00325EE4">
              <w:instrText xml:space="preserve"> DOCPROPERTY  "dok_data" </w:instrText>
            </w:r>
            <w:r w:rsidRPr="00325EE4">
              <w:fldChar w:fldCharType="separate"/>
            </w:r>
            <w:r w:rsidR="00A27554" w:rsidRPr="00325EE4">
              <w:t>    </w:t>
            </w:r>
            <w:r w:rsidRPr="00325EE4">
              <w:fldChar w:fldCharType="end"/>
            </w:r>
            <w:r w:rsidRPr="00325EE4">
              <w:t xml:space="preserve"> Nr. </w:t>
            </w:r>
            <w:r w:rsidRPr="00325EE4">
              <w:fldChar w:fldCharType="begin"/>
            </w:r>
            <w:r w:rsidRPr="00325EE4">
              <w:instrText xml:space="preserve"> DOCPROPERTY  "reg_nr" </w:instrText>
            </w:r>
            <w:r w:rsidRPr="00325EE4">
              <w:fldChar w:fldCharType="separate"/>
            </w:r>
            <w:r w:rsidR="00A27554" w:rsidRPr="00325EE4">
              <w:t>    </w:t>
            </w:r>
            <w:r w:rsidRPr="00325EE4">
              <w:fldChar w:fldCharType="end"/>
            </w:r>
          </w:p>
          <w:p w14:paraId="283C3315" w14:textId="4FC6A675" w:rsidR="0087202C" w:rsidRPr="00D4321A" w:rsidRDefault="009E1063" w:rsidP="00255AD3">
            <w:pPr>
              <w:rPr>
                <w:lang w:val="lt-LT"/>
              </w:rPr>
            </w:pPr>
            <w:r>
              <w:t>2021-</w:t>
            </w:r>
            <w:r w:rsidR="003A7B25">
              <w:t>10</w:t>
            </w:r>
            <w:r>
              <w:t>-2</w:t>
            </w:r>
            <w:r w:rsidR="003A7B25">
              <w:t>8</w:t>
            </w:r>
            <w:r w:rsidR="0087202C" w:rsidRPr="00325EE4">
              <w:t xml:space="preserve"> Nr.</w:t>
            </w:r>
            <w:r w:rsidRPr="00325EE4">
              <w:t xml:space="preserve"> </w:t>
            </w:r>
            <w:r w:rsidR="003A7B25" w:rsidRPr="00325EE4">
              <w:t>21-31673</w:t>
            </w:r>
          </w:p>
        </w:tc>
      </w:tr>
      <w:tr w:rsidR="00255AD3" w:rsidRPr="00D4321A" w14:paraId="6F0FBA51" w14:textId="77777777" w:rsidTr="00A649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9498" w:type="dxa"/>
            <w:gridSpan w:val="3"/>
            <w:tcBorders>
              <w:top w:val="nil"/>
              <w:left w:val="nil"/>
              <w:bottom w:val="nil"/>
              <w:right w:val="nil"/>
            </w:tcBorders>
          </w:tcPr>
          <w:p w14:paraId="62E7BB77" w14:textId="77777777" w:rsidR="00255AD3" w:rsidRPr="00D4321A" w:rsidRDefault="00255AD3">
            <w:pPr>
              <w:rPr>
                <w:b/>
                <w:bCs/>
                <w:lang w:val="lt-LT"/>
              </w:rPr>
            </w:pPr>
          </w:p>
        </w:tc>
      </w:tr>
      <w:tr w:rsidR="0087202C" w:rsidRPr="00E4018F" w14:paraId="3FEAE3DD" w14:textId="77777777" w:rsidTr="003A7B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6"/>
        </w:trPr>
        <w:tc>
          <w:tcPr>
            <w:tcW w:w="9498" w:type="dxa"/>
            <w:gridSpan w:val="3"/>
            <w:tcBorders>
              <w:top w:val="nil"/>
              <w:left w:val="nil"/>
              <w:bottom w:val="nil"/>
              <w:right w:val="nil"/>
            </w:tcBorders>
          </w:tcPr>
          <w:p w14:paraId="496B9974" w14:textId="291C4583" w:rsidR="0087202C" w:rsidRPr="00D4321A" w:rsidRDefault="003A7B25" w:rsidP="009E1063">
            <w:pPr>
              <w:jc w:val="both"/>
              <w:rPr>
                <w:b/>
                <w:lang w:val="lt-LT"/>
              </w:rPr>
            </w:pPr>
            <w:r>
              <w:rPr>
                <w:b/>
                <w:lang w:val="lt-LT"/>
              </w:rPr>
              <w:t>DĖL</w:t>
            </w:r>
            <w:r>
              <w:rPr>
                <w:b/>
                <w:bCs/>
                <w:caps/>
                <w:color w:val="000000"/>
                <w:shd w:val="clear" w:color="auto" w:fill="FFFFFF"/>
              </w:rPr>
              <w:t xml:space="preserve"> TEISĖS AKTŲ PROJEKTŲ DERINIMO </w:t>
            </w:r>
          </w:p>
        </w:tc>
      </w:tr>
    </w:tbl>
    <w:p w14:paraId="660ED179" w14:textId="453EC819" w:rsidR="003D0096" w:rsidRDefault="00D64B67" w:rsidP="003D0096">
      <w:pPr>
        <w:ind w:firstLine="720"/>
        <w:jc w:val="both"/>
      </w:pPr>
      <w:r>
        <w:rPr>
          <w:lang w:val="lt-LT"/>
        </w:rPr>
        <w:t>I</w:t>
      </w:r>
      <w:r w:rsidR="003A7B25">
        <w:rPr>
          <w:lang w:val="lt-LT"/>
        </w:rPr>
        <w:t xml:space="preserve">nformuojame, kad Lietuvos bankas </w:t>
      </w:r>
      <w:r>
        <w:rPr>
          <w:lang w:val="lt-LT"/>
        </w:rPr>
        <w:t xml:space="preserve">dėl Lietuvos Respublikos teisingumo ministerijos skubos tvarka pateiktų derinti </w:t>
      </w:r>
      <w:r w:rsidRPr="003A7B25">
        <w:rPr>
          <w:lang w:val="lt-LT"/>
        </w:rPr>
        <w:t>Lietuvos Respublikos pinigų plovimo ir teroristų finansavimo prevencijos įstatymo Nr. VIII-275 12 ir 252 straipsnių pakeitimo įstatymo projekt</w:t>
      </w:r>
      <w:r>
        <w:rPr>
          <w:lang w:val="lt-LT"/>
        </w:rPr>
        <w:t>o</w:t>
      </w:r>
      <w:r w:rsidRPr="003A7B25">
        <w:rPr>
          <w:lang w:val="lt-LT"/>
        </w:rPr>
        <w:t xml:space="preserve"> ir Lietuvos Respublikos valstybės informacinių išteklių valdymo įstatymo Nr. XI-1807 38 straipsnio pakeitimo įstatymo projekt</w:t>
      </w:r>
      <w:r>
        <w:rPr>
          <w:lang w:val="lt-LT"/>
        </w:rPr>
        <w:t xml:space="preserve">o </w:t>
      </w:r>
      <w:r w:rsidR="003A7B25">
        <w:rPr>
          <w:lang w:val="lt-LT"/>
        </w:rPr>
        <w:t xml:space="preserve">pastabų neturi. </w:t>
      </w:r>
    </w:p>
    <w:p w14:paraId="244005D9" w14:textId="4E4E5DA5" w:rsidR="00020A11" w:rsidRPr="00E96FBA" w:rsidRDefault="00DD0143" w:rsidP="000733D3">
      <w:pPr>
        <w:ind w:firstLine="720"/>
        <w:jc w:val="both"/>
        <w:rPr>
          <w:lang w:val="lt-LT"/>
        </w:rPr>
      </w:pPr>
      <w:r>
        <w:rPr>
          <w:lang w:val="lt-LT"/>
        </w:rPr>
        <w:t>Papildomai šiuo raštu p</w:t>
      </w:r>
      <w:r w:rsidR="003D0096" w:rsidRPr="003D0096">
        <w:rPr>
          <w:lang w:val="lt-LT"/>
        </w:rPr>
        <w:t xml:space="preserve">ažymime, kad Lietuvos bankas ne kartą buvo išreiškęs susirūpinimą ir atkreipęs atsakingų institucijų dėmesį į tai, kad Lietuvoje iki šiol nesukūrus centrinio juridinių asmenų naudos gavėjų registro nėra tinkamai įgyvendinami 2015 m. gegužės 20 d. Europos Parlamento ir Tarybos direktyvos (ES) 2015/849 dėl finansų sistemos naudojimo </w:t>
      </w:r>
      <w:r w:rsidR="003D0096" w:rsidRPr="00E96FBA">
        <w:rPr>
          <w:lang w:val="lt-LT"/>
        </w:rPr>
        <w:t>pinigų plovimui ar teroristų finansavimui prevencijos, kuria iš dalies keičiamas Europos Parlamento ir Tarybos reglamentas (ES) Nr. 648/2012 ir panaikinama Europos Parlamento ir Tarybos direktyva 2005/60/EB bei Komisijos direktyva 2006/70/EB</w:t>
      </w:r>
      <w:r w:rsidR="00D64B67" w:rsidRPr="00E96FBA">
        <w:rPr>
          <w:lang w:val="lt-LT"/>
        </w:rPr>
        <w:t>,</w:t>
      </w:r>
      <w:r w:rsidR="003D0096" w:rsidRPr="00E96FBA">
        <w:rPr>
          <w:lang w:val="lt-LT"/>
        </w:rPr>
        <w:t xml:space="preserve"> (toliau – Direktyva) reikalavimai. Direktyvos 30 ir 31 straipsniuose nurodytas reikalavimas valstybėms narėms užtikrinti, kad būtų reikalaujama, jog jų teritorijoje įsteigtos įmonės ir kiti juridiniai asmenys gautų ir saugotų adekvačią, tikslią ir atnaujintą informaciją apie savo naudos gavėjus. Valstybės narės turi užtikrinti, kad informacija būtų laikoma kiekvienos valstybės narės centriniame registre, būtų adekvati, tiksli ir atnaujinta. Vadovaujantis Direktyvos pakeitimais, priimtais 2018 m. gegužės 30 d., toks registras valstybėse narėse tur</w:t>
      </w:r>
      <w:r w:rsidRPr="00E96FBA">
        <w:rPr>
          <w:lang w:val="lt-LT"/>
        </w:rPr>
        <w:t xml:space="preserve">ėjo </w:t>
      </w:r>
      <w:r w:rsidR="003D0096" w:rsidRPr="00E96FBA">
        <w:rPr>
          <w:lang w:val="lt-LT"/>
        </w:rPr>
        <w:t>pradėti veikti ne vėliau kaip 2020 m. sausio 10 d.  </w:t>
      </w:r>
    </w:p>
    <w:p w14:paraId="0F08363F" w14:textId="6D9D6519" w:rsidR="000733D3" w:rsidRDefault="00DD0143" w:rsidP="000733D3">
      <w:pPr>
        <w:ind w:firstLine="720"/>
        <w:jc w:val="both"/>
        <w:rPr>
          <w:lang w:val="lt-LT"/>
        </w:rPr>
      </w:pPr>
      <w:r w:rsidRPr="00E96FBA">
        <w:rPr>
          <w:lang w:val="lt-LT"/>
        </w:rPr>
        <w:t>Atkreiptinas dėmesys į tai, kad t</w:t>
      </w:r>
      <w:r w:rsidR="000733D3" w:rsidRPr="00E96FBA">
        <w:rPr>
          <w:lang w:val="lt-LT"/>
        </w:rPr>
        <w:t xml:space="preserve">iksli, patikima ir atnaujinama juridinių asmenų naudos gavėjų registro informacija yra svarbi </w:t>
      </w:r>
      <w:r w:rsidRPr="00E96FBA">
        <w:rPr>
          <w:lang w:val="lt-LT"/>
        </w:rPr>
        <w:t xml:space="preserve">ir būtina </w:t>
      </w:r>
      <w:r w:rsidR="000733D3" w:rsidRPr="00E96FBA">
        <w:rPr>
          <w:lang w:val="lt-LT"/>
        </w:rPr>
        <w:t xml:space="preserve">užtikrinant efektyvų pinigų plovimo ir teroristų finansavimo prevencijos reikalavimų vykdymą, todėl neturėdamos sąlygų tinkamai pasirengti ir naudotis JADIS, finansų įstaigos susiduria su sunkumais efektyviai vykdyti pinigų plovimo ir teroristų finansavimo prevenciją.   Rizika, kad finansų įstaigos Lietuvoje gali netinkamai vykdyti pinigų plovimo ir teroristų finansavimo prevenciją, gali lemti finansų įstaigų korespondentinių santykių, kuriais naudojantis vykdomi tarptautiniai atsiskaitymai ne euro valiutomis, nutrūkimą. Dėl to suprastės galimybės Lietuvos Respublikos įmonėms atsiskaityti su užsienio partneriais, tai neigiamai paveiks Lietuvos Respublikos konkurencingumą, ekonominius </w:t>
      </w:r>
      <w:r w:rsidR="000733D3" w:rsidRPr="00E96FBA">
        <w:rPr>
          <w:lang w:val="lt-LT"/>
        </w:rPr>
        <w:lastRenderedPageBreak/>
        <w:t>santykius su ne euro zonos valstybėmis, eksportą ir importą.</w:t>
      </w:r>
    </w:p>
    <w:p w14:paraId="3B6AD8A3" w14:textId="590CAF51" w:rsidR="003D0096" w:rsidRPr="003D0096" w:rsidRDefault="003D0096" w:rsidP="003D0096">
      <w:pPr>
        <w:ind w:firstLine="720"/>
        <w:jc w:val="both"/>
        <w:rPr>
          <w:lang w:val="lt-LT"/>
        </w:rPr>
      </w:pPr>
      <w:r w:rsidRPr="003D0096">
        <w:rPr>
          <w:lang w:val="lt-LT"/>
        </w:rPr>
        <w:t>Atsižvelgdami į</w:t>
      </w:r>
      <w:r w:rsidR="00DD0143">
        <w:rPr>
          <w:lang w:val="lt-LT"/>
        </w:rPr>
        <w:t xml:space="preserve"> aukščiau išdėstytą informaciją</w:t>
      </w:r>
      <w:r w:rsidRPr="003D0096">
        <w:rPr>
          <w:lang w:val="lt-LT"/>
        </w:rPr>
        <w:t>, pakartotinai prašome atsakingų institucijų imtis veiksmų, kad būtų tinkamai įgyvendintos Direktyvos nuostatos i</w:t>
      </w:r>
      <w:r w:rsidR="00D64B67">
        <w:rPr>
          <w:lang w:val="lt-LT"/>
        </w:rPr>
        <w:t>r</w:t>
      </w:r>
      <w:r w:rsidRPr="003D0096">
        <w:rPr>
          <w:lang w:val="lt-LT"/>
        </w:rPr>
        <w:t xml:space="preserve"> užtikrintas Juridinių asmenų dalyvių informacinės sistemos (JADIS) tinkamas ir savalaikis funkcionalumas nepagrįstai neatidėliojant JADIS plėtros darbų termino.</w:t>
      </w:r>
    </w:p>
    <w:p w14:paraId="17DE4163" w14:textId="77777777" w:rsidR="003A7B25" w:rsidRDefault="003A7B25" w:rsidP="003D0096">
      <w:pPr>
        <w:jc w:val="both"/>
        <w:rPr>
          <w:lang w:val="lt-LT"/>
        </w:rPr>
      </w:pPr>
    </w:p>
    <w:p w14:paraId="60AFC3A8" w14:textId="77777777" w:rsidR="003A7B25" w:rsidRDefault="003A7B25" w:rsidP="00FF57D5">
      <w:pPr>
        <w:ind w:firstLine="709"/>
        <w:jc w:val="both"/>
        <w:rPr>
          <w:lang w:val="lt-LT"/>
        </w:rPr>
      </w:pPr>
    </w:p>
    <w:p w14:paraId="254E0344" w14:textId="77777777" w:rsidR="0087202C" w:rsidRPr="00D4321A" w:rsidRDefault="0087202C" w:rsidP="00050B0E">
      <w:pPr>
        <w:rPr>
          <w:lang w:val="lt-LT"/>
        </w:rPr>
      </w:pPr>
    </w:p>
    <w:tbl>
      <w:tblPr>
        <w:tblW w:w="9498" w:type="dxa"/>
        <w:tblInd w:w="108" w:type="dxa"/>
        <w:tblLayout w:type="fixed"/>
        <w:tblLook w:val="0000" w:firstRow="0" w:lastRow="0" w:firstColumn="0" w:lastColumn="0" w:noHBand="0" w:noVBand="0"/>
      </w:tblPr>
      <w:tblGrid>
        <w:gridCol w:w="4695"/>
        <w:gridCol w:w="4803"/>
      </w:tblGrid>
      <w:tr w:rsidR="00A64954" w:rsidRPr="00D4321A" w14:paraId="4EE42ACC" w14:textId="77777777" w:rsidTr="00255AD3">
        <w:tc>
          <w:tcPr>
            <w:tcW w:w="4695" w:type="dxa"/>
          </w:tcPr>
          <w:p w14:paraId="3CE00F2F" w14:textId="11387308" w:rsidR="00325EE4" w:rsidRPr="00D4321A" w:rsidRDefault="00A64954" w:rsidP="00A27554">
            <w:pPr>
              <w:rPr>
                <w:lang w:val="lt-LT"/>
              </w:rPr>
            </w:pPr>
            <w:r w:rsidRPr="00D4321A">
              <w:rPr>
                <w:lang w:val="lt-LT"/>
              </w:rPr>
              <w:fldChar w:fldCharType="begin"/>
            </w:r>
            <w:r w:rsidRPr="00D4321A">
              <w:rPr>
                <w:lang w:val="lt-LT"/>
              </w:rPr>
              <w:instrText xml:space="preserve"> DOCPROPERTY  "pas_pareigos" </w:instrText>
            </w:r>
            <w:r w:rsidRPr="00D4321A">
              <w:rPr>
                <w:lang w:val="lt-LT"/>
              </w:rPr>
              <w:fldChar w:fldCharType="separate"/>
            </w:r>
            <w:r w:rsidR="00A27554">
              <w:rPr>
                <w:lang w:val="lt-LT"/>
              </w:rPr>
              <w:t>    </w:t>
            </w:r>
            <w:r w:rsidRPr="00D4321A">
              <w:rPr>
                <w:lang w:val="lt-LT"/>
              </w:rPr>
              <w:fldChar w:fldCharType="end"/>
            </w:r>
          </w:p>
        </w:tc>
        <w:tc>
          <w:tcPr>
            <w:tcW w:w="4803" w:type="dxa"/>
          </w:tcPr>
          <w:p w14:paraId="7AB362D9" w14:textId="77777777" w:rsidR="00A64954" w:rsidRPr="00D4321A" w:rsidRDefault="00A64954" w:rsidP="00A27554">
            <w:pPr>
              <w:pStyle w:val="Heading3"/>
              <w:jc w:val="right"/>
              <w:rPr>
                <w:sz w:val="20"/>
              </w:rPr>
            </w:pPr>
            <w:r w:rsidRPr="00D4321A">
              <w:rPr>
                <w:sz w:val="20"/>
              </w:rPr>
              <w:fldChar w:fldCharType="begin"/>
            </w:r>
            <w:r w:rsidRPr="00D4321A">
              <w:rPr>
                <w:sz w:val="20"/>
              </w:rPr>
              <w:instrText xml:space="preserve"> DOCPROPERTY  "dok_pasirase" </w:instrText>
            </w:r>
            <w:r w:rsidRPr="00D4321A">
              <w:rPr>
                <w:sz w:val="20"/>
              </w:rPr>
              <w:fldChar w:fldCharType="separate"/>
            </w:r>
            <w:r w:rsidR="00A27554">
              <w:rPr>
                <w:sz w:val="20"/>
              </w:rPr>
              <w:t>    </w:t>
            </w:r>
            <w:r w:rsidRPr="00D4321A">
              <w:rPr>
                <w:sz w:val="20"/>
              </w:rPr>
              <w:fldChar w:fldCharType="end"/>
            </w:r>
          </w:p>
        </w:tc>
      </w:tr>
    </w:tbl>
    <w:p w14:paraId="6F2AD8AA" w14:textId="77777777" w:rsidR="00E7287D" w:rsidRDefault="00E7287D" w:rsidP="00D9737E">
      <w:pPr>
        <w:rPr>
          <w:lang w:val="lt-LT"/>
        </w:rPr>
      </w:pPr>
    </w:p>
    <w:p w14:paraId="787C3304" w14:textId="38672DB2" w:rsidR="00106E9F" w:rsidRDefault="00106E9F" w:rsidP="00D9737E">
      <w:pPr>
        <w:rPr>
          <w:lang w:val="lt-LT"/>
        </w:rPr>
      </w:pPr>
    </w:p>
    <w:p w14:paraId="6950DC94" w14:textId="5E2B0E94" w:rsidR="00E96FBA" w:rsidRDefault="00E96FBA" w:rsidP="00D9737E">
      <w:pPr>
        <w:rPr>
          <w:lang w:val="lt-LT"/>
        </w:rPr>
      </w:pPr>
    </w:p>
    <w:p w14:paraId="34DB246D" w14:textId="56112936" w:rsidR="00E96FBA" w:rsidRDefault="00E96FBA" w:rsidP="00D9737E">
      <w:pPr>
        <w:rPr>
          <w:lang w:val="lt-LT"/>
        </w:rPr>
      </w:pPr>
    </w:p>
    <w:p w14:paraId="6B66DE9F" w14:textId="64776A14" w:rsidR="00E96FBA" w:rsidRDefault="00E96FBA" w:rsidP="00D9737E">
      <w:pPr>
        <w:rPr>
          <w:lang w:val="lt-LT"/>
        </w:rPr>
      </w:pPr>
    </w:p>
    <w:p w14:paraId="542D65E5" w14:textId="6CAAD9DB" w:rsidR="00E96FBA" w:rsidRDefault="00E96FBA" w:rsidP="00D9737E">
      <w:pPr>
        <w:rPr>
          <w:lang w:val="lt-LT"/>
        </w:rPr>
      </w:pPr>
    </w:p>
    <w:p w14:paraId="71749453" w14:textId="206B3867" w:rsidR="00E96FBA" w:rsidRDefault="00E96FBA" w:rsidP="00D9737E">
      <w:pPr>
        <w:rPr>
          <w:lang w:val="lt-LT"/>
        </w:rPr>
      </w:pPr>
    </w:p>
    <w:p w14:paraId="4C5F91D2" w14:textId="096A0D4B" w:rsidR="00E96FBA" w:rsidRDefault="00E96FBA" w:rsidP="00D9737E">
      <w:pPr>
        <w:rPr>
          <w:lang w:val="lt-LT"/>
        </w:rPr>
      </w:pPr>
    </w:p>
    <w:p w14:paraId="448CAE38" w14:textId="6404681E" w:rsidR="00E96FBA" w:rsidRDefault="00E96FBA" w:rsidP="00D9737E">
      <w:pPr>
        <w:rPr>
          <w:lang w:val="lt-LT"/>
        </w:rPr>
      </w:pPr>
    </w:p>
    <w:p w14:paraId="181B3592" w14:textId="66E2E061" w:rsidR="00E96FBA" w:rsidRDefault="00E96FBA" w:rsidP="00D9737E">
      <w:pPr>
        <w:rPr>
          <w:lang w:val="lt-LT"/>
        </w:rPr>
      </w:pPr>
    </w:p>
    <w:p w14:paraId="28C6C7E0" w14:textId="6CEE9FA8" w:rsidR="00E96FBA" w:rsidRDefault="00E96FBA" w:rsidP="00D9737E">
      <w:pPr>
        <w:rPr>
          <w:lang w:val="lt-LT"/>
        </w:rPr>
      </w:pPr>
    </w:p>
    <w:p w14:paraId="196FF495" w14:textId="7706B80A" w:rsidR="00E96FBA" w:rsidRDefault="00E96FBA" w:rsidP="00D9737E">
      <w:pPr>
        <w:rPr>
          <w:lang w:val="lt-LT"/>
        </w:rPr>
      </w:pPr>
    </w:p>
    <w:p w14:paraId="57CF5583" w14:textId="4810626C" w:rsidR="00E96FBA" w:rsidRDefault="00E96FBA" w:rsidP="00D9737E">
      <w:pPr>
        <w:rPr>
          <w:lang w:val="lt-LT"/>
        </w:rPr>
      </w:pPr>
    </w:p>
    <w:p w14:paraId="379CAF4A" w14:textId="10FD6C7F" w:rsidR="00E96FBA" w:rsidRDefault="00E96FBA" w:rsidP="00D9737E">
      <w:pPr>
        <w:rPr>
          <w:lang w:val="lt-LT"/>
        </w:rPr>
      </w:pPr>
    </w:p>
    <w:p w14:paraId="653809F8" w14:textId="31E35406" w:rsidR="00E96FBA" w:rsidRDefault="00E96FBA" w:rsidP="00D9737E">
      <w:pPr>
        <w:rPr>
          <w:lang w:val="lt-LT"/>
        </w:rPr>
      </w:pPr>
    </w:p>
    <w:p w14:paraId="791B375A" w14:textId="24277B59" w:rsidR="00E96FBA" w:rsidRDefault="00E96FBA" w:rsidP="00D9737E">
      <w:pPr>
        <w:rPr>
          <w:lang w:val="lt-LT"/>
        </w:rPr>
      </w:pPr>
    </w:p>
    <w:p w14:paraId="19B3BE5B" w14:textId="1F9A654E" w:rsidR="00E96FBA" w:rsidRDefault="00E96FBA" w:rsidP="00D9737E">
      <w:pPr>
        <w:rPr>
          <w:lang w:val="lt-LT"/>
        </w:rPr>
      </w:pPr>
    </w:p>
    <w:p w14:paraId="012D1650" w14:textId="39BDBEA6" w:rsidR="00E96FBA" w:rsidRDefault="00E96FBA" w:rsidP="00D9737E">
      <w:pPr>
        <w:rPr>
          <w:lang w:val="lt-LT"/>
        </w:rPr>
      </w:pPr>
    </w:p>
    <w:p w14:paraId="3F47BA00" w14:textId="3DB7732F" w:rsidR="00E96FBA" w:rsidRDefault="00E96FBA" w:rsidP="00D9737E">
      <w:pPr>
        <w:rPr>
          <w:lang w:val="lt-LT"/>
        </w:rPr>
      </w:pPr>
    </w:p>
    <w:p w14:paraId="41CA9C1B" w14:textId="14D37CF8" w:rsidR="00E96FBA" w:rsidRDefault="00E96FBA" w:rsidP="00D9737E">
      <w:pPr>
        <w:rPr>
          <w:lang w:val="lt-LT"/>
        </w:rPr>
      </w:pPr>
    </w:p>
    <w:p w14:paraId="106E02AC" w14:textId="67694C62" w:rsidR="00E96FBA" w:rsidRDefault="00E96FBA" w:rsidP="00D9737E">
      <w:pPr>
        <w:rPr>
          <w:lang w:val="lt-LT"/>
        </w:rPr>
      </w:pPr>
    </w:p>
    <w:p w14:paraId="4DA44BE1" w14:textId="32FFCF61" w:rsidR="00E96FBA" w:rsidRDefault="00E96FBA" w:rsidP="00D9737E">
      <w:pPr>
        <w:rPr>
          <w:lang w:val="lt-LT"/>
        </w:rPr>
      </w:pPr>
    </w:p>
    <w:p w14:paraId="1AC39182" w14:textId="5BB1F6D3" w:rsidR="00E96FBA" w:rsidRDefault="00E96FBA" w:rsidP="00D9737E">
      <w:pPr>
        <w:rPr>
          <w:lang w:val="lt-LT"/>
        </w:rPr>
      </w:pPr>
    </w:p>
    <w:p w14:paraId="5556EB3F" w14:textId="028BADA0" w:rsidR="00E96FBA" w:rsidRDefault="00E96FBA" w:rsidP="00D9737E">
      <w:pPr>
        <w:rPr>
          <w:lang w:val="lt-LT"/>
        </w:rPr>
      </w:pPr>
    </w:p>
    <w:p w14:paraId="43908F84" w14:textId="1BDEA43B" w:rsidR="00E96FBA" w:rsidRDefault="00E96FBA" w:rsidP="00D9737E">
      <w:pPr>
        <w:rPr>
          <w:lang w:val="lt-LT"/>
        </w:rPr>
      </w:pPr>
    </w:p>
    <w:p w14:paraId="474F3DC8" w14:textId="4601ED09" w:rsidR="00E96FBA" w:rsidRDefault="00E96FBA" w:rsidP="00D9737E">
      <w:pPr>
        <w:rPr>
          <w:lang w:val="lt-LT"/>
        </w:rPr>
      </w:pPr>
    </w:p>
    <w:p w14:paraId="52EF41C5" w14:textId="3FBAF1B1" w:rsidR="00E96FBA" w:rsidRDefault="00E96FBA" w:rsidP="00D9737E">
      <w:pPr>
        <w:rPr>
          <w:lang w:val="lt-LT"/>
        </w:rPr>
      </w:pPr>
    </w:p>
    <w:p w14:paraId="01D6E5F3" w14:textId="2C405C2B" w:rsidR="00E96FBA" w:rsidRDefault="00E96FBA" w:rsidP="00D9737E">
      <w:pPr>
        <w:rPr>
          <w:lang w:val="lt-LT"/>
        </w:rPr>
      </w:pPr>
    </w:p>
    <w:p w14:paraId="3C1C9CA4" w14:textId="30B200D8" w:rsidR="00E96FBA" w:rsidRDefault="00E96FBA" w:rsidP="00D9737E">
      <w:pPr>
        <w:rPr>
          <w:lang w:val="lt-LT"/>
        </w:rPr>
      </w:pPr>
    </w:p>
    <w:p w14:paraId="37D719F6" w14:textId="520BD4BF" w:rsidR="00E96FBA" w:rsidRDefault="00E96FBA" w:rsidP="00D9737E">
      <w:pPr>
        <w:rPr>
          <w:lang w:val="lt-LT"/>
        </w:rPr>
      </w:pPr>
    </w:p>
    <w:p w14:paraId="2AED902F" w14:textId="76C12B05" w:rsidR="00E96FBA" w:rsidRDefault="00E96FBA" w:rsidP="00D9737E">
      <w:pPr>
        <w:rPr>
          <w:lang w:val="lt-LT"/>
        </w:rPr>
      </w:pPr>
    </w:p>
    <w:p w14:paraId="6B9C57C0" w14:textId="67DF412E" w:rsidR="00E96FBA" w:rsidRDefault="00E96FBA" w:rsidP="00D9737E">
      <w:pPr>
        <w:rPr>
          <w:lang w:val="lt-LT"/>
        </w:rPr>
      </w:pPr>
    </w:p>
    <w:p w14:paraId="7AD47938" w14:textId="443B4EAE" w:rsidR="00E96FBA" w:rsidRDefault="00E96FBA" w:rsidP="00D9737E">
      <w:pPr>
        <w:rPr>
          <w:lang w:val="lt-LT"/>
        </w:rPr>
      </w:pPr>
    </w:p>
    <w:p w14:paraId="3246546F" w14:textId="4F21FD64" w:rsidR="00E96FBA" w:rsidRDefault="00E96FBA" w:rsidP="00D9737E">
      <w:pPr>
        <w:rPr>
          <w:lang w:val="lt-LT"/>
        </w:rPr>
      </w:pPr>
    </w:p>
    <w:p w14:paraId="6602C1B6" w14:textId="12CE61E6" w:rsidR="00E96FBA" w:rsidRDefault="00E96FBA" w:rsidP="00D9737E">
      <w:pPr>
        <w:rPr>
          <w:lang w:val="lt-LT"/>
        </w:rPr>
      </w:pPr>
    </w:p>
    <w:p w14:paraId="128E74EC" w14:textId="7E283655" w:rsidR="00E96FBA" w:rsidRDefault="00E96FBA" w:rsidP="00D9737E">
      <w:pPr>
        <w:rPr>
          <w:lang w:val="lt-LT"/>
        </w:rPr>
      </w:pPr>
    </w:p>
    <w:p w14:paraId="67B94859" w14:textId="4A1966B5" w:rsidR="00E96FBA" w:rsidRDefault="00E96FBA" w:rsidP="00D9737E">
      <w:pPr>
        <w:rPr>
          <w:lang w:val="lt-LT"/>
        </w:rPr>
      </w:pPr>
    </w:p>
    <w:p w14:paraId="4B860891" w14:textId="70038235" w:rsidR="00E96FBA" w:rsidRDefault="00E96FBA" w:rsidP="00D9737E">
      <w:pPr>
        <w:rPr>
          <w:lang w:val="lt-LT"/>
        </w:rPr>
      </w:pPr>
    </w:p>
    <w:p w14:paraId="51A71BCC" w14:textId="12E2345C" w:rsidR="00E96FBA" w:rsidRDefault="00E96FBA" w:rsidP="00D9737E">
      <w:pPr>
        <w:rPr>
          <w:lang w:val="lt-LT"/>
        </w:rPr>
      </w:pPr>
    </w:p>
    <w:p w14:paraId="0AFF5955" w14:textId="0112D64B" w:rsidR="00E96FBA" w:rsidRDefault="00E96FBA" w:rsidP="00D9737E">
      <w:pPr>
        <w:rPr>
          <w:lang w:val="lt-LT"/>
        </w:rPr>
      </w:pPr>
    </w:p>
    <w:p w14:paraId="4AB3A881" w14:textId="69542B9D" w:rsidR="00E96FBA" w:rsidRDefault="00E96FBA" w:rsidP="00D9737E">
      <w:pPr>
        <w:rPr>
          <w:lang w:val="lt-LT"/>
        </w:rPr>
      </w:pPr>
    </w:p>
    <w:p w14:paraId="5D1A07AA" w14:textId="4AA4F899" w:rsidR="00E96FBA" w:rsidRDefault="00E96FBA" w:rsidP="00D9737E">
      <w:pPr>
        <w:rPr>
          <w:lang w:val="lt-LT"/>
        </w:rPr>
      </w:pPr>
    </w:p>
    <w:p w14:paraId="35E1D861" w14:textId="3436D010" w:rsidR="00E96FBA" w:rsidRDefault="00E96FBA" w:rsidP="00D9737E">
      <w:pPr>
        <w:rPr>
          <w:lang w:val="lt-LT"/>
        </w:rPr>
      </w:pPr>
    </w:p>
    <w:p w14:paraId="35D8D2F3" w14:textId="5A2185A6" w:rsidR="00E96FBA" w:rsidRDefault="00E96FBA" w:rsidP="00D9737E">
      <w:pPr>
        <w:rPr>
          <w:lang w:val="lt-LT"/>
        </w:rPr>
      </w:pPr>
    </w:p>
    <w:p w14:paraId="5311152F" w14:textId="51668AC8" w:rsidR="00E96FBA" w:rsidRDefault="00E96FBA" w:rsidP="00D9737E">
      <w:pPr>
        <w:rPr>
          <w:lang w:val="lt-LT"/>
        </w:rPr>
      </w:pPr>
    </w:p>
    <w:p w14:paraId="65E70B45" w14:textId="6BA8567E" w:rsidR="00E96FBA" w:rsidRDefault="00E96FBA" w:rsidP="00D9737E">
      <w:pPr>
        <w:rPr>
          <w:lang w:val="lt-LT"/>
        </w:rPr>
      </w:pPr>
    </w:p>
    <w:p w14:paraId="340B065A" w14:textId="25FF77CC" w:rsidR="00E96FBA" w:rsidRDefault="00E96FBA" w:rsidP="00D9737E">
      <w:pPr>
        <w:rPr>
          <w:lang w:val="lt-LT"/>
        </w:rPr>
      </w:pPr>
    </w:p>
    <w:p w14:paraId="7A73D5BD" w14:textId="77777777" w:rsidR="00E96FBA" w:rsidRDefault="00E96FBA" w:rsidP="00D9737E">
      <w:pPr>
        <w:rPr>
          <w:lang w:val="lt-LT"/>
        </w:rPr>
      </w:pPr>
    </w:p>
    <w:p w14:paraId="44E81E5C" w14:textId="77777777" w:rsidR="00325EE4" w:rsidRPr="00DC6B87" w:rsidRDefault="00325EE4" w:rsidP="00325EE4">
      <w:pPr>
        <w:rPr>
          <w:lang w:val="lt-LT"/>
        </w:rPr>
      </w:pPr>
      <w:r w:rsidRPr="00C56C72">
        <w:rPr>
          <w:lang w:val="lt-LT"/>
        </w:rPr>
        <w:t>Mažena Kanusevič</w:t>
      </w:r>
      <w:r w:rsidRPr="00DC6B87">
        <w:rPr>
          <w:lang w:val="lt-LT"/>
        </w:rPr>
        <w:t xml:space="preserve">, tel. +370 668 77 233 , el. p. </w:t>
      </w:r>
      <w:hyperlink r:id="rId8" w:history="1">
        <w:r w:rsidRPr="00DC6B87">
          <w:rPr>
            <w:rStyle w:val="Hyperlink"/>
            <w:lang w:val="lt-LT"/>
          </w:rPr>
          <w:t>MKanusevic@lb.lt</w:t>
        </w:r>
      </w:hyperlink>
    </w:p>
    <w:p w14:paraId="6D9BF4C5" w14:textId="33B1BE8E" w:rsidR="00BB39AD" w:rsidRPr="00D4321A" w:rsidRDefault="00BB39AD" w:rsidP="00325EE4">
      <w:pPr>
        <w:rPr>
          <w:lang w:val="lt-LT"/>
        </w:rPr>
      </w:pPr>
    </w:p>
    <w:sectPr w:rsidR="00BB39AD" w:rsidRPr="00D4321A" w:rsidSect="00A64954">
      <w:headerReference w:type="default" r:id="rId9"/>
      <w:footerReference w:type="first" r:id="rId10"/>
      <w:type w:val="continuous"/>
      <w:pgSz w:w="11907" w:h="16840" w:code="9"/>
      <w:pgMar w:top="1134" w:right="680"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6042C4" w14:textId="77777777" w:rsidR="0003714A" w:rsidRDefault="0003714A">
      <w:r>
        <w:separator/>
      </w:r>
    </w:p>
  </w:endnote>
  <w:endnote w:type="continuationSeparator" w:id="0">
    <w:p w14:paraId="06C23CDE" w14:textId="77777777" w:rsidR="0003714A" w:rsidRDefault="0003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B9970" w14:textId="77777777" w:rsidR="00CC4D82" w:rsidRPr="00D4321A" w:rsidRDefault="00705792" w:rsidP="00CC4D82">
    <w:pPr>
      <w:jc w:val="center"/>
      <w:rPr>
        <w:sz w:val="16"/>
        <w:lang w:val="lt-LT"/>
      </w:rPr>
    </w:pPr>
    <w:r>
      <w:rPr>
        <w:noProof/>
        <w:lang w:val="lt-LT" w:eastAsia="lt-LT"/>
      </w:rPr>
      <mc:AlternateContent>
        <mc:Choice Requires="wps">
          <w:drawing>
            <wp:anchor distT="0" distB="0" distL="114300" distR="114300" simplePos="0" relativeHeight="251657728" behindDoc="0" locked="0" layoutInCell="1" allowOverlap="1" wp14:anchorId="5DC581AF" wp14:editId="7D0CFBA6">
              <wp:simplePos x="0" y="0"/>
              <wp:positionH relativeFrom="column">
                <wp:posOffset>-11430</wp:posOffset>
              </wp:positionH>
              <wp:positionV relativeFrom="paragraph">
                <wp:posOffset>-63500</wp:posOffset>
              </wp:positionV>
              <wp:extent cx="62179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920" cy="0"/>
                      </a:xfrm>
                      <a:prstGeom prst="line">
                        <a:avLst/>
                      </a:prstGeom>
                      <a:noFill/>
                      <a:ln w="9525">
                        <a:solidFill>
                          <a:srgbClr val="00B07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8CE0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pt" to="488.7pt,-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6RuLwgEAAGkDAAAOAAAAZHJzL2Uyb0RvYy54bWysU01vGyEQvVfqf0Dc612vlKRZeR0pdtOL 21pK+gPGwO6isgwC7F3/+w74I017q3JBMPPmMfMeLB6mwbCD8kGjbfh8VnKmrECpbdfwny9Pnz5z FiJYCQatavhRBf6w/PhhMbpaVdijkcozIrGhHl3D+xhdXRRB9GqAMEOnLCVb9ANEOvqukB5GYh9M UZXlbTGil86jUCFQdH1K8mXmb1sl4o+2DSoy03DqLebV53WX1mK5gLrz4Hotzm3Af3QxgLZ06ZVq DRHY3ut/qAYtPAZs40zgUGDbaqHyDDTNvPxrmucenMqzkDjBXWUK70crvh+2nmlJ3nFmYSCLNtoq Nk/KjC7UBFjZrU+zick+uw2KX4FZXPVgO5U7fDk6KssVxZuSdAiO+HfjN5SEgX3ELNPU+iFRkgBs ym4cr26oKTJBwdtqfndfkWnikiugvhQ6H+JXhQNLm4Yb6jkTw2ETIrVO0Ask3WPxSRuTzTaWjQ2/ v6luckFAo2VKJljw3W5lPDtAei7lY3m3TjoQ2RuYx72VmaxXIL+c9xG0Oe0JbyyVXeY/KblDedz6 RJfi5GcmPr+99GD+PGfU6w9Z/gYAAP//AwBQSwMEFAAGAAgAAAAhAAKqHYvdAAAACgEAAA8AAABk cnMvZG93bnJldi54bWxMj0FPwzAMhe9I/IfISNy2ZBMwKE0nNIkDFwRlHLh5jWkLjVM12dr9ezwJ CU6W/Z6ev5evJ9+pAw2xDWxhMTegiKvgWq4tbN8eZ7egYkJ22AUmC0eKsC7Oz3LMXBj5lQ5lqpWE cMzQQpNSn2kdq4Y8xnnoiUX7DIPHJOtQazfgKOG+00tjbrTHluVDgz1tGqq+y7238PS1LRN+vLul uR7r5/HlOFZ+Y+3lxfRwDyrRlP7McMIXdCiEaRf27KLqLMwWQp5O00gnMdytVlegdr8XXeT6f4Xi BwAA//8DAFBLAQItABQABgAIAAAAIQC2gziS/gAAAOEBAAATAAAAAAAAAAAAAAAAAAAAAABbQ29u dGVudF9UeXBlc10ueG1sUEsBAi0AFAAGAAgAAAAhADj9If/WAAAAlAEAAAsAAAAAAAAAAAAAAAAA LwEAAF9yZWxzLy5yZWxzUEsBAi0AFAAGAAgAAAAhAA/pG4vCAQAAaQMAAA4AAAAAAAAAAAAAAAAA LgIAAGRycy9lMm9Eb2MueG1sUEsBAi0AFAAGAAgAAAAhAAKqHYvdAAAACgEAAA8AAAAAAAAAAAAA AAAAHAQAAGRycy9kb3ducmV2LnhtbFBLBQYAAAAABAAEAPMAAAAmBQAAAAA= " strokecolor="#00b07d"/>
          </w:pict>
        </mc:Fallback>
      </mc:AlternateContent>
    </w:r>
    <w:r w:rsidR="00CC4D82" w:rsidRPr="00D4321A">
      <w:rPr>
        <w:sz w:val="16"/>
        <w:lang w:val="lt-LT"/>
      </w:rPr>
      <w:t>Centrinis bankas, Gedimino pr. 6, LT-0</w:t>
    </w:r>
    <w:r w:rsidR="00B1360D">
      <w:rPr>
        <w:sz w:val="16"/>
        <w:lang w:val="lt-LT"/>
      </w:rPr>
      <w:t>1103 Vilnius</w:t>
    </w:r>
  </w:p>
  <w:p w14:paraId="0A6A23C0" w14:textId="77777777" w:rsidR="00CC4D82" w:rsidRDefault="00CC4D82" w:rsidP="00CC4D82">
    <w:pPr>
      <w:jc w:val="center"/>
      <w:rPr>
        <w:sz w:val="16"/>
        <w:lang w:val="lt-LT"/>
      </w:rPr>
    </w:pPr>
    <w:r w:rsidRPr="00D4321A">
      <w:rPr>
        <w:sz w:val="16"/>
        <w:lang w:val="lt-LT"/>
      </w:rPr>
      <w:t>Duomenys kaupiami ir saugomi Juridinių asmenų registre, kodas 188607684</w:t>
    </w:r>
  </w:p>
  <w:p w14:paraId="24EA29DC" w14:textId="77777777" w:rsidR="00B1360D" w:rsidRDefault="00B1360D" w:rsidP="00B1360D">
    <w:pPr>
      <w:jc w:val="center"/>
      <w:rPr>
        <w:sz w:val="16"/>
        <w:lang w:val="lt-LT"/>
      </w:rPr>
    </w:pPr>
    <w:r>
      <w:rPr>
        <w:sz w:val="16"/>
        <w:lang w:val="lt-LT"/>
      </w:rPr>
      <w:t>Adresas korespondencijai: Totorių</w:t>
    </w:r>
    <w:r w:rsidRPr="00007481">
      <w:rPr>
        <w:sz w:val="16"/>
        <w:lang w:val="lt-LT"/>
      </w:rPr>
      <w:t xml:space="preserve"> </w:t>
    </w:r>
    <w:r>
      <w:rPr>
        <w:sz w:val="16"/>
        <w:lang w:val="lt-LT"/>
      </w:rPr>
      <w:t>g</w:t>
    </w:r>
    <w:r w:rsidRPr="00007481">
      <w:rPr>
        <w:sz w:val="16"/>
        <w:lang w:val="lt-LT"/>
      </w:rPr>
      <w:t xml:space="preserve">. </w:t>
    </w:r>
    <w:r>
      <w:rPr>
        <w:sz w:val="16"/>
        <w:lang w:val="lt-LT"/>
      </w:rPr>
      <w:t>4</w:t>
    </w:r>
    <w:r w:rsidRPr="00007481">
      <w:rPr>
        <w:sz w:val="16"/>
        <w:lang w:val="lt-LT"/>
      </w:rPr>
      <w:t>, LT-0</w:t>
    </w:r>
    <w:r>
      <w:rPr>
        <w:sz w:val="16"/>
        <w:lang w:val="lt-LT"/>
      </w:rPr>
      <w:t>1121</w:t>
    </w:r>
    <w:r w:rsidRPr="00007481">
      <w:rPr>
        <w:sz w:val="16"/>
        <w:lang w:val="lt-LT"/>
      </w:rPr>
      <w:t xml:space="preserve"> Vilnius</w:t>
    </w:r>
    <w:r>
      <w:rPr>
        <w:sz w:val="16"/>
        <w:lang w:val="lt-LT"/>
      </w:rPr>
      <w:t xml:space="preserve">, </w:t>
    </w:r>
    <w:r w:rsidRPr="00D4321A">
      <w:rPr>
        <w:sz w:val="16"/>
        <w:lang w:val="lt-LT"/>
      </w:rPr>
      <w:t>tel. (8 5)</w:t>
    </w:r>
    <w:r w:rsidR="003424E8">
      <w:rPr>
        <w:sz w:val="16"/>
        <w:lang w:val="lt-LT"/>
      </w:rPr>
      <w:t xml:space="preserve"> 268 0029,</w:t>
    </w:r>
    <w:r w:rsidRPr="00D4321A">
      <w:rPr>
        <w:sz w:val="16"/>
        <w:lang w:val="lt-LT"/>
      </w:rPr>
      <w:t xml:space="preserve"> el. p. </w:t>
    </w:r>
    <w:hyperlink r:id="rId1" w:history="1">
      <w:r w:rsidRPr="00D4321A">
        <w:rPr>
          <w:rStyle w:val="Hyperlink"/>
          <w:sz w:val="16"/>
          <w:lang w:val="lt-LT"/>
        </w:rPr>
        <w:t>info@lb.lt</w:t>
      </w:r>
    </w:hyperlink>
  </w:p>
  <w:p w14:paraId="46549DBC" w14:textId="77777777" w:rsidR="0071682D" w:rsidRPr="00273716" w:rsidRDefault="0071682D" w:rsidP="00CC4D82">
    <w:pPr>
      <w:jc w:val="center"/>
      <w:rPr>
        <w:sz w:val="16"/>
        <w:szCs w:val="16"/>
        <w:lang w:val="lt-LT"/>
      </w:rPr>
    </w:pPr>
    <w:r w:rsidRPr="00273716">
      <w:rPr>
        <w:rFonts w:eastAsia="Calibri"/>
        <w:sz w:val="16"/>
        <w:szCs w:val="16"/>
        <w:lang w:val="lt-LT"/>
      </w:rPr>
      <w:t xml:space="preserve">Informacija apie asmens duomenų apsaugą pateikta </w:t>
    </w:r>
    <w:hyperlink r:id="rId2" w:history="1">
      <w:r w:rsidRPr="00273716">
        <w:rPr>
          <w:rStyle w:val="Hyperlink"/>
          <w:rFonts w:eastAsia="Calibri"/>
          <w:sz w:val="16"/>
          <w:szCs w:val="16"/>
          <w:lang w:val="lt-LT"/>
        </w:rPr>
        <w:t>https://www.lb.lt/lt/asmens-duomenu-apsauga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CD40EE" w14:textId="77777777" w:rsidR="0003714A" w:rsidRDefault="0003714A">
      <w:r>
        <w:separator/>
      </w:r>
    </w:p>
  </w:footnote>
  <w:footnote w:type="continuationSeparator" w:id="0">
    <w:p w14:paraId="4BB5324E" w14:textId="77777777" w:rsidR="0003714A" w:rsidRDefault="0003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693272"/>
      <w:docPartObj>
        <w:docPartGallery w:val="Page Numbers (Top of Page)"/>
        <w:docPartUnique/>
      </w:docPartObj>
    </w:sdtPr>
    <w:sdtEndPr>
      <w:rPr>
        <w:noProof/>
      </w:rPr>
    </w:sdtEndPr>
    <w:sdtContent>
      <w:p w14:paraId="6EC119D7" w14:textId="5A1EC184" w:rsidR="001B6014" w:rsidRDefault="001B601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880B919" w14:textId="77777777" w:rsidR="001B6014" w:rsidRDefault="001B60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3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F95"/>
    <w:rsid w:val="00000CB0"/>
    <w:rsid w:val="00000D53"/>
    <w:rsid w:val="000060EA"/>
    <w:rsid w:val="00020A11"/>
    <w:rsid w:val="0003714A"/>
    <w:rsid w:val="00050B0E"/>
    <w:rsid w:val="000579E4"/>
    <w:rsid w:val="00067CF5"/>
    <w:rsid w:val="000733D3"/>
    <w:rsid w:val="0007523F"/>
    <w:rsid w:val="000B1892"/>
    <w:rsid w:val="000B74EA"/>
    <w:rsid w:val="000D6AEB"/>
    <w:rsid w:val="000E2E10"/>
    <w:rsid w:val="000E7E67"/>
    <w:rsid w:val="00106E9F"/>
    <w:rsid w:val="0010789A"/>
    <w:rsid w:val="001132EC"/>
    <w:rsid w:val="00125B95"/>
    <w:rsid w:val="00135002"/>
    <w:rsid w:val="00142DFB"/>
    <w:rsid w:val="00147F8A"/>
    <w:rsid w:val="00152493"/>
    <w:rsid w:val="00152D50"/>
    <w:rsid w:val="00154B39"/>
    <w:rsid w:val="00184431"/>
    <w:rsid w:val="00190F5D"/>
    <w:rsid w:val="001B2ABE"/>
    <w:rsid w:val="001B42E9"/>
    <w:rsid w:val="001B6014"/>
    <w:rsid w:val="001C2F0B"/>
    <w:rsid w:val="001C4EDC"/>
    <w:rsid w:val="001F144F"/>
    <w:rsid w:val="001F5A2C"/>
    <w:rsid w:val="00202499"/>
    <w:rsid w:val="00236EAC"/>
    <w:rsid w:val="002461C0"/>
    <w:rsid w:val="00251F14"/>
    <w:rsid w:val="00255AD3"/>
    <w:rsid w:val="0027327B"/>
    <w:rsid w:val="00273716"/>
    <w:rsid w:val="00294922"/>
    <w:rsid w:val="002956C7"/>
    <w:rsid w:val="002E0EEA"/>
    <w:rsid w:val="002F20C1"/>
    <w:rsid w:val="00314A65"/>
    <w:rsid w:val="00325EE4"/>
    <w:rsid w:val="00342282"/>
    <w:rsid w:val="003424E8"/>
    <w:rsid w:val="00351D85"/>
    <w:rsid w:val="00357B28"/>
    <w:rsid w:val="00361110"/>
    <w:rsid w:val="003A7B25"/>
    <w:rsid w:val="003C2436"/>
    <w:rsid w:val="003D0096"/>
    <w:rsid w:val="003D264F"/>
    <w:rsid w:val="00407194"/>
    <w:rsid w:val="004355CB"/>
    <w:rsid w:val="0045177C"/>
    <w:rsid w:val="00466B7C"/>
    <w:rsid w:val="00477BAD"/>
    <w:rsid w:val="004E01D7"/>
    <w:rsid w:val="004E2A6D"/>
    <w:rsid w:val="004F3DB1"/>
    <w:rsid w:val="004F3FCF"/>
    <w:rsid w:val="005037DA"/>
    <w:rsid w:val="0050531E"/>
    <w:rsid w:val="00511A1B"/>
    <w:rsid w:val="005157F1"/>
    <w:rsid w:val="00527FEE"/>
    <w:rsid w:val="00576F03"/>
    <w:rsid w:val="00585268"/>
    <w:rsid w:val="005976B9"/>
    <w:rsid w:val="005A634A"/>
    <w:rsid w:val="005B6089"/>
    <w:rsid w:val="005C39E6"/>
    <w:rsid w:val="005C62B4"/>
    <w:rsid w:val="005D396D"/>
    <w:rsid w:val="005F2C26"/>
    <w:rsid w:val="005F643B"/>
    <w:rsid w:val="00622856"/>
    <w:rsid w:val="006345A8"/>
    <w:rsid w:val="0063686F"/>
    <w:rsid w:val="0064659E"/>
    <w:rsid w:val="00655172"/>
    <w:rsid w:val="00656A5E"/>
    <w:rsid w:val="00664DBB"/>
    <w:rsid w:val="00665658"/>
    <w:rsid w:val="00683CCC"/>
    <w:rsid w:val="006A5576"/>
    <w:rsid w:val="006A5C3E"/>
    <w:rsid w:val="006B63C5"/>
    <w:rsid w:val="006C074E"/>
    <w:rsid w:val="006C526E"/>
    <w:rsid w:val="006E1610"/>
    <w:rsid w:val="006E41D9"/>
    <w:rsid w:val="006F2F26"/>
    <w:rsid w:val="0070266A"/>
    <w:rsid w:val="00705792"/>
    <w:rsid w:val="007071BD"/>
    <w:rsid w:val="0071682D"/>
    <w:rsid w:val="00716C36"/>
    <w:rsid w:val="0072794C"/>
    <w:rsid w:val="00762CA2"/>
    <w:rsid w:val="0076362B"/>
    <w:rsid w:val="00780FB6"/>
    <w:rsid w:val="007C5EC1"/>
    <w:rsid w:val="007C6E19"/>
    <w:rsid w:val="007E29E3"/>
    <w:rsid w:val="007E6F95"/>
    <w:rsid w:val="007F5960"/>
    <w:rsid w:val="0082554A"/>
    <w:rsid w:val="0083682D"/>
    <w:rsid w:val="00852A50"/>
    <w:rsid w:val="00856C60"/>
    <w:rsid w:val="00860584"/>
    <w:rsid w:val="008640F4"/>
    <w:rsid w:val="00864EFC"/>
    <w:rsid w:val="00865557"/>
    <w:rsid w:val="0087202C"/>
    <w:rsid w:val="008960E4"/>
    <w:rsid w:val="00925F71"/>
    <w:rsid w:val="00933499"/>
    <w:rsid w:val="00967CD8"/>
    <w:rsid w:val="0097033B"/>
    <w:rsid w:val="00973A9B"/>
    <w:rsid w:val="00977792"/>
    <w:rsid w:val="00983B90"/>
    <w:rsid w:val="00994F1E"/>
    <w:rsid w:val="009A26B5"/>
    <w:rsid w:val="009C164D"/>
    <w:rsid w:val="009D06D9"/>
    <w:rsid w:val="009E1063"/>
    <w:rsid w:val="009E27AE"/>
    <w:rsid w:val="00A13CD0"/>
    <w:rsid w:val="00A264C8"/>
    <w:rsid w:val="00A26EB6"/>
    <w:rsid w:val="00A27554"/>
    <w:rsid w:val="00A464AE"/>
    <w:rsid w:val="00A52419"/>
    <w:rsid w:val="00A64954"/>
    <w:rsid w:val="00A71031"/>
    <w:rsid w:val="00A862B8"/>
    <w:rsid w:val="00A95993"/>
    <w:rsid w:val="00AB134C"/>
    <w:rsid w:val="00AC0EC4"/>
    <w:rsid w:val="00AE0155"/>
    <w:rsid w:val="00AF0768"/>
    <w:rsid w:val="00AF30BA"/>
    <w:rsid w:val="00B01424"/>
    <w:rsid w:val="00B02A62"/>
    <w:rsid w:val="00B1360D"/>
    <w:rsid w:val="00B14567"/>
    <w:rsid w:val="00B3050D"/>
    <w:rsid w:val="00B60902"/>
    <w:rsid w:val="00B847C7"/>
    <w:rsid w:val="00B87C98"/>
    <w:rsid w:val="00B906F4"/>
    <w:rsid w:val="00BA382A"/>
    <w:rsid w:val="00BB39AD"/>
    <w:rsid w:val="00BB60EA"/>
    <w:rsid w:val="00C346D8"/>
    <w:rsid w:val="00C81C19"/>
    <w:rsid w:val="00C82347"/>
    <w:rsid w:val="00C90641"/>
    <w:rsid w:val="00C92AB1"/>
    <w:rsid w:val="00CC4D82"/>
    <w:rsid w:val="00CC75A2"/>
    <w:rsid w:val="00CD5397"/>
    <w:rsid w:val="00D04235"/>
    <w:rsid w:val="00D04CF2"/>
    <w:rsid w:val="00D15C32"/>
    <w:rsid w:val="00D401F2"/>
    <w:rsid w:val="00D405FA"/>
    <w:rsid w:val="00D4295B"/>
    <w:rsid w:val="00D4321A"/>
    <w:rsid w:val="00D43353"/>
    <w:rsid w:val="00D4627C"/>
    <w:rsid w:val="00D51C6D"/>
    <w:rsid w:val="00D64B67"/>
    <w:rsid w:val="00D74BF4"/>
    <w:rsid w:val="00D9737E"/>
    <w:rsid w:val="00DA0431"/>
    <w:rsid w:val="00DB49B1"/>
    <w:rsid w:val="00DD0143"/>
    <w:rsid w:val="00DD6215"/>
    <w:rsid w:val="00E03499"/>
    <w:rsid w:val="00E322D2"/>
    <w:rsid w:val="00E34734"/>
    <w:rsid w:val="00E3541D"/>
    <w:rsid w:val="00E4018F"/>
    <w:rsid w:val="00E4724C"/>
    <w:rsid w:val="00E555CF"/>
    <w:rsid w:val="00E609C4"/>
    <w:rsid w:val="00E7181A"/>
    <w:rsid w:val="00E7287D"/>
    <w:rsid w:val="00E85DF9"/>
    <w:rsid w:val="00E96FBA"/>
    <w:rsid w:val="00EA0CF6"/>
    <w:rsid w:val="00EB7BF2"/>
    <w:rsid w:val="00EC30FB"/>
    <w:rsid w:val="00ED4E46"/>
    <w:rsid w:val="00EE786B"/>
    <w:rsid w:val="00F115C7"/>
    <w:rsid w:val="00F21B8B"/>
    <w:rsid w:val="00F2347B"/>
    <w:rsid w:val="00F30685"/>
    <w:rsid w:val="00F50A2D"/>
    <w:rsid w:val="00F5154B"/>
    <w:rsid w:val="00F73832"/>
    <w:rsid w:val="00F8015A"/>
    <w:rsid w:val="00F918B6"/>
    <w:rsid w:val="00FA5895"/>
    <w:rsid w:val="00FA606C"/>
    <w:rsid w:val="00FB3054"/>
    <w:rsid w:val="00FC0AA0"/>
    <w:rsid w:val="00FF57D5"/>
    <w:rsid w:val="00FF66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D39DB4"/>
  <w15:docId w15:val="{50546F03-7EAE-40B9-B9D3-D6D58E82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B8"/>
    <w:pPr>
      <w:widowControl w:val="0"/>
      <w:autoSpaceDE w:val="0"/>
      <w:autoSpaceDN w:val="0"/>
      <w:adjustRightInd w:val="0"/>
    </w:pPr>
    <w:rPr>
      <w:rFonts w:ascii="Verdana" w:hAnsi="Verdana"/>
      <w:lang w:val="en-US" w:eastAsia="en-US"/>
    </w:rPr>
  </w:style>
  <w:style w:type="paragraph" w:styleId="Heading1">
    <w:name w:val="heading 1"/>
    <w:basedOn w:val="Normal"/>
    <w:next w:val="Normal"/>
    <w:qFormat/>
    <w:rsid w:val="00A862B8"/>
    <w:pPr>
      <w:keepNext/>
      <w:jc w:val="center"/>
      <w:outlineLvl w:val="0"/>
    </w:pPr>
    <w:rPr>
      <w:b/>
      <w:sz w:val="24"/>
      <w:lang w:val="lt-LT"/>
    </w:rPr>
  </w:style>
  <w:style w:type="paragraph" w:styleId="Heading2">
    <w:name w:val="heading 2"/>
    <w:basedOn w:val="Normal"/>
    <w:next w:val="Normal"/>
    <w:qFormat/>
    <w:pPr>
      <w:keepNext/>
      <w:jc w:val="right"/>
      <w:outlineLvl w:val="1"/>
    </w:pPr>
    <w:rPr>
      <w:sz w:val="24"/>
      <w:lang w:val="lt-LT"/>
    </w:rPr>
  </w:style>
  <w:style w:type="paragraph" w:styleId="Heading3">
    <w:name w:val="heading 3"/>
    <w:basedOn w:val="Normal"/>
    <w:next w:val="Normal"/>
    <w:qFormat/>
    <w:pPr>
      <w:keepNext/>
      <w:outlineLvl w:val="2"/>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widowControl/>
      <w:tabs>
        <w:tab w:val="center" w:pos="4153"/>
        <w:tab w:val="right" w:pos="8306"/>
      </w:tabs>
      <w:autoSpaceDE/>
      <w:autoSpaceDN/>
      <w:adjustRightInd/>
    </w:pPr>
    <w:rPr>
      <w:sz w:val="24"/>
      <w:lang w:val="en-GB"/>
    </w:rPr>
  </w:style>
  <w:style w:type="paragraph" w:customStyle="1" w:styleId="tekstas">
    <w:name w:val="tekstas"/>
    <w:basedOn w:val="Normal"/>
    <w:pPr>
      <w:widowControl/>
      <w:autoSpaceDE/>
      <w:autoSpaceDN/>
      <w:adjustRightInd/>
      <w:ind w:firstLine="1298"/>
    </w:pPr>
    <w:rPr>
      <w:sz w:val="24"/>
      <w:lang w:val="lt-LT"/>
    </w:rPr>
  </w:style>
  <w:style w:type="paragraph" w:styleId="Header">
    <w:name w:val="header"/>
    <w:basedOn w:val="Normal"/>
    <w:link w:val="HeaderChar"/>
    <w:uiPriority w:val="99"/>
    <w:pPr>
      <w:tabs>
        <w:tab w:val="center" w:pos="4153"/>
        <w:tab w:val="right" w:pos="8306"/>
      </w:tabs>
    </w:pPr>
  </w:style>
  <w:style w:type="character" w:styleId="Hyperlink">
    <w:name w:val="Hyperlink"/>
    <w:semiHidden/>
    <w:rPr>
      <w:color w:val="0000FF"/>
      <w:u w:val="single"/>
    </w:rPr>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E4018F"/>
    <w:rPr>
      <w:color w:val="605E5C"/>
      <w:shd w:val="clear" w:color="auto" w:fill="E1DFDD"/>
    </w:rPr>
  </w:style>
  <w:style w:type="paragraph" w:customStyle="1" w:styleId="tajtip">
    <w:name w:val="tajtip"/>
    <w:basedOn w:val="Normal"/>
    <w:rsid w:val="00125B95"/>
    <w:pPr>
      <w:widowControl/>
      <w:autoSpaceDE/>
      <w:autoSpaceDN/>
      <w:adjustRightInd/>
      <w:spacing w:after="150"/>
    </w:pPr>
    <w:rPr>
      <w:rFonts w:ascii="Times New Roman" w:hAnsi="Times New Roman"/>
      <w:sz w:val="24"/>
      <w:szCs w:val="24"/>
      <w:lang w:val="lt-LT" w:eastAsia="lt-LT"/>
    </w:rPr>
  </w:style>
  <w:style w:type="character" w:styleId="CommentReference">
    <w:name w:val="annotation reference"/>
    <w:basedOn w:val="DefaultParagraphFont"/>
    <w:uiPriority w:val="99"/>
    <w:semiHidden/>
    <w:unhideWhenUsed/>
    <w:rsid w:val="00622856"/>
    <w:rPr>
      <w:sz w:val="16"/>
      <w:szCs w:val="16"/>
    </w:rPr>
  </w:style>
  <w:style w:type="paragraph" w:styleId="CommentText">
    <w:name w:val="annotation text"/>
    <w:basedOn w:val="Normal"/>
    <w:link w:val="CommentTextChar"/>
    <w:uiPriority w:val="99"/>
    <w:semiHidden/>
    <w:unhideWhenUsed/>
    <w:rsid w:val="00622856"/>
  </w:style>
  <w:style w:type="character" w:customStyle="1" w:styleId="CommentTextChar">
    <w:name w:val="Comment Text Char"/>
    <w:basedOn w:val="DefaultParagraphFont"/>
    <w:link w:val="CommentText"/>
    <w:uiPriority w:val="99"/>
    <w:semiHidden/>
    <w:rsid w:val="00622856"/>
    <w:rPr>
      <w:rFonts w:ascii="Verdana" w:hAnsi="Verdana"/>
      <w:lang w:val="en-US" w:eastAsia="en-US"/>
    </w:rPr>
  </w:style>
  <w:style w:type="paragraph" w:styleId="CommentSubject">
    <w:name w:val="annotation subject"/>
    <w:basedOn w:val="CommentText"/>
    <w:next w:val="CommentText"/>
    <w:link w:val="CommentSubjectChar"/>
    <w:uiPriority w:val="99"/>
    <w:semiHidden/>
    <w:unhideWhenUsed/>
    <w:rsid w:val="00622856"/>
    <w:rPr>
      <w:b/>
      <w:bCs/>
    </w:rPr>
  </w:style>
  <w:style w:type="character" w:customStyle="1" w:styleId="CommentSubjectChar">
    <w:name w:val="Comment Subject Char"/>
    <w:basedOn w:val="CommentTextChar"/>
    <w:link w:val="CommentSubject"/>
    <w:uiPriority w:val="99"/>
    <w:semiHidden/>
    <w:rsid w:val="00622856"/>
    <w:rPr>
      <w:rFonts w:ascii="Verdana" w:hAnsi="Verdana"/>
      <w:b/>
      <w:bCs/>
      <w:lang w:val="en-US" w:eastAsia="en-US"/>
    </w:rPr>
  </w:style>
  <w:style w:type="character" w:customStyle="1" w:styleId="HeaderChar">
    <w:name w:val="Header Char"/>
    <w:basedOn w:val="DefaultParagraphFont"/>
    <w:link w:val="Header"/>
    <w:uiPriority w:val="99"/>
    <w:rsid w:val="001B6014"/>
    <w:rPr>
      <w:rFonts w:ascii="Verdana" w:hAnsi="Verdan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45491">
      <w:bodyDiv w:val="1"/>
      <w:marLeft w:val="0"/>
      <w:marRight w:val="0"/>
      <w:marTop w:val="0"/>
      <w:marBottom w:val="0"/>
      <w:divBdr>
        <w:top w:val="none" w:sz="0" w:space="0" w:color="auto"/>
        <w:left w:val="none" w:sz="0" w:space="0" w:color="auto"/>
        <w:bottom w:val="none" w:sz="0" w:space="0" w:color="auto"/>
        <w:right w:val="none" w:sz="0" w:space="0" w:color="auto"/>
      </w:divBdr>
      <w:divsChild>
        <w:div w:id="1066296838">
          <w:marLeft w:val="0"/>
          <w:marRight w:val="0"/>
          <w:marTop w:val="0"/>
          <w:marBottom w:val="0"/>
          <w:divBdr>
            <w:top w:val="none" w:sz="0" w:space="0" w:color="auto"/>
            <w:left w:val="none" w:sz="0" w:space="0" w:color="auto"/>
            <w:bottom w:val="none" w:sz="0" w:space="0" w:color="auto"/>
            <w:right w:val="none" w:sz="0" w:space="0" w:color="auto"/>
          </w:divBdr>
          <w:divsChild>
            <w:div w:id="1936589082">
              <w:marLeft w:val="0"/>
              <w:marRight w:val="0"/>
              <w:marTop w:val="0"/>
              <w:marBottom w:val="0"/>
              <w:divBdr>
                <w:top w:val="none" w:sz="0" w:space="0" w:color="auto"/>
                <w:left w:val="none" w:sz="0" w:space="0" w:color="auto"/>
                <w:bottom w:val="none" w:sz="0" w:space="0" w:color="auto"/>
                <w:right w:val="none" w:sz="0" w:space="0" w:color="auto"/>
              </w:divBdr>
              <w:divsChild>
                <w:div w:id="1476530804">
                  <w:marLeft w:val="0"/>
                  <w:marRight w:val="0"/>
                  <w:marTop w:val="0"/>
                  <w:marBottom w:val="0"/>
                  <w:divBdr>
                    <w:top w:val="none" w:sz="0" w:space="0" w:color="auto"/>
                    <w:left w:val="none" w:sz="0" w:space="0" w:color="auto"/>
                    <w:bottom w:val="none" w:sz="0" w:space="0" w:color="auto"/>
                    <w:right w:val="none" w:sz="0" w:space="0" w:color="auto"/>
                  </w:divBdr>
                  <w:divsChild>
                    <w:div w:id="1429932862">
                      <w:marLeft w:val="0"/>
                      <w:marRight w:val="0"/>
                      <w:marTop w:val="0"/>
                      <w:marBottom w:val="0"/>
                      <w:divBdr>
                        <w:top w:val="none" w:sz="0" w:space="0" w:color="auto"/>
                        <w:left w:val="none" w:sz="0" w:space="0" w:color="auto"/>
                        <w:bottom w:val="none" w:sz="0" w:space="0" w:color="auto"/>
                        <w:right w:val="none" w:sz="0" w:space="0" w:color="auto"/>
                      </w:divBdr>
                      <w:divsChild>
                        <w:div w:id="40333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75774">
      <w:bodyDiv w:val="1"/>
      <w:marLeft w:val="0"/>
      <w:marRight w:val="0"/>
      <w:marTop w:val="0"/>
      <w:marBottom w:val="0"/>
      <w:divBdr>
        <w:top w:val="none" w:sz="0" w:space="0" w:color="auto"/>
        <w:left w:val="none" w:sz="0" w:space="0" w:color="auto"/>
        <w:bottom w:val="none" w:sz="0" w:space="0" w:color="auto"/>
        <w:right w:val="none" w:sz="0" w:space="0" w:color="auto"/>
      </w:divBdr>
    </w:div>
    <w:div w:id="777336960">
      <w:bodyDiv w:val="1"/>
      <w:marLeft w:val="0"/>
      <w:marRight w:val="0"/>
      <w:marTop w:val="0"/>
      <w:marBottom w:val="0"/>
      <w:divBdr>
        <w:top w:val="none" w:sz="0" w:space="0" w:color="auto"/>
        <w:left w:val="none" w:sz="0" w:space="0" w:color="auto"/>
        <w:bottom w:val="none" w:sz="0" w:space="0" w:color="auto"/>
        <w:right w:val="none" w:sz="0" w:space="0" w:color="auto"/>
      </w:divBdr>
    </w:div>
    <w:div w:id="1008362481">
      <w:bodyDiv w:val="1"/>
      <w:marLeft w:val="0"/>
      <w:marRight w:val="0"/>
      <w:marTop w:val="0"/>
      <w:marBottom w:val="0"/>
      <w:divBdr>
        <w:top w:val="none" w:sz="0" w:space="0" w:color="auto"/>
        <w:left w:val="none" w:sz="0" w:space="0" w:color="auto"/>
        <w:bottom w:val="none" w:sz="0" w:space="0" w:color="auto"/>
        <w:right w:val="none" w:sz="0" w:space="0" w:color="auto"/>
      </w:divBdr>
      <w:divsChild>
        <w:div w:id="1974944834">
          <w:marLeft w:val="0"/>
          <w:marRight w:val="0"/>
          <w:marTop w:val="0"/>
          <w:marBottom w:val="0"/>
          <w:divBdr>
            <w:top w:val="none" w:sz="0" w:space="0" w:color="auto"/>
            <w:left w:val="none" w:sz="0" w:space="0" w:color="auto"/>
            <w:bottom w:val="none" w:sz="0" w:space="0" w:color="auto"/>
            <w:right w:val="none" w:sz="0" w:space="0" w:color="auto"/>
          </w:divBdr>
          <w:divsChild>
            <w:div w:id="32116446">
              <w:marLeft w:val="0"/>
              <w:marRight w:val="0"/>
              <w:marTop w:val="0"/>
              <w:marBottom w:val="0"/>
              <w:divBdr>
                <w:top w:val="none" w:sz="0" w:space="0" w:color="auto"/>
                <w:left w:val="none" w:sz="0" w:space="0" w:color="auto"/>
                <w:bottom w:val="none" w:sz="0" w:space="0" w:color="auto"/>
                <w:right w:val="none" w:sz="0" w:space="0" w:color="auto"/>
              </w:divBdr>
              <w:divsChild>
                <w:div w:id="498812489">
                  <w:marLeft w:val="0"/>
                  <w:marRight w:val="0"/>
                  <w:marTop w:val="0"/>
                  <w:marBottom w:val="0"/>
                  <w:divBdr>
                    <w:top w:val="none" w:sz="0" w:space="0" w:color="auto"/>
                    <w:left w:val="none" w:sz="0" w:space="0" w:color="auto"/>
                    <w:bottom w:val="none" w:sz="0" w:space="0" w:color="auto"/>
                    <w:right w:val="none" w:sz="0" w:space="0" w:color="auto"/>
                  </w:divBdr>
                  <w:divsChild>
                    <w:div w:id="451752267">
                      <w:marLeft w:val="0"/>
                      <w:marRight w:val="0"/>
                      <w:marTop w:val="0"/>
                      <w:marBottom w:val="0"/>
                      <w:divBdr>
                        <w:top w:val="none" w:sz="0" w:space="0" w:color="auto"/>
                        <w:left w:val="none" w:sz="0" w:space="0" w:color="auto"/>
                        <w:bottom w:val="none" w:sz="0" w:space="0" w:color="auto"/>
                        <w:right w:val="none" w:sz="0" w:space="0" w:color="auto"/>
                      </w:divBdr>
                      <w:divsChild>
                        <w:div w:id="101804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17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ailto:MKanusevic@lb.lt" TargetMode="External"
                 Type="http://schemas.openxmlformats.org/officeDocument/2006/relationships/hyperlink"/>
   <Relationship Id="rId9" Target="header1.xml"
                 Type="http://schemas.openxmlformats.org/officeDocument/2006/relationships/header"/>
</Relationships>
</file>

<file path=word/_rels/footer1.xml.rels><?xml version="1.0" encoding="UTF-8" standalone="yes"?>
<Relationships xmlns="http://schemas.openxmlformats.org/package/2006/relationships">
   <Relationship Id="rId1" Target="mailto:info@lb.lt" TargetMode="External"
                 Type="http://schemas.openxmlformats.org/officeDocument/2006/relationships/hyperlink"/>
   <Relationship Id="rId2" Target="https://www.lb.lt/lt/asmens-duomenu-apsauga"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2BF21A-3444-4F88-ADCE-8A99FEE1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408</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Lietuvos bankas</Company>
  <LinksUpToDate>false</LinksUpToDate>
  <CharactersWithSpaces>3574</CharactersWithSpaces>
  <SharedDoc>false</SharedDoc>
  <HLinks>
    <vt:vector size="6" baseType="variant">
      <vt:variant>
        <vt:i4>2293769</vt:i4>
      </vt:variant>
      <vt:variant>
        <vt:i4>0</vt:i4>
      </vt:variant>
      <vt:variant>
        <vt:i4>0</vt:i4>
      </vt:variant>
      <vt:variant>
        <vt:i4>5</vt:i4>
      </vt:variant>
      <vt:variant>
        <vt:lpwstr>mailto:info@lb.lt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2021-11-09T10:18:00Z</dcterms:created>
  <dc:creator>Evaldas Bareišis</dc:creator>
  <cp:lastModifiedBy>Mažena Kanusevič</cp:lastModifiedBy>
  <cp:lastPrinted>2014-07-22T14:03:00Z</cp:lastPrinted>
  <dcterms:modified xsi:type="dcterms:W3CDTF">2021-11-09T10:27:00Z</dcterms:modified>
  <cp:revision>3</cp:revision>
</cp:coreProperties>
</file>