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package.relationships+xml" PartName="/customXml/_rels/item1.xml.rels"/>
  <Override ContentType="application/vnd.openxmlformats-package.relationships+xml" PartName="/customXml/_rels/item2.xml.rels"/>
  <Override ContentType="application/vnd.openxmlformats-package.relationships+xml" PartName="/customXml/_rels/item3.xml.rels"/>
  <Override ContentType="application/vnd.openxmlformats-package.relationships+xml" PartName="/customXml/_rels/item4.xml.rels"/>
  <Override ContentType="application/xml" PartName="/customXml/item1.xml"/>
  <Override ContentType="application/xml" PartName="/customXml/item2.xml"/>
  <Override ContentType="application/xml" PartName="/customXml/item3.xml"/>
  <Override ContentType="application/xml" PartName="/customXml/item4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docProps/custom.xml"
                 Type="http://schemas.openxmlformats.org/officeDocument/2006/relationships/custom-properties"/>
   <Relationship Id="rId4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6804" w:leader="none"/>
        </w:tabs>
        <w:ind w:right="-427" w:firstLine="6804"/>
        <w:jc w:val="both"/>
        <w:rPr>
          <w:b/>
          <w:b/>
          <w:bC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       </w:t>
      </w:r>
      <w:r>
        <w:rPr>
          <w:b/>
          <w:bCs/>
          <w:caps/>
          <w:szCs w:val="24"/>
          <w:lang w:eastAsia="lt-LT"/>
        </w:rPr>
        <w:t>p</w:t>
      </w:r>
      <w:r>
        <w:rPr>
          <w:b/>
          <w:bCs/>
          <w:szCs w:val="24"/>
          <w:lang w:eastAsia="lt-LT"/>
        </w:rPr>
        <w:t>rojekto</w:t>
      </w:r>
    </w:p>
    <w:p>
      <w:pPr>
        <w:pStyle w:val="Normal"/>
        <w:tabs>
          <w:tab w:val="clear" w:pos="720"/>
          <w:tab w:val="left" w:pos="6804" w:leader="none"/>
        </w:tabs>
        <w:ind w:left="6379" w:right="-427" w:hanging="0"/>
        <w:jc w:val="both"/>
        <w:rPr>
          <w:b/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              </w:t>
      </w:r>
      <w:r>
        <w:rPr>
          <w:b/>
          <w:bCs/>
          <w:szCs w:val="24"/>
          <w:lang w:eastAsia="lt-LT"/>
        </w:rPr>
        <w:t>lyginamasis variantas</w:t>
      </w:r>
    </w:p>
    <w:p>
      <w:pPr>
        <w:pStyle w:val="Normal"/>
        <w:tabs>
          <w:tab w:val="clear" w:pos="720"/>
          <w:tab w:val="left" w:pos="6804" w:leader="none"/>
        </w:tabs>
        <w:jc w:val="both"/>
        <w:rPr>
          <w:b/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</w:r>
    </w:p>
    <w:p>
      <w:pPr>
        <w:pStyle w:val="Normal"/>
        <w:tabs>
          <w:tab w:val="clear" w:pos="720"/>
          <w:tab w:val="left" w:pos="6804" w:leader="none"/>
        </w:tabs>
        <w:jc w:val="center"/>
        <w:rPr>
          <w:b/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 VYRIAUSYBĖ</w:t>
      </w:r>
    </w:p>
    <w:p>
      <w:pPr>
        <w:pStyle w:val="Normal"/>
        <w:tabs>
          <w:tab w:val="clear" w:pos="720"/>
          <w:tab w:val="left" w:pos="6804" w:leader="none"/>
        </w:tabs>
        <w:jc w:val="center"/>
        <w:rPr>
          <w:b/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</w:r>
    </w:p>
    <w:p>
      <w:pPr>
        <w:pStyle w:val="Normal"/>
        <w:tabs>
          <w:tab w:val="clear" w:pos="720"/>
          <w:tab w:val="left" w:pos="6804" w:leader="none"/>
        </w:tabs>
        <w:jc w:val="center"/>
        <w:rPr>
          <w:b/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>
      <w:pPr>
        <w:pStyle w:val="Normal"/>
        <w:tabs>
          <w:tab w:val="clear" w:pos="720"/>
          <w:tab w:val="left" w:pos="6804" w:leader="none"/>
        </w:tabs>
        <w:jc w:val="center"/>
        <w:rPr>
          <w:b/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>LIETUVOS RESPUBLIKOS VYRIAUSYBĖS 2000 M. GRUODŽIO 15 D. NUTARIMO NR. 1458 „DĖL KONKREČIŲ VALSTYBĖS RINKLIAVOS DYDŽIŲ SĄRAŠO IR VALSTYBĖS RINKLIAVOS MOKĖJIMO IR GRĄŽINIMO TAISYKLIŲ PATVIRTINIMO“ PAKEITIMO</w:t>
      </w:r>
    </w:p>
    <w:p>
      <w:pPr>
        <w:pStyle w:val="Normal"/>
        <w:tabs>
          <w:tab w:val="clear" w:pos="720"/>
          <w:tab w:val="left" w:pos="6804" w:leader="none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tabs>
          <w:tab w:val="clear" w:pos="720"/>
          <w:tab w:val="left" w:pos="6804" w:leader="none"/>
        </w:tabs>
        <w:jc w:val="center"/>
        <w:rPr>
          <w:color w:val="000000"/>
          <w:szCs w:val="24"/>
          <w:lang w:eastAsia="ar-SA"/>
        </w:rPr>
      </w:pPr>
      <w:r>
        <w:rPr>
          <w:szCs w:val="24"/>
          <w:lang w:eastAsia="lt-LT"/>
        </w:rPr>
        <w:t>2020 m.                             d.</w:t>
      </w:r>
      <w:r>
        <w:rPr>
          <w:color w:val="000000"/>
          <w:szCs w:val="24"/>
          <w:lang w:eastAsia="ar-SA"/>
        </w:rPr>
        <w:t xml:space="preserve"> Nr. </w:t>
        <w:br/>
        <w:t>Vilnius</w:t>
      </w:r>
    </w:p>
    <w:p>
      <w:pPr>
        <w:pStyle w:val="Normal"/>
        <w:tabs>
          <w:tab w:val="clear" w:pos="720"/>
          <w:tab w:val="left" w:pos="6237" w:leader="none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</w:p>
    <w:p>
      <w:pPr>
        <w:pStyle w:val="Normal"/>
        <w:tabs>
          <w:tab w:val="clear" w:pos="720"/>
          <w:tab w:val="left" w:pos="6237" w:leader="none"/>
        </w:tabs>
        <w:spacing w:lineRule="atLeast" w:line="360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</w:t>
      </w:r>
      <w:r>
        <w:rPr>
          <w:spacing w:val="7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>
      <w:pPr>
        <w:pStyle w:val="Normal"/>
        <w:tabs>
          <w:tab w:val="clear" w:pos="720"/>
          <w:tab w:val="left" w:pos="993" w:leader="none"/>
        </w:tabs>
        <w:spacing w:lineRule="atLeast" w:line="360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Pakeisti Konkrečių valstybės rinkliavos dydžių sąrašą, patvirtintą Lietuvos Respublikos Vyriausybės 2000 m. gruodžio 15 d. nutarimu Nr. 1458 „Dėl Konkrečių valstybės rinkliavos dydžių </w:t>
      </w:r>
      <w:r>
        <w:rPr>
          <w:szCs w:val="24"/>
          <w:lang w:eastAsia="lt-LT"/>
        </w:rPr>
        <w:t>sąrašo ir Valstybės rinkliavos mokėjimo ir grąžinimo taisyklių patvirtinimo“:</w:t>
      </w:r>
    </w:p>
    <w:p>
      <w:pPr>
        <w:pStyle w:val="Normal"/>
        <w:tabs>
          <w:tab w:val="clear" w:pos="720"/>
          <w:tab w:val="left" w:pos="993" w:leader="none"/>
        </w:tabs>
        <w:spacing w:lineRule="atLeast" w:line="360"/>
        <w:ind w:firstLine="720"/>
        <w:jc w:val="both"/>
        <w:rPr>
          <w:highlight w:val="yellow"/>
        </w:rPr>
      </w:pPr>
      <w:r>
        <w:rPr>
          <w:szCs w:val="24"/>
          <w:lang w:eastAsia="lt-LT"/>
        </w:rPr>
        <w:t>1.1. Papildyti 4.556</w:t>
      </w:r>
      <w:r>
        <w:rPr>
          <w:szCs w:val="24"/>
          <w:vertAlign w:val="superscript"/>
          <w:lang w:eastAsia="lt-LT"/>
        </w:rPr>
        <w:t>1</w:t>
      </w:r>
      <w:r>
        <w:rPr>
          <w:szCs w:val="24"/>
          <w:lang w:eastAsia="lt-LT"/>
        </w:rPr>
        <w:t xml:space="preserve"> papunkčiu:</w:t>
      </w:r>
    </w:p>
    <w:tbl>
      <w:tblPr>
        <w:tblStyle w:val="TableGrid"/>
        <w:tblW w:w="94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7"/>
        <w:gridCol w:w="7585"/>
        <w:gridCol w:w="696"/>
      </w:tblGrid>
      <w:tr>
        <w:trPr/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highlight w:val="yellow"/>
              </w:rPr>
            </w:pPr>
            <w:r>
              <w:rPr/>
              <w:t>„</w:t>
            </w:r>
            <w:r>
              <w:rPr>
                <w:b/>
                <w:szCs w:val="24"/>
                <w:lang w:eastAsia="lt-LT"/>
              </w:rPr>
              <w:t>4.556</w:t>
            </w:r>
            <w:r>
              <w:rPr>
                <w:b/>
                <w:szCs w:val="24"/>
                <w:vertAlign w:val="superscript"/>
                <w:lang w:eastAsia="lt-LT"/>
              </w:rPr>
              <w:t>1</w:t>
            </w:r>
            <w:r>
              <w:rPr>
                <w:b/>
                <w:szCs w:val="24"/>
                <w:lang w:eastAsia="lt-LT"/>
              </w:rPr>
              <w:t>.</w:t>
            </w:r>
          </w:p>
        </w:tc>
        <w:tc>
          <w:tcPr>
            <w:tcW w:w="758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tLeast" w:line="360"/>
              <w:jc w:val="both"/>
              <w:rPr>
                <w:highlight w:val="yellow"/>
              </w:rPr>
            </w:pPr>
            <w:r>
              <w:rPr>
                <w:b/>
                <w:color w:val="000000"/>
                <w:szCs w:val="24"/>
                <w:lang w:eastAsia="lt-LT"/>
              </w:rPr>
              <w:t>leidimo atlikti archeologinius tyrimus: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b/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</w:r>
          </w:p>
        </w:tc>
      </w:tr>
      <w:tr>
        <w:trPr/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highlight w:val="yellow"/>
              </w:rPr>
            </w:pPr>
            <w:r>
              <w:rPr>
                <w:b/>
                <w:lang w:eastAsia="lt-LT"/>
              </w:rPr>
              <w:t>4.556</w:t>
            </w:r>
            <w:r>
              <w:rPr>
                <w:b/>
                <w:vertAlign w:val="superscript"/>
                <w:lang w:eastAsia="lt-LT"/>
              </w:rPr>
              <w:t>1</w:t>
            </w:r>
            <w:r>
              <w:rPr>
                <w:b/>
                <w:lang w:eastAsia="lt-LT"/>
              </w:rPr>
              <w:t>.1.</w:t>
            </w:r>
          </w:p>
        </w:tc>
        <w:tc>
          <w:tcPr>
            <w:tcW w:w="758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tLeast" w:line="360"/>
              <w:jc w:val="both"/>
              <w:rPr>
                <w:highlight w:val="yellow"/>
              </w:rPr>
            </w:pPr>
            <w:r>
              <w:rPr>
                <w:b/>
                <w:lang w:eastAsia="lt-LT"/>
              </w:rPr>
              <w:t>išdavimą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>
        <w:trPr/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highlight w:val="yellow"/>
              </w:rPr>
            </w:pPr>
            <w:r>
              <w:rPr>
                <w:b/>
                <w:lang w:eastAsia="lt-LT"/>
              </w:rPr>
              <w:t>4.556</w:t>
            </w:r>
            <w:r>
              <w:rPr>
                <w:b/>
                <w:vertAlign w:val="superscript"/>
                <w:lang w:eastAsia="lt-LT"/>
              </w:rPr>
              <w:t>1</w:t>
            </w:r>
            <w:r>
              <w:rPr>
                <w:b/>
                <w:lang w:eastAsia="lt-LT"/>
              </w:rPr>
              <w:t>.2.</w:t>
            </w:r>
          </w:p>
        </w:tc>
        <w:tc>
          <w:tcPr>
            <w:tcW w:w="758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tLeast" w:line="360"/>
              <w:ind w:right="-1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pratęsimą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highlight w:val="yellow"/>
              </w:rPr>
            </w:pPr>
            <w:r>
              <w:rPr>
                <w:b/>
                <w:color w:val="000000"/>
                <w:lang w:eastAsia="lt-LT"/>
              </w:rPr>
              <w:t>3,7</w:t>
            </w:r>
            <w:r>
              <w:rPr>
                <w:b w:val="false"/>
                <w:bCs w:val="false"/>
                <w:color w:val="000000"/>
                <w:lang w:eastAsia="lt-LT"/>
              </w:rPr>
              <w:t>“.</w:t>
            </w:r>
          </w:p>
        </w:tc>
      </w:tr>
    </w:tbl>
    <w:p>
      <w:pPr>
        <w:pStyle w:val="Normal"/>
        <w:tabs>
          <w:tab w:val="clear" w:pos="720"/>
          <w:tab w:val="left" w:pos="993" w:leader="none"/>
        </w:tabs>
        <w:spacing w:lineRule="atLeast" w:line="360"/>
        <w:ind w:firstLine="720"/>
        <w:jc w:val="both"/>
        <w:rPr>
          <w:highlight w:val="yellow"/>
        </w:rPr>
      </w:pPr>
      <w:r>
        <w:rPr>
          <w:szCs w:val="24"/>
          <w:lang w:eastAsia="lt-LT"/>
        </w:rPr>
        <w:t>1.2. Papildyti 4.556</w:t>
      </w:r>
      <w:r>
        <w:rPr>
          <w:szCs w:val="24"/>
          <w:vertAlign w:val="superscript"/>
          <w:lang w:eastAsia="lt-LT"/>
        </w:rPr>
        <w:t>2</w:t>
      </w:r>
      <w:r>
        <w:rPr>
          <w:szCs w:val="24"/>
          <w:lang w:eastAsia="lt-LT"/>
        </w:rPr>
        <w:t xml:space="preserve"> papunkčiu:</w:t>
      </w:r>
    </w:p>
    <w:tbl>
      <w:tblPr>
        <w:tblStyle w:val="TableGrid"/>
        <w:tblW w:w="94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8"/>
        <w:gridCol w:w="7617"/>
        <w:gridCol w:w="663"/>
      </w:tblGrid>
      <w:tr>
        <w:trPr/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highlight w:val="yellow"/>
              </w:rPr>
            </w:pPr>
            <w:r>
              <w:rPr>
                <w:b w:val="false"/>
                <w:bCs w:val="false"/>
                <w:lang w:eastAsia="lt-LT"/>
              </w:rPr>
              <w:t>„</w:t>
            </w:r>
            <w:r>
              <w:rPr>
                <w:b/>
                <w:lang w:eastAsia="lt-LT"/>
              </w:rPr>
              <w:t>4.556</w:t>
            </w:r>
            <w:r>
              <w:rPr>
                <w:b/>
                <w:vertAlign w:val="superscript"/>
                <w:lang w:eastAsia="lt-LT"/>
              </w:rPr>
              <w:t>2</w:t>
            </w:r>
            <w:r>
              <w:rPr>
                <w:b/>
                <w:lang w:eastAsia="lt-LT"/>
              </w:rPr>
              <w:t>.</w:t>
            </w: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tLeast" w:line="360"/>
              <w:ind w:right="-1" w:hanging="0"/>
              <w:jc w:val="both"/>
              <w:rPr>
                <w:highlight w:val="yellow"/>
              </w:rPr>
            </w:pPr>
            <w:r>
              <w:rPr>
                <w:b/>
                <w:bCs/>
              </w:rPr>
              <w:t>pritarimą archeologinių tyrimų atlikimui pagal pakeistą ir (ar) papildytą archeologinių tyrimų projektą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highlight w:val="yellow"/>
              </w:rPr>
            </w:pPr>
            <w:r>
              <w:rPr>
                <w:b/>
                <w:bCs/>
              </w:rPr>
              <w:t>36</w:t>
            </w:r>
            <w:r>
              <w:rPr/>
              <w:t>“.</w:t>
            </w:r>
          </w:p>
        </w:tc>
      </w:tr>
    </w:tbl>
    <w:p>
      <w:pPr>
        <w:pStyle w:val="Normal"/>
        <w:tabs>
          <w:tab w:val="clear" w:pos="720"/>
          <w:tab w:val="left" w:pos="993" w:leader="none"/>
        </w:tabs>
        <w:spacing w:lineRule="atLeast" w:line="360"/>
        <w:ind w:firstLine="720"/>
        <w:jc w:val="both"/>
        <w:rPr/>
      </w:pPr>
      <w:r>
        <w:rPr>
          <w:szCs w:val="24"/>
          <w:lang w:eastAsia="lt-LT"/>
        </w:rPr>
        <w:t>1.3. Papildyti nauju 4.621</w:t>
      </w:r>
      <w:r>
        <w:rPr>
          <w:szCs w:val="24"/>
          <w:vertAlign w:val="superscript"/>
          <w:lang w:eastAsia="lt-LT"/>
        </w:rPr>
        <w:t>1</w:t>
      </w:r>
      <w:r>
        <w:rPr>
          <w:szCs w:val="24"/>
          <w:lang w:eastAsia="lt-LT"/>
        </w:rPr>
        <w:t xml:space="preserve"> papunkčiu:</w:t>
      </w:r>
    </w:p>
    <w:tbl>
      <w:tblPr>
        <w:tblStyle w:val="TableGrid"/>
        <w:tblW w:w="94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3"/>
        <w:gridCol w:w="7799"/>
        <w:gridCol w:w="627"/>
      </w:tblGrid>
      <w:tr>
        <w:trPr/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b/>
                <w:b/>
                <w:szCs w:val="24"/>
                <w:lang w:eastAsia="lt-LT"/>
              </w:rPr>
            </w:pPr>
            <w:r>
              <w:rPr/>
              <w:t>„</w:t>
            </w:r>
            <w:r>
              <w:rPr>
                <w:b/>
                <w:szCs w:val="24"/>
                <w:lang w:eastAsia="lt-LT"/>
              </w:rPr>
              <w:t>4.621</w:t>
            </w:r>
            <w:r>
              <w:rPr>
                <w:b/>
                <w:szCs w:val="24"/>
                <w:vertAlign w:val="superscript"/>
                <w:lang w:eastAsia="lt-LT"/>
              </w:rPr>
              <w:t>1</w:t>
            </w:r>
            <w:r>
              <w:rPr>
                <w:b/>
                <w:szCs w:val="24"/>
                <w:lang w:eastAsia="lt-LT"/>
              </w:rPr>
              <w:t>.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tLeast" w:line="360"/>
              <w:ind w:right="-1" w:hanging="0"/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įrašymą į asmenų, darančių įtaką teisėkūrai, sąrašą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lineRule="atLeast" w:line="360"/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</w:t>
            </w:r>
            <w:r>
              <w:rPr>
                <w:szCs w:val="24"/>
                <w:lang w:eastAsia="lt-LT"/>
              </w:rPr>
              <w:t>“.</w:t>
            </w:r>
          </w:p>
        </w:tc>
      </w:tr>
    </w:tbl>
    <w:p>
      <w:pPr>
        <w:pStyle w:val="Normal"/>
        <w:spacing w:lineRule="atLeast" w:line="360"/>
        <w:ind w:firstLine="720"/>
        <w:rPr/>
      </w:pPr>
      <w:r>
        <w:rPr/>
        <w:t>1.4. Buvusį 4.621</w:t>
      </w:r>
      <w:r>
        <w:rPr>
          <w:vertAlign w:val="superscript"/>
        </w:rPr>
        <w:t>1</w:t>
      </w:r>
      <w:r>
        <w:rPr/>
        <w:t xml:space="preserve"> papunktį laikyti 4.621</w:t>
      </w:r>
      <w:r>
        <w:rPr>
          <w:vertAlign w:val="superscript"/>
        </w:rPr>
        <w:t>2</w:t>
      </w:r>
      <w:r>
        <w:rPr/>
        <w:t xml:space="preserve"> papunkčiu.</w:t>
      </w:r>
    </w:p>
    <w:p>
      <w:pPr>
        <w:pStyle w:val="Normal"/>
        <w:tabs>
          <w:tab w:val="clear" w:pos="720"/>
          <w:tab w:val="left" w:pos="993" w:leader="none"/>
        </w:tabs>
        <w:spacing w:lineRule="atLeast" w:line="360"/>
        <w:ind w:firstLine="709"/>
        <w:jc w:val="both"/>
        <w:rPr/>
      </w:pPr>
      <w:bookmarkStart w:id="0" w:name="_GoBack"/>
      <w:bookmarkEnd w:id="0"/>
      <w:r>
        <w:rPr>
          <w:szCs w:val="24"/>
          <w:lang w:eastAsia="lt-LT"/>
        </w:rPr>
        <w:t>2. Šio nutarimo 1.3 ir 1.4 papunkčiai įsigalioja 2021 m. sausio 1 d.</w:t>
      </w:r>
    </w:p>
    <w:p>
      <w:pPr>
        <w:pStyle w:val="Normal"/>
        <w:tabs>
          <w:tab w:val="clear" w:pos="720"/>
          <w:tab w:val="left" w:pos="993" w:leader="none"/>
        </w:tabs>
        <w:spacing w:lineRule="atLeast" w:line="360"/>
        <w:ind w:left="709" w:hanging="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tabs>
          <w:tab w:val="clear" w:pos="720"/>
          <w:tab w:val="center" w:pos="-7800" w:leader="none"/>
          <w:tab w:val="left" w:pos="6237" w:leader="none"/>
          <w:tab w:val="right" w:pos="8306" w:leader="none"/>
        </w:tabs>
        <w:spacing w:lineRule="atLeast" w:line="36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tabs>
          <w:tab w:val="clear" w:pos="720"/>
          <w:tab w:val="center" w:pos="-7800" w:leader="none"/>
          <w:tab w:val="left" w:pos="6237" w:leader="none"/>
          <w:tab w:val="right" w:pos="8306" w:leader="none"/>
        </w:tabs>
        <w:spacing w:lineRule="atLeast" w:line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  <w:tab/>
      </w:r>
    </w:p>
    <w:p>
      <w:pPr>
        <w:pStyle w:val="Normal"/>
        <w:tabs>
          <w:tab w:val="clear" w:pos="720"/>
          <w:tab w:val="center" w:pos="-7800" w:leader="none"/>
          <w:tab w:val="left" w:pos="6237" w:leader="none"/>
          <w:tab w:val="right" w:pos="8306" w:leader="none"/>
        </w:tabs>
        <w:spacing w:lineRule="atLeast" w:line="36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tabs>
          <w:tab w:val="clear" w:pos="720"/>
          <w:tab w:val="center" w:pos="-7800" w:leader="none"/>
          <w:tab w:val="left" w:pos="6237" w:leader="none"/>
          <w:tab w:val="right" w:pos="8306" w:leader="none"/>
        </w:tabs>
        <w:spacing w:lineRule="atLeast" w:line="36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tabs>
          <w:tab w:val="clear" w:pos="720"/>
          <w:tab w:val="left" w:pos="6237" w:leader="none"/>
        </w:tabs>
        <w:spacing w:lineRule="atLeast" w:line="360"/>
        <w:jc w:val="both"/>
        <w:rPr/>
      </w:pPr>
      <w:r>
        <w:rPr>
          <w:szCs w:val="24"/>
          <w:lang w:eastAsia="lt-LT"/>
        </w:rPr>
        <w:t>Finansų ministras</w:t>
        <w:tab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header="567" w:top="1134" w:footer="56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Segoe UI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153" w:leader="none"/>
        <w:tab w:val="right" w:pos="8306" w:leader="none"/>
      </w:tabs>
      <w:rPr>
        <w:sz w:val="20"/>
        <w:lang w:val="en-US"/>
      </w:rPr>
    </w:pPr>
    <w:r>
      <w:rPr>
        <w:sz w:val="20"/>
        <w:lang w:val="en-US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153" w:leader="none"/>
        <w:tab w:val="right" w:pos="8306" w:leader="none"/>
      </w:tabs>
      <w:rPr>
        <w:sz w:val="20"/>
        <w:lang w:val="en-US"/>
      </w:rPr>
    </w:pPr>
    <w:r>
      <w:rPr>
        <w:sz w:val="20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153" w:leader="none"/>
        <w:tab w:val="right" w:pos="8306" w:leader="none"/>
      </w:tabs>
      <w:rPr>
        <w:szCs w:val="24"/>
        <w:lang w:eastAsia="lt-LT"/>
      </w:rPr>
    </w:pPr>
    <w:r>
      <w:rPr>
        <w:szCs w:val="24"/>
        <w:lang w:eastAsia="lt-LT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largest"/>
              <wp:docPr id="1" name="Kadra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adroturinys"/>
                            <w:tabs>
                              <w:tab w:val="clear" w:pos="720"/>
                              <w:tab w:val="center" w:pos="4153" w:leader="none"/>
                              <w:tab w:val="right" w:pos="8306" w:leader="none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> PAGE </w:instrText>
                          </w:r>
                          <w:r>
                            <w:rPr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</w:rPr>
                            <w:t>0</w:t>
                          </w:r>
                          <w:r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adras1" stroked="f" style="position:absolute;margin-left:0pt;margin-top:0.05pt;width:1.2pt;height:1.2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adroturinys"/>
                      <w:tabs>
                        <w:tab w:val="clear" w:pos="720"/>
                        <w:tab w:val="center" w:pos="4153" w:leader="none"/>
                        <w:tab w:val="right" w:pos="8306" w:leader="none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> PAGE </w:instrText>
                    </w:r>
                    <w:r>
                      <w:rPr>
                        <w:szCs w:val="24"/>
                      </w:rPr>
                      <w:fldChar w:fldCharType="separate"/>
                    </w:r>
                    <w:r>
                      <w:rPr>
                        <w:szCs w:val="24"/>
                      </w:rPr>
                      <w:t>0</w:t>
                    </w:r>
                    <w:r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153" w:leader="none"/>
        <w:tab w:val="right" w:pos="8306" w:leader="none"/>
      </w:tabs>
      <w:rPr>
        <w:szCs w:val="24"/>
        <w:lang w:eastAsia="lt-LT"/>
      </w:rPr>
    </w:pPr>
    <w:r>
      <w:rPr>
        <w:szCs w:val="24"/>
        <w:lang w:eastAsia="lt-LT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en-US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en-U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semiHidden/>
    <w:qFormat/>
    <w:rsid w:val="008a2dc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semiHidden/>
    <w:unhideWhenUsed/>
    <w:qFormat/>
    <w:rsid w:val="007a6c6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semiHidden/>
    <w:qFormat/>
    <w:rsid w:val="007a6c61"/>
    <w:rPr>
      <w:sz w:val="20"/>
    </w:rPr>
  </w:style>
  <w:style w:type="character" w:styleId="CommentSubjectChar" w:customStyle="1">
    <w:name w:val="Comment Subject Char"/>
    <w:basedOn w:val="CommentTextChar"/>
    <w:link w:val="CommentSubject"/>
    <w:semiHidden/>
    <w:qFormat/>
    <w:rsid w:val="007a6c61"/>
    <w:rPr>
      <w:b/>
      <w:bCs/>
      <w:sz w:val="20"/>
    </w:rPr>
  </w:style>
  <w:style w:type="character" w:styleId="Internetosaitas" w:customStyle="1">
    <w:name w:val="Interneto saitas"/>
    <w:basedOn w:val="DefaultParagraphFont"/>
    <w:unhideWhenUsed/>
    <w:rsid w:val="007a6c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qFormat/>
    <w:rsid w:val="00dd07e5"/>
    <w:rPr>
      <w:color w:val="800080" w:themeColor="followedHyperlink"/>
      <w:u w:val="single"/>
    </w:rPr>
  </w:style>
  <w:style w:type="paragraph" w:styleId="Antrat" w:customStyle="1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alloonText">
    <w:name w:val="Balloon Text"/>
    <w:basedOn w:val="Normal"/>
    <w:link w:val="BalloonTextChar"/>
    <w:semiHidden/>
    <w:unhideWhenUsed/>
    <w:qFormat/>
    <w:rsid w:val="008a2dc3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8a2dc3"/>
    <w:pPr>
      <w:spacing w:before="0" w:after="0"/>
      <w:ind w:left="720" w:hanging="0"/>
      <w:contextualSpacing/>
    </w:pPr>
    <w:rPr/>
  </w:style>
  <w:style w:type="paragraph" w:styleId="Revision">
    <w:name w:val="Revision"/>
    <w:semiHidden/>
    <w:qFormat/>
    <w:rsid w:val="0022216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paragraph" w:styleId="Annotationtext">
    <w:name w:val="annotation text"/>
    <w:basedOn w:val="Normal"/>
    <w:link w:val="CommentTextChar"/>
    <w:semiHidden/>
    <w:unhideWhenUsed/>
    <w:qFormat/>
    <w:rsid w:val="007a6c61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semiHidden/>
    <w:unhideWhenUsed/>
    <w:qFormat/>
    <w:rsid w:val="007a6c61"/>
    <w:pPr/>
    <w:rPr>
      <w:b/>
      <w:bCs/>
    </w:rPr>
  </w:style>
  <w:style w:type="paragraph" w:styleId="Puslapinantratirporat" w:customStyle="1">
    <w:name w:val="Puslapinė antraštė ir poraštė"/>
    <w:basedOn w:val="Normal"/>
    <w:qFormat/>
    <w:pPr/>
    <w:rPr/>
  </w:style>
  <w:style w:type="paragraph" w:styleId="Puslapinantrat">
    <w:name w:val="Header"/>
    <w:basedOn w:val="Puslapinantratirporat"/>
    <w:pPr/>
    <w:rPr/>
  </w:style>
  <w:style w:type="paragraph" w:styleId="Kadroturinys" w:customStyle="1">
    <w:name w:val="Kadro turinys"/>
    <w:basedOn w:val="Normal"/>
    <w:qFormat/>
    <w:pPr/>
    <w:rPr/>
  </w:style>
  <w:style w:type="paragraph" w:styleId="Puslapinporat">
    <w:name w:val="Footer"/>
    <w:basedOn w:val="Puslapinantratirporat"/>
    <w:pPr/>
    <w:rPr/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c74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2.xml"
                 Type="http://schemas.openxmlformats.org/officeDocument/2006/relationships/customXml"/>
   <Relationship Id="rId11" Target="../customXml/item3.xml"
                 Type="http://schemas.openxmlformats.org/officeDocument/2006/relationships/customXml"/>
   <Relationship Id="rId12" Target="../customXml/item4.xml"
                 Type="http://schemas.openxmlformats.org/officeDocument/2006/relationships/customXml"/>
   <Relationship Id="rId2" Target="header1.xml"
                 Type="http://schemas.openxmlformats.org/officeDocument/2006/relationships/header"/>
   <Relationship Id="rId3" Target="header2.xml"
                 Type="http://schemas.openxmlformats.org/officeDocument/2006/relationships/header"/>
   <Relationship Id="rId4" Target="footer1.xml"
                 Type="http://schemas.openxmlformats.org/officeDocument/2006/relationships/footer"/>
   <Relationship Id="rId5" Target="footer2.xml"
                 Type="http://schemas.openxmlformats.org/officeDocument/2006/relationships/footer"/>
   <Relationship Id="rId6" Target="fontTable.xml"
                 Type="http://schemas.openxmlformats.org/officeDocument/2006/relationships/fontTable"/>
   <Relationship Id="rId7" Target="settings.xml"
                 Type="http://schemas.openxmlformats.org/officeDocument/2006/relationships/settings"/>
   <Relationship Id="rId8" Target="theme/theme1.xml"
                 Type="http://schemas.openxmlformats.org/officeDocument/2006/relationships/theme"/>
   <Relationship Id="rId9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5EECBA6A286B40B748A2F4848B9087" ma:contentTypeVersion="6" ma:contentTypeDescription="Kurkite naują dokumentą." ma:contentTypeScope="" ma:versionID="2c1db4bc027727e15df60d57a9c57b42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37479beeb612bc18e9a63eaf03794dc9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ync_x0020_Work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Sync_x0020_Workspace" ma:index="11" nillable="true" ma:displayName="Sync Workspace" ma:internalName="Sync_x0020_Worksp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c_x0020_Workspace xmlns="301c9014-1613-4fe0-8d68-5abdea84592c">
      <Url xsi:nil="true"/>
      <Description xsi:nil="true"/>
    </Sync_x0020_Workspace>
    <TaxCatchAll xmlns="f70de6b8-3297-425e-8b0b-ce726e9489d4"/>
    <TaxKeywordTaxHTField xmlns="f70de6b8-3297-425e-8b0b-ce726e9489d4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49EB-D335-4D4A-A3BF-AC6C3F210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CB3D2-034D-4F43-83E6-26F70EA2D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FC8AA-BA85-4FD0-BE98-35E95E71F32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70de6b8-3297-425e-8b0b-ce726e9489d4"/>
    <ds:schemaRef ds:uri="http://purl.org/dc/terms/"/>
    <ds:schemaRef ds:uri="http://schemas.microsoft.com/office/infopath/2007/PartnerControls"/>
    <ds:schemaRef ds:uri="301c9014-1613-4fe0-8d68-5abdea84592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A08657-6C80-422D-A7A5-A7F7CBB9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LibreOffice/6.3.6.2$Windows_X86_64 LibreOffice_project/2196df99b074d8a661f4036fca8fa0cbfa33a497</Application>
  <Pages>1</Pages>
  <Words>148</Words>
  <Characters>1013</Characters>
  <CharactersWithSpaces>1183</CharactersWithSpaces>
  <Paragraphs>30</Paragraphs>
  <Company>LRVK</Company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2020-11-06T12:52:00Z</dcterms:created>
  <dc:creator>lrvk</dc:creator>
  <dc:language>lt-LT</dc:language>
  <cp:lastPrinted>2017-02-20T15:33:00Z</cp:lastPrinted>
  <dcterms:modified xsi:type="dcterms:W3CDTF">2020-11-09T08:32:44Z</dcterms:modified>
  <cp:revision>6</cp:revision>
  <dc:title>DĖL LIETUVOS RESPUBLIKOS VYRIAUSYBĖS 2000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LRVK</vt:lpwstr>
  </property>
  <property fmtid="{D5CDD505-2E9C-101B-9397-08002B2CF9AE}" pid="4" name="ContentTypeId">
    <vt:lpwstr>0x010100BA5EECBA6A286B40B748A2F4848B9087</vt:lpwstr>
  </property>
  <property fmtid="{D5CDD505-2E9C-101B-9397-08002B2CF9AE}" pid="5" name="DocSecurity">
    <vt:i4>0</vt:i4>
  </property>
  <property fmtid="{D5CDD505-2E9C-101B-9397-08002B2CF9AE}" pid="6" name="Ecm4dDocBuildDocAcceptance">
    <vt:bool>1</vt:bool>
  </property>
  <property fmtid="{D5CDD505-2E9C-101B-9397-08002B2CF9AE}" pid="7" name="Ecm4dDocBuildDocCoordination">
    <vt:bool>1</vt:bool>
  </property>
  <property fmtid="{D5CDD505-2E9C-101B-9397-08002B2CF9AE}" pid="8" name="HyperlinksChanged">
    <vt:bool>0</vt:bool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TaxKeyword">
    <vt:lpwstr/>
  </property>
</Properties>
</file>