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19300" w14:textId="37BDD680" w:rsidR="008C0C50" w:rsidRPr="00516D1A" w:rsidRDefault="00B158FB" w:rsidP="009E73F6">
      <w:pPr>
        <w:autoSpaceDE w:val="0"/>
        <w:autoSpaceDN w:val="0"/>
        <w:adjustRightInd w:val="0"/>
        <w:spacing w:after="0" w:line="240" w:lineRule="auto"/>
        <w:jc w:val="center"/>
        <w:rPr>
          <w:rFonts w:ascii="Times New Roman" w:hAnsi="Times New Roman"/>
          <w:b/>
          <w:bCs/>
          <w:color w:val="000000"/>
          <w:sz w:val="24"/>
          <w:szCs w:val="24"/>
        </w:rPr>
      </w:pPr>
      <w:r w:rsidRPr="001C790C">
        <w:rPr>
          <w:rFonts w:ascii="Times New Roman" w:hAnsi="Times New Roman"/>
          <w:b/>
          <w:sz w:val="24"/>
          <w:szCs w:val="24"/>
        </w:rPr>
        <w:t>LIETUVOS RESPUBLIKOS VYRIAUSYBĖS NUTARIMO „DĖL LIETUVOS RESPUBLIKOS VYRIAUSYBĖS 2012 M. SAUSIO 11 D. NUTARIMO NR. 4 „DĖL ADMINISTRACINĖS NAŠTOS ŪKIO SUBJEKTAMS NUSTATYMO METODIKOS PATVIRTINIMO“ PAKEITIMO“ PROJEKT</w:t>
      </w:r>
      <w:r>
        <w:rPr>
          <w:rFonts w:ascii="Times New Roman" w:hAnsi="Times New Roman"/>
          <w:b/>
          <w:sz w:val="24"/>
          <w:szCs w:val="24"/>
        </w:rPr>
        <w:t>O</w:t>
      </w:r>
      <w:r w:rsidRPr="001C790C">
        <w:rPr>
          <w:rFonts w:ascii="Times New Roman" w:hAnsi="Times New Roman"/>
          <w:b/>
          <w:sz w:val="24"/>
          <w:szCs w:val="24"/>
        </w:rPr>
        <w:t xml:space="preserve"> </w:t>
      </w:r>
      <w:r w:rsidR="00550BB2" w:rsidRPr="00516D1A">
        <w:rPr>
          <w:rFonts w:ascii="Times New Roman" w:hAnsi="Times New Roman"/>
          <w:b/>
          <w:sz w:val="24"/>
          <w:szCs w:val="24"/>
        </w:rPr>
        <w:t xml:space="preserve">DERINIMO </w:t>
      </w:r>
      <w:r w:rsidR="00D0551E" w:rsidRPr="00516D1A">
        <w:rPr>
          <w:rFonts w:ascii="Times New Roman" w:hAnsi="Times New Roman"/>
          <w:b/>
          <w:bCs/>
          <w:color w:val="000000"/>
          <w:sz w:val="24"/>
          <w:szCs w:val="24"/>
        </w:rPr>
        <w:t>PAŽYMA</w:t>
      </w:r>
    </w:p>
    <w:p w14:paraId="7F813EBD" w14:textId="77777777" w:rsidR="00C54246" w:rsidRPr="0081123F" w:rsidRDefault="00C54246" w:rsidP="0009474E">
      <w:pPr>
        <w:autoSpaceDE w:val="0"/>
        <w:autoSpaceDN w:val="0"/>
        <w:adjustRightInd w:val="0"/>
        <w:spacing w:after="0" w:line="240" w:lineRule="auto"/>
        <w:jc w:val="center"/>
        <w:rPr>
          <w:rFonts w:ascii="Times New Roman" w:hAnsi="Times New Roman"/>
          <w:b/>
          <w:bCs/>
          <w:color w:val="000000"/>
        </w:rPr>
      </w:pPr>
    </w:p>
    <w:tbl>
      <w:tblPr>
        <w:tblpPr w:leftFromText="180" w:rightFromText="180" w:vertAnchor="text" w:tblpXSpec="right" w:tblpY="1"/>
        <w:tblOverlap w:val="never"/>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864"/>
        <w:gridCol w:w="6095"/>
        <w:gridCol w:w="6338"/>
      </w:tblGrid>
      <w:tr w:rsidR="00E833F4" w:rsidRPr="0081123F" w14:paraId="182E2F27" w14:textId="77777777" w:rsidTr="00A1568F">
        <w:trPr>
          <w:trHeight w:val="497"/>
        </w:trPr>
        <w:tc>
          <w:tcPr>
            <w:tcW w:w="182" w:type="pct"/>
            <w:tcBorders>
              <w:top w:val="single" w:sz="4" w:space="0" w:color="auto"/>
              <w:left w:val="single" w:sz="4" w:space="0" w:color="auto"/>
              <w:bottom w:val="single" w:sz="4" w:space="0" w:color="auto"/>
              <w:right w:val="single" w:sz="4" w:space="0" w:color="auto"/>
            </w:tcBorders>
            <w:shd w:val="clear" w:color="auto" w:fill="auto"/>
            <w:hideMark/>
          </w:tcPr>
          <w:p w14:paraId="1C50CD67" w14:textId="77777777" w:rsidR="00A4699A" w:rsidRPr="004A58EF" w:rsidRDefault="00A4699A" w:rsidP="00442D6A">
            <w:pPr>
              <w:autoSpaceDE w:val="0"/>
              <w:autoSpaceDN w:val="0"/>
              <w:adjustRightInd w:val="0"/>
              <w:spacing w:after="0" w:line="240" w:lineRule="auto"/>
              <w:rPr>
                <w:rFonts w:ascii="Times New Roman" w:hAnsi="Times New Roman"/>
                <w:color w:val="000000"/>
              </w:rPr>
            </w:pPr>
            <w:r w:rsidRPr="004A58EF">
              <w:rPr>
                <w:rFonts w:ascii="Times New Roman" w:hAnsi="Times New Roman"/>
                <w:color w:val="000000"/>
              </w:rPr>
              <w:t>Eil. Nr.</w:t>
            </w:r>
          </w:p>
        </w:tc>
        <w:tc>
          <w:tcPr>
            <w:tcW w:w="628" w:type="pct"/>
            <w:tcBorders>
              <w:top w:val="single" w:sz="4" w:space="0" w:color="auto"/>
              <w:left w:val="single" w:sz="4" w:space="0" w:color="auto"/>
              <w:bottom w:val="single" w:sz="4" w:space="0" w:color="auto"/>
              <w:right w:val="single" w:sz="4" w:space="0" w:color="auto"/>
            </w:tcBorders>
            <w:shd w:val="clear" w:color="auto" w:fill="auto"/>
            <w:hideMark/>
          </w:tcPr>
          <w:p w14:paraId="62E49BE4" w14:textId="77777777" w:rsidR="00A4699A" w:rsidRPr="004A58EF" w:rsidRDefault="00A4699A" w:rsidP="00442D6A">
            <w:pPr>
              <w:autoSpaceDE w:val="0"/>
              <w:autoSpaceDN w:val="0"/>
              <w:adjustRightInd w:val="0"/>
              <w:spacing w:after="0" w:line="240" w:lineRule="auto"/>
              <w:rPr>
                <w:rFonts w:ascii="Times New Roman" w:hAnsi="Times New Roman"/>
                <w:color w:val="000000"/>
              </w:rPr>
            </w:pPr>
            <w:r w:rsidRPr="004A58EF">
              <w:rPr>
                <w:rFonts w:ascii="Times New Roman" w:hAnsi="Times New Roman"/>
                <w:color w:val="000000"/>
              </w:rPr>
              <w:t>Institucijos pavadinimas, rašto data ir numeris</w:t>
            </w:r>
          </w:p>
        </w:tc>
        <w:tc>
          <w:tcPr>
            <w:tcW w:w="2054" w:type="pct"/>
            <w:tcBorders>
              <w:top w:val="single" w:sz="4" w:space="0" w:color="auto"/>
              <w:left w:val="single" w:sz="4" w:space="0" w:color="auto"/>
              <w:bottom w:val="single" w:sz="4" w:space="0" w:color="auto"/>
              <w:right w:val="single" w:sz="4" w:space="0" w:color="auto"/>
            </w:tcBorders>
            <w:shd w:val="clear" w:color="auto" w:fill="auto"/>
            <w:hideMark/>
          </w:tcPr>
          <w:p w14:paraId="773D71DC" w14:textId="77777777" w:rsidR="00A4699A" w:rsidRPr="004A58EF" w:rsidRDefault="00A4699A" w:rsidP="00442D6A">
            <w:pPr>
              <w:autoSpaceDE w:val="0"/>
              <w:autoSpaceDN w:val="0"/>
              <w:adjustRightInd w:val="0"/>
              <w:spacing w:after="0" w:line="240" w:lineRule="auto"/>
              <w:jc w:val="center"/>
              <w:rPr>
                <w:rFonts w:ascii="Times New Roman" w:hAnsi="Times New Roman"/>
                <w:color w:val="000000"/>
              </w:rPr>
            </w:pPr>
            <w:r w:rsidRPr="004A58EF">
              <w:rPr>
                <w:rFonts w:ascii="Times New Roman" w:hAnsi="Times New Roman"/>
                <w:color w:val="000000"/>
              </w:rPr>
              <w:t>Pastabos ir pasiūlymai</w:t>
            </w:r>
          </w:p>
        </w:tc>
        <w:tc>
          <w:tcPr>
            <w:tcW w:w="2136" w:type="pct"/>
            <w:tcBorders>
              <w:top w:val="single" w:sz="4" w:space="0" w:color="auto"/>
              <w:left w:val="single" w:sz="4" w:space="0" w:color="auto"/>
              <w:bottom w:val="single" w:sz="4" w:space="0" w:color="auto"/>
              <w:right w:val="single" w:sz="4" w:space="0" w:color="auto"/>
            </w:tcBorders>
            <w:shd w:val="clear" w:color="auto" w:fill="auto"/>
          </w:tcPr>
          <w:p w14:paraId="0B4604AE" w14:textId="77777777" w:rsidR="00A4699A" w:rsidRPr="004A58EF" w:rsidRDefault="00A4699A" w:rsidP="00442D6A">
            <w:pPr>
              <w:autoSpaceDE w:val="0"/>
              <w:autoSpaceDN w:val="0"/>
              <w:adjustRightInd w:val="0"/>
              <w:spacing w:after="0" w:line="240" w:lineRule="auto"/>
              <w:jc w:val="center"/>
              <w:rPr>
                <w:rFonts w:ascii="Times New Roman" w:hAnsi="Times New Roman"/>
                <w:color w:val="000000"/>
              </w:rPr>
            </w:pPr>
            <w:r w:rsidRPr="004A58EF">
              <w:rPr>
                <w:rFonts w:ascii="Times New Roman" w:hAnsi="Times New Roman"/>
                <w:color w:val="000000"/>
              </w:rPr>
              <w:t>Pastabų ir pasiūlymų įvertinimas</w:t>
            </w:r>
          </w:p>
        </w:tc>
      </w:tr>
      <w:tr w:rsidR="00810236" w:rsidRPr="0009474E" w14:paraId="5ADD020D" w14:textId="77777777" w:rsidTr="00A1568F">
        <w:trPr>
          <w:trHeight w:val="397"/>
        </w:trPr>
        <w:tc>
          <w:tcPr>
            <w:tcW w:w="182" w:type="pct"/>
            <w:tcBorders>
              <w:left w:val="single" w:sz="4" w:space="0" w:color="auto"/>
              <w:right w:val="single" w:sz="4" w:space="0" w:color="auto"/>
            </w:tcBorders>
          </w:tcPr>
          <w:p w14:paraId="2733B58F" w14:textId="0459E319" w:rsidR="00810236" w:rsidRDefault="00C6056F" w:rsidP="00442D6A">
            <w:pPr>
              <w:pStyle w:val="Sraopastraipa"/>
              <w:numPr>
                <w:ilvl w:val="0"/>
                <w:numId w:val="6"/>
              </w:numPr>
              <w:tabs>
                <w:tab w:val="left" w:pos="360"/>
              </w:tabs>
              <w:autoSpaceDE w:val="0"/>
              <w:autoSpaceDN w:val="0"/>
              <w:adjustRightInd w:val="0"/>
              <w:spacing w:after="0"/>
              <w:ind w:left="0"/>
              <w:rPr>
                <w:rFonts w:ascii="Times New Roman" w:hAnsi="Times New Roman"/>
                <w:color w:val="000000"/>
                <w:sz w:val="24"/>
                <w:szCs w:val="24"/>
              </w:rPr>
            </w:pPr>
            <w:r>
              <w:rPr>
                <w:rFonts w:ascii="Times New Roman" w:hAnsi="Times New Roman"/>
                <w:color w:val="000000"/>
                <w:sz w:val="24"/>
                <w:szCs w:val="24"/>
              </w:rPr>
              <w:t>1.</w:t>
            </w:r>
          </w:p>
        </w:tc>
        <w:tc>
          <w:tcPr>
            <w:tcW w:w="628" w:type="pct"/>
            <w:tcBorders>
              <w:left w:val="single" w:sz="4" w:space="0" w:color="auto"/>
              <w:right w:val="single" w:sz="4" w:space="0" w:color="auto"/>
            </w:tcBorders>
          </w:tcPr>
          <w:p w14:paraId="632F6921" w14:textId="77777777" w:rsidR="00810236" w:rsidRPr="006B53F6" w:rsidRDefault="00810236" w:rsidP="00442D6A">
            <w:pPr>
              <w:autoSpaceDE w:val="0"/>
              <w:autoSpaceDN w:val="0"/>
              <w:adjustRightInd w:val="0"/>
              <w:spacing w:after="0" w:line="240" w:lineRule="auto"/>
              <w:rPr>
                <w:rFonts w:ascii="Times New Roman" w:hAnsi="Times New Roman"/>
                <w:color w:val="000000"/>
                <w:sz w:val="24"/>
                <w:szCs w:val="24"/>
              </w:rPr>
            </w:pPr>
            <w:r w:rsidRPr="006B53F6">
              <w:rPr>
                <w:rFonts w:ascii="Times New Roman" w:hAnsi="Times New Roman"/>
                <w:color w:val="000000"/>
                <w:sz w:val="24"/>
                <w:szCs w:val="24"/>
              </w:rPr>
              <w:t>Aplinkos apsaugos agentūros 2021 m. birželio 3 d. raštas Nr. (16)-A4E-6708</w:t>
            </w:r>
          </w:p>
          <w:p w14:paraId="517D2D65" w14:textId="77777777" w:rsidR="00D37123" w:rsidRPr="004C3666" w:rsidRDefault="00D37123" w:rsidP="00442D6A">
            <w:pPr>
              <w:autoSpaceDE w:val="0"/>
              <w:autoSpaceDN w:val="0"/>
              <w:adjustRightInd w:val="0"/>
              <w:spacing w:after="0" w:line="240" w:lineRule="auto"/>
              <w:rPr>
                <w:rFonts w:ascii="Times New Roman" w:hAnsi="Times New Roman"/>
                <w:strike/>
                <w:color w:val="000000"/>
                <w:sz w:val="24"/>
                <w:szCs w:val="24"/>
              </w:rPr>
            </w:pPr>
          </w:p>
          <w:p w14:paraId="05C900DA" w14:textId="39BEE2F9" w:rsidR="00D37123" w:rsidRPr="004C3666" w:rsidRDefault="00D37123" w:rsidP="00442D6A">
            <w:pPr>
              <w:autoSpaceDE w:val="0"/>
              <w:autoSpaceDN w:val="0"/>
              <w:adjustRightInd w:val="0"/>
              <w:spacing w:after="0" w:line="240" w:lineRule="auto"/>
              <w:rPr>
                <w:rFonts w:ascii="Times New Roman" w:hAnsi="Times New Roman"/>
                <w:strike/>
                <w:color w:val="000000"/>
                <w:sz w:val="24"/>
                <w:szCs w:val="24"/>
              </w:rPr>
            </w:pPr>
          </w:p>
        </w:tc>
        <w:tc>
          <w:tcPr>
            <w:tcW w:w="2054" w:type="pct"/>
            <w:tcBorders>
              <w:top w:val="single" w:sz="4" w:space="0" w:color="auto"/>
              <w:left w:val="single" w:sz="4" w:space="0" w:color="auto"/>
              <w:bottom w:val="single" w:sz="4" w:space="0" w:color="auto"/>
              <w:right w:val="single" w:sz="4" w:space="0" w:color="auto"/>
            </w:tcBorders>
          </w:tcPr>
          <w:p w14:paraId="0B324CC4" w14:textId="7FB8FCA3" w:rsidR="00810236" w:rsidRPr="006B53F6" w:rsidRDefault="00AA4128" w:rsidP="00442D6A">
            <w:pPr>
              <w:pStyle w:val="Sraopastraipa"/>
              <w:numPr>
                <w:ilvl w:val="0"/>
                <w:numId w:val="16"/>
              </w:numPr>
              <w:tabs>
                <w:tab w:val="left" w:pos="325"/>
              </w:tabs>
              <w:spacing w:after="0" w:line="240" w:lineRule="auto"/>
              <w:ind w:left="0" w:firstLine="41"/>
              <w:jc w:val="both"/>
              <w:rPr>
                <w:rFonts w:ascii="Times New Roman" w:hAnsi="Times New Roman"/>
                <w:sz w:val="24"/>
                <w:szCs w:val="20"/>
              </w:rPr>
            </w:pPr>
            <w:r w:rsidRPr="006B53F6">
              <w:rPr>
                <w:rFonts w:ascii="Times New Roman" w:hAnsi="Times New Roman"/>
                <w:sz w:val="24"/>
                <w:szCs w:val="20"/>
              </w:rPr>
              <w:t>Pateiktam Nutarimo projektui Agentūra esminių pastabų ir pasiūlymų neturi. Metodikoje galėtų būti numatyta išimtis, kad jos reikalavimai neturi būti taikomi tais atvejais, kai į nacionalinę teisę perkeliamos valstybei narei privalomos direktyvų nuostatos arba įgyvendinamos tiesiogiai taikomų Europos Sąjungos teisės aktų nuostatos, nes šiuo atveju įpareigojimai nustatomi Europos Sąjungos lygiu.</w:t>
            </w:r>
          </w:p>
        </w:tc>
        <w:tc>
          <w:tcPr>
            <w:tcW w:w="2136" w:type="pct"/>
            <w:tcBorders>
              <w:top w:val="single" w:sz="4" w:space="0" w:color="auto"/>
              <w:left w:val="single" w:sz="4" w:space="0" w:color="auto"/>
              <w:bottom w:val="single" w:sz="4" w:space="0" w:color="auto"/>
              <w:right w:val="single" w:sz="4" w:space="0" w:color="auto"/>
            </w:tcBorders>
            <w:shd w:val="clear" w:color="auto" w:fill="auto"/>
          </w:tcPr>
          <w:p w14:paraId="04DFF850" w14:textId="77777777" w:rsidR="00C6056F" w:rsidRPr="00122F79" w:rsidRDefault="00C6056F" w:rsidP="00442D6A">
            <w:pPr>
              <w:spacing w:after="0" w:line="240" w:lineRule="auto"/>
              <w:jc w:val="both"/>
              <w:rPr>
                <w:rFonts w:ascii="Times New Roman" w:hAnsi="Times New Roman"/>
                <w:b/>
                <w:bCs/>
                <w:sz w:val="24"/>
                <w:szCs w:val="24"/>
              </w:rPr>
            </w:pPr>
            <w:r w:rsidRPr="00122F79">
              <w:rPr>
                <w:rFonts w:ascii="Times New Roman" w:hAnsi="Times New Roman"/>
                <w:b/>
                <w:bCs/>
                <w:sz w:val="24"/>
                <w:szCs w:val="24"/>
              </w:rPr>
              <w:t>Neatsižvelgta.</w:t>
            </w:r>
          </w:p>
          <w:p w14:paraId="70B8D6FC" w14:textId="7413F678" w:rsidR="00F37C5F" w:rsidRPr="00F37C5F" w:rsidRDefault="00F37C5F" w:rsidP="00442D6A">
            <w:pPr>
              <w:spacing w:after="0" w:line="240" w:lineRule="auto"/>
              <w:jc w:val="both"/>
              <w:rPr>
                <w:rFonts w:ascii="Times New Roman" w:hAnsi="Times New Roman"/>
                <w:sz w:val="24"/>
                <w:szCs w:val="24"/>
              </w:rPr>
            </w:pPr>
            <w:r w:rsidRPr="00F37C5F">
              <w:rPr>
                <w:rFonts w:ascii="Times New Roman" w:hAnsi="Times New Roman"/>
                <w:sz w:val="24"/>
                <w:szCs w:val="24"/>
              </w:rPr>
              <w:t xml:space="preserve">Europos Komisija balandžio 29 d. paskelbė </w:t>
            </w:r>
            <w:hyperlink r:id="rId11" w:history="1">
              <w:r w:rsidRPr="00F37C5F">
                <w:rPr>
                  <w:rStyle w:val="Hipersaitas"/>
                  <w:rFonts w:ascii="Times New Roman" w:hAnsi="Times New Roman"/>
                  <w:sz w:val="24"/>
                  <w:szCs w:val="24"/>
                </w:rPr>
                <w:t>Komunikatą dėl geresnio reglamentavimo</w:t>
              </w:r>
            </w:hyperlink>
            <w:r w:rsidRPr="00F37C5F">
              <w:rPr>
                <w:rFonts w:ascii="Times New Roman" w:hAnsi="Times New Roman"/>
                <w:sz w:val="24"/>
                <w:szCs w:val="24"/>
                <w:u w:val="single"/>
              </w:rPr>
              <w:t xml:space="preserve">. </w:t>
            </w:r>
            <w:r w:rsidRPr="00F37C5F">
              <w:rPr>
                <w:rFonts w:ascii="Times New Roman" w:hAnsi="Times New Roman"/>
                <w:sz w:val="24"/>
                <w:szCs w:val="24"/>
              </w:rPr>
              <w:t>Be kitų svarbių pasiūlymų (Paprastesnės ir skaidresnės viešosios konsultacijos, argumentų, kodėl reikalingi ES pasiūlymai, skaidrumas, i</w:t>
            </w:r>
            <w:r w:rsidRPr="00F37C5F">
              <w:rPr>
                <w:rFonts w:ascii="Times New Roman" w:hAnsi="Times New Roman"/>
                <w:sz w:val="24"/>
                <w:szCs w:val="24"/>
                <w:lang w:val="pt-BR"/>
              </w:rPr>
              <w:t>šsamesnis ir skaidresnis poveikio vertinimas</w:t>
            </w:r>
            <w:r w:rsidRPr="00F37C5F">
              <w:rPr>
                <w:rFonts w:ascii="Times New Roman" w:hAnsi="Times New Roman"/>
                <w:sz w:val="24"/>
                <w:szCs w:val="24"/>
              </w:rPr>
              <w:t xml:space="preserve"> ir kt.) jame įtvirtintas </w:t>
            </w:r>
            <w:r w:rsidRPr="00F37C5F">
              <w:rPr>
                <w:rFonts w:ascii="Times New Roman" w:hAnsi="Times New Roman"/>
                <w:sz w:val="24"/>
                <w:szCs w:val="24"/>
                <w:lang w:val="en-US"/>
              </w:rPr>
              <w:t>„One in</w:t>
            </w:r>
            <w:r w:rsidR="00E30872">
              <w:rPr>
                <w:rFonts w:ascii="Times New Roman" w:hAnsi="Times New Roman"/>
                <w:sz w:val="24"/>
                <w:szCs w:val="24"/>
                <w:lang w:val="en-US"/>
              </w:rPr>
              <w:t>,</w:t>
            </w:r>
            <w:r w:rsidRPr="00F37C5F">
              <w:rPr>
                <w:rFonts w:ascii="Times New Roman" w:hAnsi="Times New Roman"/>
                <w:sz w:val="24"/>
                <w:szCs w:val="24"/>
                <w:lang w:val="en-US"/>
              </w:rPr>
              <w:t xml:space="preserve"> one out“ </w:t>
            </w:r>
            <w:r w:rsidRPr="00F37C5F">
              <w:rPr>
                <w:rFonts w:ascii="Times New Roman" w:hAnsi="Times New Roman"/>
                <w:sz w:val="24"/>
                <w:szCs w:val="24"/>
              </w:rPr>
              <w:t xml:space="preserve">principo ES teisėkūroje įdiegimas. Vadovaujantis principu, būtina įvertinti naujo teisėkūros pasiūlymo sukuriamą naštą ir analogiška apimtimi sumažinti naštą, įtvirtintą galiojančiuose ES teisės aktuose toje pačioje politikos srityje. Šiuo metu derinami praktiniai aspektai ir rengiamos metodologijos, įgyvendinimas planuojamas nuo 2022 metų. </w:t>
            </w:r>
            <w:r w:rsidR="004B441A">
              <w:rPr>
                <w:rFonts w:ascii="Times New Roman" w:hAnsi="Times New Roman"/>
                <w:sz w:val="24"/>
                <w:szCs w:val="24"/>
              </w:rPr>
              <w:t>Įvertinus tai, kad</w:t>
            </w:r>
            <w:r w:rsidRPr="00F37C5F">
              <w:rPr>
                <w:rFonts w:ascii="Times New Roman" w:hAnsi="Times New Roman"/>
                <w:sz w:val="24"/>
                <w:szCs w:val="24"/>
              </w:rPr>
              <w:t xml:space="preserve"> metodika yra taikoma remiantis nedubliavimo principu - </w:t>
            </w:r>
            <w:r w:rsidR="00EC7116">
              <w:rPr>
                <w:rFonts w:ascii="Times New Roman" w:hAnsi="Times New Roman"/>
                <w:sz w:val="24"/>
                <w:szCs w:val="24"/>
              </w:rPr>
              <w:t>p</w:t>
            </w:r>
            <w:r w:rsidRPr="00F37C5F">
              <w:rPr>
                <w:rFonts w:ascii="Times New Roman" w:hAnsi="Times New Roman"/>
                <w:sz w:val="24"/>
                <w:szCs w:val="24"/>
              </w:rPr>
              <w:t>risitaikymo išlaidos skaičiuojamos tik vieną kartą nepriklausomai keliuose ir kokio lygmens (ES ar nacionaliniame) nustatytas įpareigojima</w:t>
            </w:r>
            <w:r w:rsidR="004B441A">
              <w:rPr>
                <w:rFonts w:ascii="Times New Roman" w:hAnsi="Times New Roman"/>
                <w:sz w:val="24"/>
                <w:szCs w:val="24"/>
              </w:rPr>
              <w:t>s</w:t>
            </w:r>
            <w:r w:rsidRPr="00F37C5F">
              <w:rPr>
                <w:rFonts w:ascii="Times New Roman" w:hAnsi="Times New Roman"/>
                <w:sz w:val="24"/>
                <w:szCs w:val="24"/>
              </w:rPr>
              <w:t xml:space="preserve">, jei išlaidos jau buvo įvertintos rengiant ir priimant ES teisės aktą, tokio vertinimo dubliuoti perkeliant jį į nacionalinę teisę tokia pačia apimtimi nebereikia. </w:t>
            </w:r>
          </w:p>
          <w:p w14:paraId="7E1C7FF3" w14:textId="77777777" w:rsidR="00F37C5F" w:rsidRPr="00F37C5F" w:rsidRDefault="00F37C5F" w:rsidP="00442D6A">
            <w:pPr>
              <w:spacing w:after="0" w:line="240" w:lineRule="auto"/>
              <w:jc w:val="both"/>
              <w:rPr>
                <w:rFonts w:ascii="Times New Roman" w:hAnsi="Times New Roman"/>
                <w:sz w:val="24"/>
                <w:szCs w:val="24"/>
              </w:rPr>
            </w:pPr>
            <w:r w:rsidRPr="00F37C5F">
              <w:rPr>
                <w:rFonts w:ascii="Times New Roman" w:hAnsi="Times New Roman"/>
                <w:sz w:val="24"/>
                <w:szCs w:val="24"/>
              </w:rPr>
              <w:t xml:space="preserve">Tačiau, didėjant administracinei naštai ir bendroms prisitaikymo prie reguliavimo išlaidoms, kylančioms iš ES teisės aktų reikalavimų, perkeliamų į nacionalinę teisę, turėtų būti ieškoma prisitaikymo prie reguliavimo išlaidų sumažinimo galimybių keičiant nacionalinius teisės aktus. </w:t>
            </w:r>
          </w:p>
          <w:p w14:paraId="2665779A" w14:textId="2A186703" w:rsidR="00F37C5F" w:rsidRPr="00F37C5F" w:rsidRDefault="00F37C5F" w:rsidP="00442D6A">
            <w:pPr>
              <w:spacing w:after="0" w:line="240" w:lineRule="auto"/>
              <w:jc w:val="both"/>
              <w:rPr>
                <w:rFonts w:ascii="Times New Roman" w:hAnsi="Times New Roman"/>
                <w:sz w:val="24"/>
                <w:szCs w:val="24"/>
              </w:rPr>
            </w:pPr>
            <w:r w:rsidRPr="00F37C5F">
              <w:rPr>
                <w:rFonts w:ascii="Times New Roman" w:hAnsi="Times New Roman"/>
                <w:sz w:val="24"/>
                <w:szCs w:val="24"/>
              </w:rPr>
              <w:t xml:space="preserve">Taip pat, pasitaiko atvejų, kai institucijos, perkeldamos ES teisės aktų nuostatas į nacionalinį reguliavimą nustato reikalavimus, kurie viršija ES teisės akte nustatytus reikalavimus ir (arba) yra </w:t>
            </w:r>
            <w:r w:rsidRPr="00F37C5F">
              <w:rPr>
                <w:rFonts w:ascii="Times New Roman" w:hAnsi="Times New Roman"/>
                <w:sz w:val="24"/>
                <w:szCs w:val="24"/>
              </w:rPr>
              <w:lastRenderedPageBreak/>
              <w:t>nebūtini ES teisės akte nustatytiems tikslams pasiekti. Todėl svarbu įvertinti nustatomų papildomų reikalavimų sukeliamas prisitaikymo prie reguliavimo išlaidas.</w:t>
            </w:r>
          </w:p>
          <w:p w14:paraId="1DAA1F32" w14:textId="7BD591ED" w:rsidR="00F37C5F" w:rsidRPr="00F37C5F" w:rsidRDefault="00F37C5F" w:rsidP="00442D6A">
            <w:pPr>
              <w:spacing w:after="0" w:line="240" w:lineRule="auto"/>
              <w:jc w:val="both"/>
              <w:rPr>
                <w:rFonts w:ascii="Times New Roman" w:hAnsi="Times New Roman"/>
                <w:sz w:val="24"/>
                <w:szCs w:val="24"/>
              </w:rPr>
            </w:pPr>
            <w:r w:rsidRPr="00F37C5F">
              <w:rPr>
                <w:rFonts w:ascii="Times New Roman" w:hAnsi="Times New Roman"/>
                <w:sz w:val="24"/>
                <w:szCs w:val="24"/>
              </w:rPr>
              <w:t>Taip pat svarbu paminėti, kad ūkio subjektams iš esmės nėra labai svarbu, kas nustato jo veiklai keliamus reikalavimus, ar šie reikalavimai kyla iš ES teisės aktų, ar juos nustatė savo iniciatyva Lietuvos valstybės institucijos. Jau dabar E</w:t>
            </w:r>
            <w:r w:rsidR="00816BF0">
              <w:rPr>
                <w:rFonts w:ascii="Times New Roman" w:hAnsi="Times New Roman"/>
                <w:sz w:val="24"/>
                <w:szCs w:val="24"/>
              </w:rPr>
              <w:t>konomikos ir inovacijų ministerija</w:t>
            </w:r>
            <w:r w:rsidRPr="00F37C5F">
              <w:rPr>
                <w:rFonts w:ascii="Times New Roman" w:hAnsi="Times New Roman"/>
                <w:sz w:val="24"/>
                <w:szCs w:val="24"/>
              </w:rPr>
              <w:t xml:space="preserve"> įvykdžius du projektus, finansuojamus iš ES struktūrinių lėšų, - „Teisinio reguliavimo tinkamumo patikros“ ir „Administracinės ir kitos reguliavimo naštos vertinimas ir mažinimas savivaldybėse“ – gali daryti išvadą, kad nagrinėtose teisinio reguliavimo srityse, prisitaikymo išlaidos ūkio subjektams siekia apie </w:t>
            </w:r>
            <w:r w:rsidRPr="00F37C5F">
              <w:rPr>
                <w:rFonts w:ascii="Times New Roman" w:hAnsi="Times New Roman"/>
                <w:sz w:val="24"/>
                <w:szCs w:val="24"/>
                <w:lang w:val="en-US"/>
              </w:rPr>
              <w:t>80-85</w:t>
            </w:r>
            <w:r w:rsidRPr="00F37C5F">
              <w:rPr>
                <w:rFonts w:ascii="Times New Roman" w:hAnsi="Times New Roman"/>
                <w:sz w:val="24"/>
                <w:szCs w:val="24"/>
              </w:rPr>
              <w:t xml:space="preserve"> proc. visų išlaidų, o administracinė našta ūkio subjektams tik </w:t>
            </w:r>
            <w:r w:rsidRPr="00F37C5F">
              <w:rPr>
                <w:rFonts w:ascii="Times New Roman" w:hAnsi="Times New Roman"/>
                <w:sz w:val="24"/>
                <w:szCs w:val="24"/>
                <w:lang w:val="en-US"/>
              </w:rPr>
              <w:t>15-20</w:t>
            </w:r>
            <w:r w:rsidRPr="00F37C5F">
              <w:rPr>
                <w:rFonts w:ascii="Times New Roman" w:hAnsi="Times New Roman"/>
                <w:sz w:val="24"/>
                <w:szCs w:val="24"/>
              </w:rPr>
              <w:t xml:space="preserve"> proc. Todėl, siekdami kuo objektyviau įvertinti ūkio subjektams tenkančią naštą, kurią jie patiria įgyvendindami teisės aktuose nustatytus reikalavimus, turime laipsniškai pereiti prie bendro prisitaikymo prie reguliavimo išlaidų vertinimo. </w:t>
            </w:r>
          </w:p>
          <w:p w14:paraId="227B893F" w14:textId="02D8F4DC" w:rsidR="00F37C5F" w:rsidRPr="00F37C5F" w:rsidRDefault="00F37C5F" w:rsidP="00442D6A">
            <w:pPr>
              <w:spacing w:after="0" w:line="240" w:lineRule="auto"/>
              <w:jc w:val="both"/>
              <w:rPr>
                <w:rFonts w:ascii="Times New Roman" w:hAnsi="Times New Roman"/>
                <w:sz w:val="24"/>
                <w:szCs w:val="24"/>
              </w:rPr>
            </w:pPr>
            <w:r w:rsidRPr="00F37C5F">
              <w:rPr>
                <w:rFonts w:ascii="Times New Roman" w:hAnsi="Times New Roman"/>
                <w:sz w:val="24"/>
                <w:szCs w:val="24"/>
              </w:rPr>
              <w:t xml:space="preserve">Nustatant teisinį reguliavimą, kai siekiama svarbių visuomenės interesų, tokių kaip visuomenės saugos, visuomenės sveikatos, darbuotojų apsaugos, mažinti šešėlinę ekonomiką, ar nustatomas reguliavimas esant ekstremalioms situacijoms, turi būti nustatomas atitinkamai proporcingas ir būtinas reguliavimas, </w:t>
            </w:r>
            <w:r w:rsidR="002749FF">
              <w:rPr>
                <w:rFonts w:ascii="Times New Roman" w:hAnsi="Times New Roman"/>
                <w:sz w:val="24"/>
                <w:szCs w:val="24"/>
              </w:rPr>
              <w:t>vengiant</w:t>
            </w:r>
            <w:r w:rsidRPr="00F37C5F">
              <w:rPr>
                <w:rFonts w:ascii="Times New Roman" w:hAnsi="Times New Roman"/>
                <w:sz w:val="24"/>
                <w:szCs w:val="24"/>
              </w:rPr>
              <w:t xml:space="preserve"> papildomų perteklinių reikalavimų. Tiek vertinant prisitaikymo prie reguliavimo išlaidas, tiek skaičiuojant bendrą prisitaikymo prie reguliavimo išlaidų mažinimo rodiklį, kurį siūlome nustatyti Nutarime, negalime nustatyti išimčių ir eliminuoti tam tikrų teisės aktų, kuriais yra kuriamas naujas ar keičiamas reguliavimas, kadangi apskritai teisės aktai turėtų būti kuriami </w:t>
            </w:r>
            <w:r w:rsidR="006B1F30" w:rsidRPr="00F37C5F">
              <w:rPr>
                <w:rFonts w:ascii="Times New Roman" w:hAnsi="Times New Roman"/>
                <w:sz w:val="24"/>
                <w:szCs w:val="24"/>
              </w:rPr>
              <w:t>ir keičiami tik būtiniausiu atveju, ir siekiant</w:t>
            </w:r>
            <w:r w:rsidRPr="00F37C5F">
              <w:rPr>
                <w:rFonts w:ascii="Times New Roman" w:hAnsi="Times New Roman"/>
                <w:sz w:val="24"/>
                <w:szCs w:val="24"/>
              </w:rPr>
              <w:t xml:space="preserve"> svarbių visuomenei interesų.</w:t>
            </w:r>
          </w:p>
          <w:p w14:paraId="23B7BD11" w14:textId="0C0A1920" w:rsidR="00810236" w:rsidRPr="00F45776" w:rsidRDefault="00F37C5F" w:rsidP="00442D6A">
            <w:pPr>
              <w:spacing w:after="0" w:line="240" w:lineRule="auto"/>
              <w:jc w:val="both"/>
              <w:rPr>
                <w:rFonts w:ascii="Times New Roman" w:hAnsi="Times New Roman"/>
                <w:sz w:val="24"/>
                <w:szCs w:val="24"/>
              </w:rPr>
            </w:pPr>
            <w:r w:rsidRPr="00F37C5F">
              <w:rPr>
                <w:rFonts w:ascii="Times New Roman" w:hAnsi="Times New Roman"/>
                <w:sz w:val="24"/>
                <w:szCs w:val="24"/>
              </w:rPr>
              <w:t xml:space="preserve">Atkreipiame dėmesį, kad kai naujas teisinis reguliavimas yra pagrįstas ir būtinas siekiant užtikrinti teisiniu reguliavimu saugomų vertybių apsaugą, tikslų neįmanoma pasiekti kitomis </w:t>
            </w:r>
            <w:r w:rsidRPr="00F37C5F">
              <w:rPr>
                <w:rFonts w:ascii="Times New Roman" w:hAnsi="Times New Roman"/>
                <w:sz w:val="24"/>
                <w:szCs w:val="24"/>
              </w:rPr>
              <w:lastRenderedPageBreak/>
              <w:t>priemonėmis ir nėra nustatomi pertekliniai reikalavimai ar įpareigojimai, prisitaikymo prie reguliavimo išlaidos gali ir turi didėti. Tačiau tokiu atveju svarbu įvertinti kitas alternatyvas bei ieškoti būd</w:t>
            </w:r>
            <w:r w:rsidR="003B2970">
              <w:rPr>
                <w:rFonts w:ascii="Times New Roman" w:hAnsi="Times New Roman"/>
                <w:sz w:val="24"/>
                <w:szCs w:val="24"/>
              </w:rPr>
              <w:t>ų</w:t>
            </w:r>
            <w:r w:rsidRPr="00F37C5F">
              <w:rPr>
                <w:rFonts w:ascii="Times New Roman" w:hAnsi="Times New Roman"/>
                <w:sz w:val="24"/>
                <w:szCs w:val="24"/>
              </w:rPr>
              <w:t xml:space="preserve"> mažinti minėtas išlaidas, peržiūrint jau galiojanti teisinį reguliavimą.</w:t>
            </w:r>
          </w:p>
        </w:tc>
      </w:tr>
      <w:tr w:rsidR="001F493E" w:rsidRPr="0009474E" w14:paraId="073291B7" w14:textId="77777777" w:rsidTr="00A1568F">
        <w:trPr>
          <w:trHeight w:val="397"/>
        </w:trPr>
        <w:tc>
          <w:tcPr>
            <w:tcW w:w="182" w:type="pct"/>
            <w:vMerge w:val="restart"/>
            <w:tcBorders>
              <w:left w:val="single" w:sz="4" w:space="0" w:color="auto"/>
              <w:right w:val="single" w:sz="4" w:space="0" w:color="auto"/>
            </w:tcBorders>
            <w:shd w:val="clear" w:color="auto" w:fill="FFFFFF" w:themeFill="background1"/>
          </w:tcPr>
          <w:p w14:paraId="58C5E38F" w14:textId="559CE78F" w:rsidR="001F493E" w:rsidRDefault="00AF617C" w:rsidP="00442D6A">
            <w:pPr>
              <w:pStyle w:val="Sraopastraipa"/>
              <w:numPr>
                <w:ilvl w:val="0"/>
                <w:numId w:val="6"/>
              </w:numPr>
              <w:tabs>
                <w:tab w:val="left" w:pos="360"/>
              </w:tabs>
              <w:autoSpaceDE w:val="0"/>
              <w:autoSpaceDN w:val="0"/>
              <w:adjustRightInd w:val="0"/>
              <w:spacing w:after="0"/>
              <w:ind w:left="0"/>
              <w:rPr>
                <w:rFonts w:ascii="Times New Roman" w:hAnsi="Times New Roman"/>
                <w:color w:val="000000"/>
                <w:sz w:val="24"/>
                <w:szCs w:val="24"/>
              </w:rPr>
            </w:pPr>
            <w:r>
              <w:rPr>
                <w:rFonts w:ascii="Times New Roman" w:hAnsi="Times New Roman"/>
                <w:color w:val="000000"/>
                <w:sz w:val="24"/>
                <w:szCs w:val="24"/>
                <w:lang w:val="en-US"/>
              </w:rPr>
              <w:lastRenderedPageBreak/>
              <w:t>2.</w:t>
            </w:r>
          </w:p>
        </w:tc>
        <w:tc>
          <w:tcPr>
            <w:tcW w:w="628" w:type="pct"/>
            <w:vMerge w:val="restart"/>
            <w:tcBorders>
              <w:left w:val="single" w:sz="4" w:space="0" w:color="auto"/>
              <w:right w:val="single" w:sz="4" w:space="0" w:color="auto"/>
            </w:tcBorders>
            <w:shd w:val="clear" w:color="auto" w:fill="FFFFFF" w:themeFill="background1"/>
          </w:tcPr>
          <w:p w14:paraId="7C16071F" w14:textId="77777777" w:rsidR="001F493E" w:rsidRDefault="001F493E" w:rsidP="00442D6A">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Lietuvos banko </w:t>
            </w:r>
            <w:r w:rsidRPr="00BD708D">
              <w:rPr>
                <w:rFonts w:ascii="Times New Roman" w:hAnsi="Times New Roman"/>
                <w:color w:val="000000"/>
                <w:sz w:val="24"/>
                <w:szCs w:val="24"/>
              </w:rPr>
              <w:t xml:space="preserve">2021 m. birželio </w:t>
            </w:r>
            <w:r>
              <w:rPr>
                <w:rFonts w:ascii="Times New Roman" w:hAnsi="Times New Roman"/>
                <w:color w:val="000000"/>
                <w:sz w:val="24"/>
                <w:szCs w:val="24"/>
              </w:rPr>
              <w:t>7</w:t>
            </w:r>
            <w:r w:rsidRPr="00BD708D">
              <w:rPr>
                <w:rFonts w:ascii="Times New Roman" w:hAnsi="Times New Roman"/>
                <w:color w:val="000000"/>
                <w:sz w:val="24"/>
                <w:szCs w:val="24"/>
              </w:rPr>
              <w:t xml:space="preserve"> d. raštas Nr. S</w:t>
            </w:r>
            <w:r>
              <w:rPr>
                <w:rFonts w:ascii="Times New Roman" w:hAnsi="Times New Roman"/>
                <w:color w:val="000000"/>
                <w:sz w:val="24"/>
                <w:szCs w:val="24"/>
              </w:rPr>
              <w:t xml:space="preserve"> </w:t>
            </w:r>
            <w:r w:rsidRPr="00BD708D">
              <w:rPr>
                <w:rFonts w:ascii="Times New Roman" w:hAnsi="Times New Roman"/>
                <w:color w:val="000000"/>
                <w:sz w:val="24"/>
                <w:szCs w:val="24"/>
              </w:rPr>
              <w:t>2021/(4.4.E-0400)-12</w:t>
            </w:r>
            <w:proofErr w:type="gramStart"/>
            <w:r w:rsidRPr="00BD708D">
              <w:rPr>
                <w:rFonts w:ascii="Times New Roman" w:hAnsi="Times New Roman"/>
                <w:color w:val="000000"/>
                <w:sz w:val="24"/>
                <w:szCs w:val="24"/>
              </w:rPr>
              <w:t>-</w:t>
            </w:r>
            <w:proofErr w:type="gramEnd"/>
            <w:r w:rsidRPr="00BD708D">
              <w:rPr>
                <w:rFonts w:ascii="Times New Roman" w:hAnsi="Times New Roman"/>
                <w:color w:val="000000"/>
                <w:sz w:val="24"/>
                <w:szCs w:val="24"/>
              </w:rPr>
              <w:t>3042</w:t>
            </w:r>
          </w:p>
          <w:p w14:paraId="65C62811" w14:textId="77777777" w:rsidR="001F493E" w:rsidRDefault="001F493E" w:rsidP="00442D6A">
            <w:pPr>
              <w:autoSpaceDE w:val="0"/>
              <w:autoSpaceDN w:val="0"/>
              <w:adjustRightInd w:val="0"/>
              <w:spacing w:after="0" w:line="240" w:lineRule="auto"/>
              <w:rPr>
                <w:rFonts w:ascii="Times New Roman" w:hAnsi="Times New Roman"/>
                <w:color w:val="000000"/>
                <w:sz w:val="24"/>
                <w:szCs w:val="24"/>
              </w:rPr>
            </w:pPr>
          </w:p>
          <w:p w14:paraId="3AB7C349" w14:textId="6B163861" w:rsidR="001F493E" w:rsidRDefault="001F493E" w:rsidP="00442D6A">
            <w:pPr>
              <w:autoSpaceDE w:val="0"/>
              <w:autoSpaceDN w:val="0"/>
              <w:adjustRightInd w:val="0"/>
              <w:spacing w:after="0" w:line="240" w:lineRule="auto"/>
              <w:rPr>
                <w:rFonts w:ascii="Times New Roman" w:hAnsi="Times New Roman"/>
                <w:color w:val="000000"/>
                <w:sz w:val="24"/>
                <w:szCs w:val="24"/>
              </w:rPr>
            </w:pPr>
          </w:p>
        </w:tc>
        <w:tc>
          <w:tcPr>
            <w:tcW w:w="2054" w:type="pct"/>
            <w:tcBorders>
              <w:top w:val="single" w:sz="4" w:space="0" w:color="auto"/>
              <w:left w:val="single" w:sz="4" w:space="0" w:color="auto"/>
              <w:bottom w:val="single" w:sz="4" w:space="0" w:color="auto"/>
              <w:right w:val="single" w:sz="4" w:space="0" w:color="auto"/>
            </w:tcBorders>
            <w:shd w:val="clear" w:color="auto" w:fill="FFFFFF" w:themeFill="background1"/>
          </w:tcPr>
          <w:p w14:paraId="151064BB" w14:textId="77777777" w:rsidR="001F493E" w:rsidRDefault="001F493E" w:rsidP="00442D6A">
            <w:pPr>
              <w:pStyle w:val="Sraopastraipa"/>
              <w:tabs>
                <w:tab w:val="left" w:pos="325"/>
                <w:tab w:val="left" w:pos="750"/>
              </w:tabs>
              <w:spacing w:after="0" w:line="240" w:lineRule="auto"/>
              <w:ind w:left="41"/>
              <w:jc w:val="both"/>
              <w:rPr>
                <w:rFonts w:ascii="Times New Roman" w:hAnsi="Times New Roman"/>
                <w:sz w:val="24"/>
                <w:szCs w:val="20"/>
              </w:rPr>
            </w:pPr>
            <w:r w:rsidRPr="00C15415">
              <w:rPr>
                <w:rFonts w:ascii="Times New Roman" w:hAnsi="Times New Roman"/>
                <w:sz w:val="24"/>
                <w:szCs w:val="20"/>
              </w:rPr>
              <w:t>1.</w:t>
            </w:r>
            <w:r w:rsidRPr="00C15415">
              <w:rPr>
                <w:rFonts w:ascii="Times New Roman" w:hAnsi="Times New Roman"/>
                <w:sz w:val="24"/>
                <w:szCs w:val="20"/>
              </w:rPr>
              <w:tab/>
              <w:t>Atkreiptinas dėmesys į tai, kad prisitaikymo prie reguliavimo vertinimas ne tik padidintų administracinę naštą valstybės institucijoms ir, tikėtina, pareikalautų papildomų žmogiškųjų resursų ir kompetencijų, trumpuoju laikotarpiu reikšmingai padidėtų našta ir ūkio subjektams. Siekdamos tinkamai įvertinti ūkio subjektų prisitaikymo prie reguliavimo išlaidas, institucijos minėtą informaciją galėtų gauti tik teikdamos papildomas užklausas, nes ne visa vertinimui reikalinga informacija yra viešai prieinama.</w:t>
            </w:r>
          </w:p>
          <w:p w14:paraId="677FABA2" w14:textId="77777777" w:rsidR="0087355A" w:rsidRDefault="0087355A" w:rsidP="00442D6A">
            <w:pPr>
              <w:pStyle w:val="Sraopastraipa"/>
              <w:tabs>
                <w:tab w:val="left" w:pos="325"/>
                <w:tab w:val="left" w:pos="750"/>
              </w:tabs>
              <w:spacing w:after="0" w:line="240" w:lineRule="auto"/>
              <w:ind w:left="41"/>
              <w:jc w:val="both"/>
              <w:rPr>
                <w:rFonts w:ascii="Times New Roman" w:hAnsi="Times New Roman"/>
                <w:sz w:val="24"/>
                <w:szCs w:val="20"/>
              </w:rPr>
            </w:pPr>
          </w:p>
          <w:p w14:paraId="158F6794" w14:textId="77777777" w:rsidR="0087355A" w:rsidRDefault="0087355A" w:rsidP="00442D6A">
            <w:pPr>
              <w:pStyle w:val="Sraopastraipa"/>
              <w:tabs>
                <w:tab w:val="left" w:pos="325"/>
                <w:tab w:val="left" w:pos="750"/>
              </w:tabs>
              <w:spacing w:after="0" w:line="240" w:lineRule="auto"/>
              <w:ind w:left="41"/>
              <w:jc w:val="both"/>
              <w:rPr>
                <w:rFonts w:ascii="Times New Roman" w:hAnsi="Times New Roman"/>
                <w:sz w:val="24"/>
                <w:szCs w:val="20"/>
              </w:rPr>
            </w:pPr>
          </w:p>
          <w:p w14:paraId="36CB954C" w14:textId="27E84AEE" w:rsidR="0087355A" w:rsidRDefault="0087355A" w:rsidP="002F5F71">
            <w:pPr>
              <w:spacing w:line="240" w:lineRule="auto"/>
              <w:jc w:val="both"/>
              <w:rPr>
                <w:rFonts w:ascii="Times New Roman" w:hAnsi="Times New Roman"/>
                <w:sz w:val="24"/>
                <w:szCs w:val="20"/>
              </w:rPr>
            </w:pPr>
          </w:p>
        </w:tc>
        <w:tc>
          <w:tcPr>
            <w:tcW w:w="2136" w:type="pct"/>
            <w:tcBorders>
              <w:top w:val="single" w:sz="4" w:space="0" w:color="auto"/>
              <w:left w:val="single" w:sz="4" w:space="0" w:color="auto"/>
              <w:bottom w:val="single" w:sz="4" w:space="0" w:color="auto"/>
              <w:right w:val="single" w:sz="4" w:space="0" w:color="auto"/>
            </w:tcBorders>
            <w:shd w:val="clear" w:color="auto" w:fill="FFFFFF" w:themeFill="background1"/>
          </w:tcPr>
          <w:p w14:paraId="01CBB1D4" w14:textId="45D3D5F7" w:rsidR="00122F79" w:rsidRPr="00B9748C" w:rsidRDefault="00B5343C" w:rsidP="00442D6A">
            <w:pPr>
              <w:spacing w:after="0" w:line="240" w:lineRule="auto"/>
              <w:jc w:val="both"/>
              <w:rPr>
                <w:rFonts w:ascii="Times New Roman" w:hAnsi="Times New Roman"/>
                <w:b/>
                <w:bCs/>
                <w:sz w:val="24"/>
                <w:szCs w:val="24"/>
              </w:rPr>
            </w:pPr>
            <w:r w:rsidRPr="00B51A97">
              <w:rPr>
                <w:rFonts w:ascii="Times New Roman" w:hAnsi="Times New Roman"/>
                <w:b/>
                <w:bCs/>
                <w:sz w:val="24"/>
                <w:szCs w:val="24"/>
              </w:rPr>
              <w:t>Atsižvelgta</w:t>
            </w:r>
            <w:r>
              <w:rPr>
                <w:rFonts w:ascii="Times New Roman" w:hAnsi="Times New Roman"/>
                <w:b/>
                <w:bCs/>
                <w:sz w:val="24"/>
                <w:szCs w:val="24"/>
              </w:rPr>
              <w:t xml:space="preserve"> iš dalies</w:t>
            </w:r>
            <w:r w:rsidR="00122F79" w:rsidRPr="00B9748C">
              <w:rPr>
                <w:rFonts w:ascii="Times New Roman" w:hAnsi="Times New Roman"/>
                <w:b/>
                <w:bCs/>
                <w:sz w:val="24"/>
                <w:szCs w:val="24"/>
              </w:rPr>
              <w:t>.</w:t>
            </w:r>
          </w:p>
          <w:p w14:paraId="07C9AB78" w14:textId="639FF331" w:rsidR="00201E5E" w:rsidRDefault="00EB6BB4" w:rsidP="00442D6A">
            <w:pPr>
              <w:spacing w:line="240" w:lineRule="auto"/>
              <w:jc w:val="both"/>
              <w:rPr>
                <w:rFonts w:ascii="Times New Roman" w:hAnsi="Times New Roman"/>
                <w:sz w:val="24"/>
                <w:szCs w:val="24"/>
              </w:rPr>
            </w:pPr>
            <w:r>
              <w:rPr>
                <w:rFonts w:ascii="Times New Roman" w:hAnsi="Times New Roman"/>
                <w:sz w:val="24"/>
                <w:szCs w:val="24"/>
              </w:rPr>
              <w:t>Siekiant</w:t>
            </w:r>
            <w:r w:rsidR="00201E5E" w:rsidRPr="00B9748C">
              <w:rPr>
                <w:rFonts w:ascii="Times New Roman" w:hAnsi="Times New Roman"/>
                <w:sz w:val="24"/>
                <w:szCs w:val="24"/>
              </w:rPr>
              <w:t xml:space="preserve"> išvengt</w:t>
            </w:r>
            <w:r>
              <w:rPr>
                <w:rFonts w:ascii="Times New Roman" w:hAnsi="Times New Roman"/>
                <w:sz w:val="24"/>
                <w:szCs w:val="24"/>
              </w:rPr>
              <w:t>i</w:t>
            </w:r>
            <w:r w:rsidR="00201E5E" w:rsidRPr="00B9748C">
              <w:rPr>
                <w:rFonts w:ascii="Times New Roman" w:hAnsi="Times New Roman"/>
                <w:sz w:val="24"/>
                <w:szCs w:val="24"/>
              </w:rPr>
              <w:t xml:space="preserve"> perteklinio įpareigojimo</w:t>
            </w:r>
            <w:r w:rsidR="00F12D70">
              <w:rPr>
                <w:rFonts w:ascii="Times New Roman" w:hAnsi="Times New Roman"/>
                <w:sz w:val="24"/>
                <w:szCs w:val="24"/>
              </w:rPr>
              <w:t xml:space="preserve"> ir administracinės naštos</w:t>
            </w:r>
            <w:r w:rsidR="00201E5E" w:rsidRPr="00B9748C">
              <w:rPr>
                <w:rFonts w:ascii="Times New Roman" w:hAnsi="Times New Roman"/>
                <w:sz w:val="24"/>
                <w:szCs w:val="24"/>
              </w:rPr>
              <w:t xml:space="preserve"> </w:t>
            </w:r>
            <w:r w:rsidR="00F12D70">
              <w:rPr>
                <w:rFonts w:ascii="Times New Roman" w:hAnsi="Times New Roman"/>
                <w:sz w:val="24"/>
                <w:szCs w:val="24"/>
              </w:rPr>
              <w:t xml:space="preserve">institucijų darbuotojams ir tarnautojams </w:t>
            </w:r>
            <w:r w:rsidR="00201E5E" w:rsidRPr="00B9748C">
              <w:rPr>
                <w:rFonts w:ascii="Times New Roman" w:hAnsi="Times New Roman"/>
                <w:sz w:val="24"/>
                <w:szCs w:val="24"/>
              </w:rPr>
              <w:t>nustatymo</w:t>
            </w:r>
            <w:r w:rsidR="00143D6F">
              <w:rPr>
                <w:rFonts w:ascii="Times New Roman" w:hAnsi="Times New Roman"/>
                <w:sz w:val="24"/>
                <w:szCs w:val="24"/>
              </w:rPr>
              <w:t>,</w:t>
            </w:r>
            <w:r w:rsidR="00201E5E" w:rsidRPr="00B9748C">
              <w:rPr>
                <w:rFonts w:ascii="Times New Roman" w:hAnsi="Times New Roman"/>
                <w:sz w:val="24"/>
                <w:szCs w:val="24"/>
              </w:rPr>
              <w:t xml:space="preserve"> siūlome </w:t>
            </w:r>
            <w:r w:rsidR="00AB7442">
              <w:rPr>
                <w:rFonts w:ascii="Times New Roman" w:hAnsi="Times New Roman"/>
                <w:sz w:val="24"/>
                <w:szCs w:val="24"/>
              </w:rPr>
              <w:t>Vyriausybės</w:t>
            </w:r>
            <w:r w:rsidR="00201E5E" w:rsidRPr="00B9748C">
              <w:rPr>
                <w:rFonts w:ascii="Times New Roman" w:hAnsi="Times New Roman"/>
                <w:sz w:val="24"/>
                <w:szCs w:val="24"/>
              </w:rPr>
              <w:t xml:space="preserve"> nutarime</w:t>
            </w:r>
            <w:r w:rsidR="00681254">
              <w:rPr>
                <w:rFonts w:ascii="Times New Roman" w:hAnsi="Times New Roman"/>
                <w:sz w:val="24"/>
                <w:szCs w:val="24"/>
              </w:rPr>
              <w:t xml:space="preserve"> ir juo tvirtinamoje </w:t>
            </w:r>
            <w:r w:rsidR="00E538FC">
              <w:rPr>
                <w:rFonts w:ascii="Times New Roman" w:hAnsi="Times New Roman"/>
                <w:sz w:val="24"/>
                <w:szCs w:val="24"/>
              </w:rPr>
              <w:t>Ūkio subjektų administracinės naštos ir prisitaikymo prie reguliavimo išlaidų vertinimo metodikoje</w:t>
            </w:r>
            <w:r w:rsidR="00201E5E" w:rsidRPr="00B9748C">
              <w:rPr>
                <w:rFonts w:ascii="Times New Roman" w:hAnsi="Times New Roman"/>
                <w:sz w:val="24"/>
                <w:szCs w:val="24"/>
              </w:rPr>
              <w:t xml:space="preserve"> </w:t>
            </w:r>
            <w:r w:rsidR="00A2734D">
              <w:rPr>
                <w:rFonts w:ascii="Times New Roman" w:hAnsi="Times New Roman"/>
                <w:sz w:val="24"/>
                <w:szCs w:val="24"/>
              </w:rPr>
              <w:t xml:space="preserve">(toliau </w:t>
            </w:r>
            <w:r w:rsidR="00A2734D" w:rsidRPr="00F37C5F">
              <w:rPr>
                <w:rFonts w:ascii="Times New Roman" w:hAnsi="Times New Roman"/>
                <w:sz w:val="24"/>
                <w:szCs w:val="24"/>
              </w:rPr>
              <w:t>–</w:t>
            </w:r>
            <w:r w:rsidR="002F5F71">
              <w:rPr>
                <w:rFonts w:ascii="Times New Roman" w:hAnsi="Times New Roman"/>
                <w:sz w:val="24"/>
                <w:szCs w:val="24"/>
              </w:rPr>
              <w:t xml:space="preserve"> M</w:t>
            </w:r>
            <w:r w:rsidR="002652D4">
              <w:rPr>
                <w:rFonts w:ascii="Times New Roman" w:hAnsi="Times New Roman"/>
                <w:sz w:val="24"/>
                <w:szCs w:val="24"/>
              </w:rPr>
              <w:t xml:space="preserve">etodika) </w:t>
            </w:r>
            <w:r w:rsidR="00201E5E" w:rsidRPr="00B9748C">
              <w:rPr>
                <w:rFonts w:ascii="Times New Roman" w:hAnsi="Times New Roman"/>
                <w:sz w:val="24"/>
                <w:szCs w:val="24"/>
              </w:rPr>
              <w:t>nustatyti išimtis</w:t>
            </w:r>
            <w:r w:rsidR="00F12D70">
              <w:rPr>
                <w:rFonts w:ascii="Times New Roman" w:hAnsi="Times New Roman"/>
                <w:sz w:val="24"/>
                <w:szCs w:val="24"/>
              </w:rPr>
              <w:t xml:space="preserve">, kurios leistų nevertinti mažareikšmio </w:t>
            </w:r>
            <w:r w:rsidR="00402B8B">
              <w:rPr>
                <w:rFonts w:ascii="Times New Roman" w:hAnsi="Times New Roman"/>
                <w:sz w:val="24"/>
                <w:szCs w:val="24"/>
              </w:rPr>
              <w:t xml:space="preserve">administracinės naštos ir </w:t>
            </w:r>
            <w:r w:rsidR="00F12D70">
              <w:rPr>
                <w:rFonts w:ascii="Times New Roman" w:hAnsi="Times New Roman"/>
                <w:sz w:val="24"/>
                <w:szCs w:val="24"/>
              </w:rPr>
              <w:t>prisitaikymo prie reguliavimo išlaidų pokyčio</w:t>
            </w:r>
            <w:r w:rsidR="00201E5E" w:rsidRPr="00B9748C">
              <w:rPr>
                <w:rFonts w:ascii="Times New Roman" w:hAnsi="Times New Roman"/>
                <w:sz w:val="24"/>
                <w:szCs w:val="24"/>
              </w:rPr>
              <w:t xml:space="preserve">. Siekėme </w:t>
            </w:r>
            <w:r w:rsidR="00F12D70">
              <w:rPr>
                <w:rFonts w:ascii="Times New Roman" w:hAnsi="Times New Roman"/>
                <w:sz w:val="24"/>
                <w:szCs w:val="24"/>
              </w:rPr>
              <w:t>nustatyti</w:t>
            </w:r>
            <w:r w:rsidR="00F12D70" w:rsidRPr="00B9748C">
              <w:rPr>
                <w:rFonts w:ascii="Times New Roman" w:hAnsi="Times New Roman"/>
                <w:sz w:val="24"/>
                <w:szCs w:val="24"/>
              </w:rPr>
              <w:t xml:space="preserve"> </w:t>
            </w:r>
            <w:r w:rsidR="00201E5E" w:rsidRPr="00B9748C">
              <w:rPr>
                <w:rFonts w:ascii="Times New Roman" w:hAnsi="Times New Roman"/>
                <w:sz w:val="24"/>
                <w:szCs w:val="24"/>
              </w:rPr>
              <w:t xml:space="preserve">tokias išimtis, kurias būtų galima taikyti dar neatlikus pačių skaičiavimų, t. y. nereikėtų vertinti </w:t>
            </w:r>
            <w:r w:rsidR="009247CB">
              <w:rPr>
                <w:rFonts w:ascii="Times New Roman" w:hAnsi="Times New Roman"/>
                <w:sz w:val="24"/>
                <w:szCs w:val="24"/>
              </w:rPr>
              <w:t xml:space="preserve">pinigine išraiška </w:t>
            </w:r>
            <w:r w:rsidR="00201E5E" w:rsidRPr="00B9748C">
              <w:rPr>
                <w:rFonts w:ascii="Times New Roman" w:hAnsi="Times New Roman"/>
                <w:sz w:val="24"/>
                <w:szCs w:val="24"/>
              </w:rPr>
              <w:t>prieš sužinant, kad vertinti nereikėjo. Reikia paminėti, kad stebint administracinės naštos vertinimą ir jo rezultatus, nemažą dalį ataskaitų sudaro mažareikšmio pokyčio vertinimas</w:t>
            </w:r>
            <w:r w:rsidR="00A2734D">
              <w:rPr>
                <w:rFonts w:ascii="Times New Roman" w:hAnsi="Times New Roman"/>
                <w:sz w:val="24"/>
                <w:szCs w:val="24"/>
              </w:rPr>
              <w:t>.</w:t>
            </w:r>
            <w:r w:rsidR="00201E5E" w:rsidRPr="00B9748C">
              <w:rPr>
                <w:rFonts w:ascii="Times New Roman" w:hAnsi="Times New Roman"/>
                <w:sz w:val="24"/>
                <w:szCs w:val="24"/>
              </w:rPr>
              <w:t xml:space="preserve"> </w:t>
            </w:r>
            <w:r w:rsidR="00514B5C" w:rsidRPr="00514B5C">
              <w:rPr>
                <w:rFonts w:ascii="Times New Roman" w:hAnsi="Times New Roman"/>
                <w:sz w:val="24"/>
                <w:szCs w:val="24"/>
              </w:rPr>
              <w:t xml:space="preserve">Pagal </w:t>
            </w:r>
            <w:r w:rsidR="002F5F71">
              <w:rPr>
                <w:rFonts w:ascii="Times New Roman" w:hAnsi="Times New Roman"/>
                <w:sz w:val="24"/>
                <w:szCs w:val="24"/>
              </w:rPr>
              <w:t>M</w:t>
            </w:r>
            <w:r w:rsidR="00514B5C" w:rsidRPr="00514B5C">
              <w:rPr>
                <w:rFonts w:ascii="Times New Roman" w:hAnsi="Times New Roman"/>
                <w:sz w:val="24"/>
                <w:szCs w:val="24"/>
              </w:rPr>
              <w:t xml:space="preserve">etodikos 5 punkte nustatytą administracinės naštos ūkio subjektams vertinimo išimtį bendra informacinio įpareigojimo sukeliama administracinė našta ūkio subjektams būtų apie 525 euro. Pagal 2020 m. administracinės naštos mažinimo stebėsenos ataskaitos rezultatus, 39 teisės aktais buvo sumažinta arba padidinta administracinė našta iki tokio dydžio. Įvertinus Ekonomikos ir inovacijų ministerijai pateiktas institucijų dėl teisės aktų projektų parengtas Administracinės naštos ūkio subjektams apskaičiavimo ataskaitas per paskutinius 3 metus, gautas vidurkis 148 ataskaitos (2020 m. - 128 vnt.; 2019 m. - 143 vnt. 2018 m. - 172 vnt.), taigi 39 atvejais pagal siūlomą išimtį būtų galima atsisakyti ir neatlikti </w:t>
            </w:r>
            <w:r w:rsidR="00967B24">
              <w:rPr>
                <w:rFonts w:ascii="Times New Roman" w:hAnsi="Times New Roman"/>
                <w:sz w:val="24"/>
                <w:szCs w:val="24"/>
              </w:rPr>
              <w:t xml:space="preserve">kiekybinio </w:t>
            </w:r>
            <w:r w:rsidR="00514B5C" w:rsidRPr="00514B5C">
              <w:rPr>
                <w:rFonts w:ascii="Times New Roman" w:hAnsi="Times New Roman"/>
                <w:sz w:val="24"/>
                <w:szCs w:val="24"/>
              </w:rPr>
              <w:t>administracinės naštos vertinimo</w:t>
            </w:r>
            <w:r w:rsidR="00201E5E" w:rsidRPr="00B9748C">
              <w:rPr>
                <w:rFonts w:ascii="Times New Roman" w:hAnsi="Times New Roman"/>
                <w:sz w:val="24"/>
                <w:szCs w:val="24"/>
              </w:rPr>
              <w:t>, taip sutaupant projektų rengėjų laiką ir sudarant galimybes jį skirti reikšmingesnio prisitaikymo prie reguliavimo išlaidų pokyčio vertinimui.</w:t>
            </w:r>
          </w:p>
          <w:p w14:paraId="575E98DE" w14:textId="5237CD4D" w:rsidR="00394909" w:rsidRPr="00B9748C" w:rsidRDefault="00916B90" w:rsidP="00442D6A">
            <w:pPr>
              <w:spacing w:line="240" w:lineRule="auto"/>
              <w:jc w:val="both"/>
              <w:rPr>
                <w:rFonts w:ascii="Times New Roman" w:hAnsi="Times New Roman"/>
                <w:sz w:val="24"/>
                <w:szCs w:val="24"/>
              </w:rPr>
            </w:pPr>
            <w:r>
              <w:rPr>
                <w:rFonts w:ascii="Times New Roman" w:hAnsi="Times New Roman"/>
                <w:sz w:val="24"/>
                <w:szCs w:val="24"/>
              </w:rPr>
              <w:lastRenderedPageBreak/>
              <w:t xml:space="preserve">Taip pat pažymėtina, kad Ekonomikos ir inovacijų ministerija įvertino </w:t>
            </w:r>
            <w:r w:rsidR="006263AB" w:rsidRPr="006263AB">
              <w:rPr>
                <w:rFonts w:ascii="Times New Roman" w:hAnsi="Times New Roman"/>
                <w:sz w:val="24"/>
                <w:szCs w:val="24"/>
              </w:rPr>
              <w:t>valstybės institucijų ir įstaigų darbuotojams</w:t>
            </w:r>
            <w:r w:rsidR="002F301A">
              <w:rPr>
                <w:rFonts w:ascii="Times New Roman" w:hAnsi="Times New Roman"/>
                <w:sz w:val="24"/>
                <w:szCs w:val="24"/>
              </w:rPr>
              <w:t xml:space="preserve"> Nutarimo projektu sukeliamą administracin</w:t>
            </w:r>
            <w:r w:rsidR="00CB3439">
              <w:rPr>
                <w:rFonts w:ascii="Times New Roman" w:hAnsi="Times New Roman"/>
                <w:sz w:val="24"/>
                <w:szCs w:val="24"/>
              </w:rPr>
              <w:t>ės</w:t>
            </w:r>
            <w:r w:rsidR="002F301A">
              <w:rPr>
                <w:rFonts w:ascii="Times New Roman" w:hAnsi="Times New Roman"/>
                <w:sz w:val="24"/>
                <w:szCs w:val="24"/>
              </w:rPr>
              <w:t xml:space="preserve"> našt</w:t>
            </w:r>
            <w:r w:rsidR="00CB3439">
              <w:rPr>
                <w:rFonts w:ascii="Times New Roman" w:hAnsi="Times New Roman"/>
                <w:sz w:val="24"/>
                <w:szCs w:val="24"/>
              </w:rPr>
              <w:t xml:space="preserve">os pokytį, kuris yra </w:t>
            </w:r>
            <w:r w:rsidR="00BA07FD">
              <w:rPr>
                <w:rFonts w:ascii="Times New Roman" w:hAnsi="Times New Roman"/>
                <w:sz w:val="24"/>
                <w:szCs w:val="24"/>
              </w:rPr>
              <w:t xml:space="preserve">lygus </w:t>
            </w:r>
            <w:r w:rsidR="00CB3439" w:rsidRPr="00CB3439">
              <w:rPr>
                <w:rFonts w:ascii="Times New Roman" w:hAnsi="Times New Roman"/>
                <w:sz w:val="24"/>
                <w:szCs w:val="24"/>
              </w:rPr>
              <w:t>50 200,70 eurų padidėjim</w:t>
            </w:r>
            <w:r w:rsidR="00BA07FD">
              <w:rPr>
                <w:rFonts w:ascii="Times New Roman" w:hAnsi="Times New Roman"/>
                <w:sz w:val="24"/>
                <w:szCs w:val="24"/>
              </w:rPr>
              <w:t>ui</w:t>
            </w:r>
            <w:r w:rsidR="00CB3439">
              <w:rPr>
                <w:rFonts w:ascii="Times New Roman" w:hAnsi="Times New Roman"/>
                <w:sz w:val="24"/>
                <w:szCs w:val="24"/>
              </w:rPr>
              <w:t>. Atsižvelgiant į tai</w:t>
            </w:r>
            <w:r w:rsidR="004532B3">
              <w:rPr>
                <w:rFonts w:ascii="Times New Roman" w:hAnsi="Times New Roman"/>
                <w:sz w:val="24"/>
                <w:szCs w:val="24"/>
              </w:rPr>
              <w:t>, kad šiuo metu nėra metodikos valstybės institucijų ir įstaigų administracinei naštai vertinti</w:t>
            </w:r>
            <w:r w:rsidR="006263AB" w:rsidRPr="006263AB">
              <w:rPr>
                <w:rFonts w:ascii="Times New Roman" w:hAnsi="Times New Roman"/>
                <w:sz w:val="24"/>
                <w:szCs w:val="24"/>
              </w:rPr>
              <w:t>,</w:t>
            </w:r>
            <w:r w:rsidR="004532B3">
              <w:rPr>
                <w:rFonts w:ascii="Times New Roman" w:hAnsi="Times New Roman"/>
                <w:sz w:val="24"/>
                <w:szCs w:val="24"/>
              </w:rPr>
              <w:t xml:space="preserve"> skaičiavimai buvo atlikti </w:t>
            </w:r>
            <w:r w:rsidR="006263AB" w:rsidRPr="006263AB">
              <w:rPr>
                <w:rFonts w:ascii="Times New Roman" w:hAnsi="Times New Roman"/>
                <w:sz w:val="24"/>
                <w:szCs w:val="24"/>
              </w:rPr>
              <w:t xml:space="preserve">pagal Administracinės naštos </w:t>
            </w:r>
            <w:r w:rsidR="004532B3">
              <w:rPr>
                <w:rFonts w:ascii="Times New Roman" w:hAnsi="Times New Roman"/>
                <w:sz w:val="24"/>
                <w:szCs w:val="24"/>
              </w:rPr>
              <w:t xml:space="preserve">ūkio subjektams nustatymo </w:t>
            </w:r>
            <w:r w:rsidR="006263AB" w:rsidRPr="006263AB">
              <w:rPr>
                <w:rFonts w:ascii="Times New Roman" w:hAnsi="Times New Roman"/>
                <w:sz w:val="24"/>
                <w:szCs w:val="24"/>
              </w:rPr>
              <w:t xml:space="preserve">metodiką, pagal kurią yra vertinama ūkio subjektams tenkanti administracinė našta. </w:t>
            </w:r>
          </w:p>
          <w:p w14:paraId="3B2B4CEA" w14:textId="77ABC6BF" w:rsidR="00201E5E" w:rsidRPr="00B9748C" w:rsidRDefault="00201E5E" w:rsidP="00442D6A">
            <w:pPr>
              <w:spacing w:line="240" w:lineRule="auto"/>
              <w:jc w:val="both"/>
              <w:rPr>
                <w:rFonts w:ascii="Times New Roman" w:hAnsi="Times New Roman"/>
                <w:sz w:val="24"/>
                <w:szCs w:val="24"/>
              </w:rPr>
            </w:pPr>
            <w:r w:rsidRPr="00B9748C">
              <w:rPr>
                <w:rFonts w:ascii="Times New Roman" w:hAnsi="Times New Roman"/>
                <w:sz w:val="24"/>
                <w:szCs w:val="24"/>
              </w:rPr>
              <w:t xml:space="preserve">Taip pat norime paminėti, kad </w:t>
            </w:r>
            <w:r w:rsidR="00B83741">
              <w:rPr>
                <w:rFonts w:ascii="Times New Roman" w:hAnsi="Times New Roman"/>
                <w:sz w:val="24"/>
                <w:szCs w:val="24"/>
              </w:rPr>
              <w:t>2022</w:t>
            </w:r>
            <w:r w:rsidR="006E7859">
              <w:rPr>
                <w:rFonts w:ascii="Times New Roman" w:hAnsi="Times New Roman"/>
                <w:sz w:val="24"/>
                <w:szCs w:val="24"/>
              </w:rPr>
              <w:t xml:space="preserve"> m.</w:t>
            </w:r>
            <w:r w:rsidRPr="00B9748C">
              <w:rPr>
                <w:rFonts w:ascii="Times New Roman" w:hAnsi="Times New Roman"/>
                <w:sz w:val="24"/>
                <w:szCs w:val="24"/>
              </w:rPr>
              <w:t xml:space="preserve"> </w:t>
            </w:r>
            <w:r w:rsidR="00B83741">
              <w:rPr>
                <w:rFonts w:ascii="Times New Roman" w:hAnsi="Times New Roman"/>
                <w:sz w:val="24"/>
                <w:szCs w:val="24"/>
              </w:rPr>
              <w:t>pradžioje</w:t>
            </w:r>
            <w:r w:rsidR="00C90C5B" w:rsidRPr="00B9748C">
              <w:rPr>
                <w:rFonts w:ascii="Times New Roman" w:hAnsi="Times New Roman"/>
                <w:sz w:val="24"/>
                <w:szCs w:val="24"/>
              </w:rPr>
              <w:t xml:space="preserve"> </w:t>
            </w:r>
            <w:r w:rsidRPr="00B9748C">
              <w:rPr>
                <w:rFonts w:ascii="Times New Roman" w:hAnsi="Times New Roman"/>
                <w:sz w:val="24"/>
                <w:szCs w:val="24"/>
              </w:rPr>
              <w:t>planuojama daryti išsamius praktinius mokymus, kurių metu valstybės institucijų ir savivaldybių darbuotojai geriau susipažintų su Metodikos reikalavimais ir prisitaikymo prie reguliavimo išlaidų skaičiavimo ypatumais.</w:t>
            </w:r>
          </w:p>
        </w:tc>
      </w:tr>
      <w:tr w:rsidR="001F493E" w:rsidRPr="0009474E" w14:paraId="4BBCC7A6" w14:textId="77777777" w:rsidTr="00A1568F">
        <w:trPr>
          <w:trHeight w:val="2106"/>
        </w:trPr>
        <w:tc>
          <w:tcPr>
            <w:tcW w:w="182" w:type="pct"/>
            <w:vMerge/>
            <w:tcBorders>
              <w:left w:val="single" w:sz="4" w:space="0" w:color="auto"/>
              <w:right w:val="single" w:sz="4" w:space="0" w:color="auto"/>
            </w:tcBorders>
            <w:shd w:val="clear" w:color="auto" w:fill="FFFFFF" w:themeFill="background1"/>
          </w:tcPr>
          <w:p w14:paraId="68C7132C" w14:textId="77777777" w:rsidR="001F493E" w:rsidRDefault="001F493E" w:rsidP="00442D6A">
            <w:pPr>
              <w:pStyle w:val="Sraopastraipa"/>
              <w:numPr>
                <w:ilvl w:val="0"/>
                <w:numId w:val="6"/>
              </w:numPr>
              <w:tabs>
                <w:tab w:val="left" w:pos="360"/>
              </w:tabs>
              <w:autoSpaceDE w:val="0"/>
              <w:autoSpaceDN w:val="0"/>
              <w:adjustRightInd w:val="0"/>
              <w:spacing w:after="0"/>
              <w:ind w:left="0"/>
              <w:rPr>
                <w:rFonts w:ascii="Times New Roman" w:hAnsi="Times New Roman"/>
                <w:color w:val="000000"/>
                <w:sz w:val="24"/>
                <w:szCs w:val="24"/>
              </w:rPr>
            </w:pPr>
          </w:p>
        </w:tc>
        <w:tc>
          <w:tcPr>
            <w:tcW w:w="628" w:type="pct"/>
            <w:vMerge/>
            <w:tcBorders>
              <w:left w:val="single" w:sz="4" w:space="0" w:color="auto"/>
              <w:right w:val="single" w:sz="4" w:space="0" w:color="auto"/>
            </w:tcBorders>
            <w:shd w:val="clear" w:color="auto" w:fill="FFFFFF" w:themeFill="background1"/>
          </w:tcPr>
          <w:p w14:paraId="383761AA" w14:textId="77777777" w:rsidR="001F493E" w:rsidRDefault="001F493E" w:rsidP="00442D6A">
            <w:pPr>
              <w:autoSpaceDE w:val="0"/>
              <w:autoSpaceDN w:val="0"/>
              <w:adjustRightInd w:val="0"/>
              <w:spacing w:after="0" w:line="240" w:lineRule="auto"/>
              <w:rPr>
                <w:rFonts w:ascii="Times New Roman" w:hAnsi="Times New Roman"/>
                <w:color w:val="000000"/>
                <w:sz w:val="24"/>
                <w:szCs w:val="24"/>
              </w:rPr>
            </w:pPr>
          </w:p>
        </w:tc>
        <w:tc>
          <w:tcPr>
            <w:tcW w:w="2054" w:type="pct"/>
            <w:tcBorders>
              <w:top w:val="single" w:sz="4" w:space="0" w:color="auto"/>
              <w:left w:val="single" w:sz="4" w:space="0" w:color="auto"/>
              <w:bottom w:val="single" w:sz="4" w:space="0" w:color="auto"/>
              <w:right w:val="single" w:sz="4" w:space="0" w:color="auto"/>
            </w:tcBorders>
            <w:shd w:val="clear" w:color="auto" w:fill="FFFFFF" w:themeFill="background1"/>
          </w:tcPr>
          <w:p w14:paraId="3FAA9910" w14:textId="7FC0AA9F" w:rsidR="00D7135B" w:rsidRPr="00406BB9" w:rsidRDefault="0077059C" w:rsidP="00AB315C">
            <w:pPr>
              <w:pStyle w:val="Sraopastraipa"/>
              <w:tabs>
                <w:tab w:val="left" w:pos="325"/>
                <w:tab w:val="left" w:pos="360"/>
              </w:tabs>
              <w:spacing w:after="0" w:line="240" w:lineRule="auto"/>
              <w:ind w:left="33"/>
              <w:jc w:val="both"/>
              <w:rPr>
                <w:rFonts w:ascii="Times New Roman" w:hAnsi="Times New Roman"/>
                <w:sz w:val="24"/>
                <w:szCs w:val="20"/>
              </w:rPr>
            </w:pPr>
            <w:r>
              <w:rPr>
                <w:rFonts w:ascii="Times New Roman" w:hAnsi="Times New Roman"/>
                <w:sz w:val="24"/>
                <w:szCs w:val="20"/>
                <w:lang w:val="en-US"/>
              </w:rPr>
              <w:t>2.</w:t>
            </w:r>
            <w:r w:rsidR="00B83741">
              <w:rPr>
                <w:rFonts w:ascii="Times New Roman" w:hAnsi="Times New Roman"/>
                <w:sz w:val="24"/>
                <w:szCs w:val="20"/>
                <w:lang w:val="en-US"/>
              </w:rPr>
              <w:t xml:space="preserve"> </w:t>
            </w:r>
            <w:r w:rsidR="001F493E" w:rsidRPr="003344B5">
              <w:rPr>
                <w:rFonts w:ascii="Times New Roman" w:hAnsi="Times New Roman"/>
                <w:sz w:val="24"/>
                <w:szCs w:val="20"/>
              </w:rPr>
              <w:t>Siūlome nustatyti naują Metodikos taikymo išimtį, kuri būtų taikoma tais atvejais, kai teisės akto projektu siūlomi nustatyti nauji, naikinami ir (arba) keičiami galiojantys įpareigojimai kyla iš ES teisės aktų privalomo perkėlimo į nacionalinę teisę, nes institucijos negali daryti įtakos tokio naujo reguliavimo apimčiai ar turiniui, o kaštų ir naudos analizė būna atlikta ES mastu prieš priimant minėtus ES teisės aktus.</w:t>
            </w:r>
          </w:p>
        </w:tc>
        <w:tc>
          <w:tcPr>
            <w:tcW w:w="2136" w:type="pct"/>
            <w:tcBorders>
              <w:top w:val="single" w:sz="4" w:space="0" w:color="auto"/>
              <w:left w:val="single" w:sz="4" w:space="0" w:color="auto"/>
              <w:bottom w:val="single" w:sz="4" w:space="0" w:color="auto"/>
              <w:right w:val="single" w:sz="4" w:space="0" w:color="auto"/>
            </w:tcBorders>
            <w:shd w:val="clear" w:color="auto" w:fill="FFFFFF" w:themeFill="background1"/>
          </w:tcPr>
          <w:p w14:paraId="217C874B" w14:textId="77777777" w:rsidR="008B4D64" w:rsidRDefault="002E335B" w:rsidP="00442D6A">
            <w:pPr>
              <w:spacing w:after="0" w:line="240" w:lineRule="auto"/>
              <w:jc w:val="both"/>
              <w:rPr>
                <w:rFonts w:ascii="Times New Roman" w:hAnsi="Times New Roman"/>
                <w:b/>
                <w:bCs/>
                <w:sz w:val="24"/>
                <w:szCs w:val="24"/>
              </w:rPr>
            </w:pPr>
            <w:r>
              <w:rPr>
                <w:rFonts w:ascii="Times New Roman" w:hAnsi="Times New Roman"/>
                <w:b/>
                <w:bCs/>
                <w:sz w:val="24"/>
                <w:szCs w:val="24"/>
              </w:rPr>
              <w:t xml:space="preserve">Neatsižvelgta. </w:t>
            </w:r>
          </w:p>
          <w:p w14:paraId="0EBEE0A5" w14:textId="7A9AD8CF" w:rsidR="001F493E" w:rsidRPr="008B4D64" w:rsidRDefault="002E335B" w:rsidP="00442D6A">
            <w:pPr>
              <w:spacing w:after="0" w:line="240" w:lineRule="auto"/>
              <w:jc w:val="both"/>
              <w:rPr>
                <w:rFonts w:ascii="Times New Roman" w:hAnsi="Times New Roman"/>
                <w:b/>
                <w:bCs/>
                <w:sz w:val="24"/>
                <w:szCs w:val="24"/>
              </w:rPr>
            </w:pPr>
            <w:r w:rsidRPr="008B4D64">
              <w:rPr>
                <w:rFonts w:ascii="Times New Roman" w:hAnsi="Times New Roman"/>
                <w:sz w:val="24"/>
                <w:szCs w:val="24"/>
              </w:rPr>
              <w:t>Žr.</w:t>
            </w:r>
            <w:r w:rsidR="008B4D64" w:rsidRPr="008B4D64">
              <w:rPr>
                <w:rFonts w:ascii="Times New Roman" w:hAnsi="Times New Roman"/>
                <w:sz w:val="24"/>
                <w:szCs w:val="24"/>
              </w:rPr>
              <w:t xml:space="preserve"> argumentus, nurodytus prie Aplinkos apsaugos agentūros </w:t>
            </w:r>
            <w:r w:rsidR="008B4D64" w:rsidRPr="008B4D64">
              <w:rPr>
                <w:rFonts w:ascii="Times New Roman" w:hAnsi="Times New Roman"/>
                <w:sz w:val="24"/>
                <w:szCs w:val="24"/>
                <w:lang w:val="en-US"/>
              </w:rPr>
              <w:t>1</w:t>
            </w:r>
            <w:r w:rsidR="008B4D64" w:rsidRPr="008B4D64">
              <w:rPr>
                <w:rFonts w:ascii="Times New Roman" w:hAnsi="Times New Roman"/>
                <w:sz w:val="24"/>
                <w:szCs w:val="24"/>
              </w:rPr>
              <w:t xml:space="preserve"> pastabos.</w:t>
            </w:r>
            <w:r w:rsidR="008B4D64">
              <w:rPr>
                <w:rFonts w:ascii="Times New Roman" w:hAnsi="Times New Roman"/>
                <w:b/>
                <w:bCs/>
                <w:sz w:val="24"/>
                <w:szCs w:val="24"/>
              </w:rPr>
              <w:t xml:space="preserve"> </w:t>
            </w:r>
          </w:p>
        </w:tc>
      </w:tr>
      <w:tr w:rsidR="00000EC2" w:rsidRPr="0009474E" w14:paraId="17847834" w14:textId="77777777" w:rsidTr="00A1568F">
        <w:trPr>
          <w:trHeight w:val="397"/>
        </w:trPr>
        <w:tc>
          <w:tcPr>
            <w:tcW w:w="182" w:type="pct"/>
            <w:vMerge w:val="restart"/>
            <w:tcBorders>
              <w:left w:val="single" w:sz="4" w:space="0" w:color="auto"/>
              <w:right w:val="single" w:sz="4" w:space="0" w:color="auto"/>
            </w:tcBorders>
            <w:shd w:val="clear" w:color="auto" w:fill="auto"/>
          </w:tcPr>
          <w:p w14:paraId="734F23BE" w14:textId="5EE9AC1B" w:rsidR="00000EC2" w:rsidRDefault="00E2158F" w:rsidP="00442D6A">
            <w:pPr>
              <w:pStyle w:val="Sraopastraipa"/>
              <w:numPr>
                <w:ilvl w:val="0"/>
                <w:numId w:val="6"/>
              </w:numPr>
              <w:tabs>
                <w:tab w:val="left" w:pos="360"/>
              </w:tabs>
              <w:autoSpaceDE w:val="0"/>
              <w:autoSpaceDN w:val="0"/>
              <w:adjustRightInd w:val="0"/>
              <w:spacing w:after="0"/>
              <w:ind w:left="0"/>
              <w:rPr>
                <w:rFonts w:ascii="Times New Roman" w:hAnsi="Times New Roman"/>
                <w:color w:val="000000"/>
                <w:sz w:val="24"/>
                <w:szCs w:val="24"/>
              </w:rPr>
            </w:pPr>
            <w:r>
              <w:rPr>
                <w:rFonts w:ascii="Times New Roman" w:hAnsi="Times New Roman"/>
                <w:color w:val="000000"/>
                <w:sz w:val="24"/>
                <w:szCs w:val="24"/>
                <w:lang w:val="en-US"/>
              </w:rPr>
              <w:t>3</w:t>
            </w:r>
            <w:r w:rsidR="001C3F0F">
              <w:rPr>
                <w:rFonts w:ascii="Times New Roman" w:hAnsi="Times New Roman"/>
                <w:color w:val="000000"/>
                <w:sz w:val="24"/>
                <w:szCs w:val="24"/>
                <w:lang w:val="en-US"/>
              </w:rPr>
              <w:t>.</w:t>
            </w:r>
          </w:p>
        </w:tc>
        <w:tc>
          <w:tcPr>
            <w:tcW w:w="628" w:type="pct"/>
            <w:vMerge w:val="restart"/>
            <w:tcBorders>
              <w:left w:val="single" w:sz="4" w:space="0" w:color="auto"/>
              <w:right w:val="single" w:sz="4" w:space="0" w:color="auto"/>
            </w:tcBorders>
            <w:shd w:val="clear" w:color="auto" w:fill="auto"/>
          </w:tcPr>
          <w:p w14:paraId="740FEF6C" w14:textId="77777777" w:rsidR="00000EC2" w:rsidRDefault="00000EC2" w:rsidP="00442D6A">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Lietuvos Respublikos ryšių reguliavimo tarnybos 2021 m. birželio </w:t>
            </w:r>
            <w:r w:rsidR="00FD2333">
              <w:rPr>
                <w:rFonts w:ascii="Times New Roman" w:hAnsi="Times New Roman"/>
                <w:color w:val="000000"/>
                <w:sz w:val="24"/>
                <w:szCs w:val="24"/>
              </w:rPr>
              <w:t>4</w:t>
            </w:r>
            <w:r>
              <w:rPr>
                <w:rFonts w:ascii="Times New Roman" w:hAnsi="Times New Roman"/>
                <w:color w:val="000000"/>
                <w:sz w:val="24"/>
                <w:szCs w:val="24"/>
              </w:rPr>
              <w:t xml:space="preserve"> d. raštas Nr.</w:t>
            </w:r>
            <w:r w:rsidR="00FD2333">
              <w:t xml:space="preserve"> </w:t>
            </w:r>
            <w:r w:rsidR="00FD2333" w:rsidRPr="00FD2333">
              <w:rPr>
                <w:rFonts w:ascii="Times New Roman" w:hAnsi="Times New Roman"/>
                <w:color w:val="000000"/>
                <w:sz w:val="24"/>
                <w:szCs w:val="24"/>
              </w:rPr>
              <w:t>(37.2Mr)1B-1857</w:t>
            </w:r>
          </w:p>
          <w:p w14:paraId="7F091009" w14:textId="77777777" w:rsidR="00FD2333" w:rsidRDefault="00FD2333" w:rsidP="00442D6A">
            <w:pPr>
              <w:autoSpaceDE w:val="0"/>
              <w:autoSpaceDN w:val="0"/>
              <w:adjustRightInd w:val="0"/>
              <w:spacing w:after="0" w:line="240" w:lineRule="auto"/>
              <w:rPr>
                <w:rFonts w:ascii="Times New Roman" w:hAnsi="Times New Roman"/>
                <w:color w:val="000000"/>
                <w:sz w:val="24"/>
                <w:szCs w:val="24"/>
              </w:rPr>
            </w:pPr>
          </w:p>
          <w:p w14:paraId="3E1B2D27" w14:textId="082DEE55" w:rsidR="00FD2333" w:rsidRDefault="00FD2333" w:rsidP="00442D6A">
            <w:pPr>
              <w:autoSpaceDE w:val="0"/>
              <w:autoSpaceDN w:val="0"/>
              <w:adjustRightInd w:val="0"/>
              <w:spacing w:after="0" w:line="240" w:lineRule="auto"/>
              <w:rPr>
                <w:rFonts w:ascii="Times New Roman" w:hAnsi="Times New Roman"/>
                <w:color w:val="000000"/>
                <w:sz w:val="24"/>
                <w:szCs w:val="24"/>
              </w:rPr>
            </w:pPr>
          </w:p>
        </w:tc>
        <w:tc>
          <w:tcPr>
            <w:tcW w:w="2054" w:type="pct"/>
            <w:tcBorders>
              <w:top w:val="single" w:sz="4" w:space="0" w:color="auto"/>
              <w:left w:val="single" w:sz="4" w:space="0" w:color="auto"/>
              <w:bottom w:val="single" w:sz="4" w:space="0" w:color="auto"/>
              <w:right w:val="single" w:sz="4" w:space="0" w:color="auto"/>
            </w:tcBorders>
            <w:shd w:val="clear" w:color="auto" w:fill="auto"/>
          </w:tcPr>
          <w:p w14:paraId="4A5F8A1E" w14:textId="77777777" w:rsidR="00B4477B" w:rsidRPr="00B4477B" w:rsidRDefault="00B4477B" w:rsidP="00442D6A">
            <w:pPr>
              <w:pStyle w:val="AssecoParagraphNormalFirstLine"/>
              <w:tabs>
                <w:tab w:val="left" w:pos="325"/>
              </w:tabs>
              <w:ind w:left="41" w:firstLine="0"/>
              <w:rPr>
                <w:rFonts w:ascii="Times New Roman" w:hAnsi="Times New Roman"/>
                <w:sz w:val="24"/>
                <w:szCs w:val="24"/>
              </w:rPr>
            </w:pPr>
            <w:r w:rsidRPr="00B4477B">
              <w:rPr>
                <w:rFonts w:ascii="Times New Roman" w:hAnsi="Times New Roman"/>
                <w:sz w:val="24"/>
                <w:szCs w:val="24"/>
              </w:rPr>
              <w:t xml:space="preserve">1. Nutarimo projekto 3.1 ir 3.2 papunkčiuose siūloma įtvirtinti administracinės naštos ar prisitaikymo prie reguliavimo išlaidų (toliau – prisitaikymo išlaidos) ūkio subjektams mažinimo tikslus – bendras administracinės naštos ar prisitaikymo išlaidų, kurias sukelia ūkio subjektams institucijos kompetencijos srityje inicijuotas teisinis reguliavimas, lygis per kalendorinius metus turi išlikti nepakitęs arba mažėti </w:t>
            </w:r>
            <w:proofErr w:type="gramStart"/>
            <w:r w:rsidRPr="00B4477B">
              <w:rPr>
                <w:rFonts w:ascii="Times New Roman" w:hAnsi="Times New Roman"/>
                <w:sz w:val="24"/>
                <w:szCs w:val="24"/>
              </w:rPr>
              <w:t>(</w:t>
            </w:r>
            <w:proofErr w:type="gramEnd"/>
            <w:r w:rsidRPr="00B4477B">
              <w:rPr>
                <w:rFonts w:ascii="Times New Roman" w:hAnsi="Times New Roman"/>
                <w:sz w:val="24"/>
                <w:szCs w:val="24"/>
              </w:rPr>
              <w:t>„</w:t>
            </w:r>
            <w:proofErr w:type="spellStart"/>
            <w:r w:rsidRPr="00B4477B">
              <w:rPr>
                <w:rFonts w:ascii="Times New Roman" w:hAnsi="Times New Roman"/>
                <w:sz w:val="24"/>
                <w:szCs w:val="24"/>
              </w:rPr>
              <w:t>one</w:t>
            </w:r>
            <w:proofErr w:type="spellEnd"/>
            <w:r w:rsidRPr="00B4477B">
              <w:rPr>
                <w:rFonts w:ascii="Times New Roman" w:hAnsi="Times New Roman"/>
                <w:sz w:val="24"/>
                <w:szCs w:val="24"/>
              </w:rPr>
              <w:t xml:space="preserve"> </w:t>
            </w:r>
            <w:proofErr w:type="spellStart"/>
            <w:r w:rsidRPr="00B4477B">
              <w:rPr>
                <w:rFonts w:ascii="Times New Roman" w:hAnsi="Times New Roman"/>
                <w:sz w:val="24"/>
                <w:szCs w:val="24"/>
              </w:rPr>
              <w:t>in</w:t>
            </w:r>
            <w:proofErr w:type="spellEnd"/>
            <w:r w:rsidRPr="00B4477B">
              <w:rPr>
                <w:rFonts w:ascii="Times New Roman" w:hAnsi="Times New Roman"/>
                <w:sz w:val="24"/>
                <w:szCs w:val="24"/>
              </w:rPr>
              <w:t xml:space="preserve">, </w:t>
            </w:r>
            <w:proofErr w:type="spellStart"/>
            <w:r w:rsidRPr="00B4477B">
              <w:rPr>
                <w:rFonts w:ascii="Times New Roman" w:hAnsi="Times New Roman"/>
                <w:sz w:val="24"/>
                <w:szCs w:val="24"/>
              </w:rPr>
              <w:t>one</w:t>
            </w:r>
            <w:proofErr w:type="spellEnd"/>
            <w:r w:rsidRPr="00B4477B">
              <w:rPr>
                <w:rFonts w:ascii="Times New Roman" w:hAnsi="Times New Roman"/>
                <w:sz w:val="24"/>
                <w:szCs w:val="24"/>
              </w:rPr>
              <w:t xml:space="preserve"> </w:t>
            </w:r>
            <w:proofErr w:type="spellStart"/>
            <w:r w:rsidRPr="00B4477B">
              <w:rPr>
                <w:rFonts w:ascii="Times New Roman" w:hAnsi="Times New Roman"/>
                <w:sz w:val="24"/>
                <w:szCs w:val="24"/>
              </w:rPr>
              <w:t>out</w:t>
            </w:r>
            <w:proofErr w:type="spellEnd"/>
            <w:r w:rsidRPr="00B4477B">
              <w:rPr>
                <w:rFonts w:ascii="Times New Roman" w:hAnsi="Times New Roman"/>
                <w:sz w:val="24"/>
                <w:szCs w:val="24"/>
              </w:rPr>
              <w:t>“ taisyklė).</w:t>
            </w:r>
          </w:p>
          <w:p w14:paraId="4E4271BF" w14:textId="77777777" w:rsidR="00B4477B" w:rsidRPr="00B4477B" w:rsidRDefault="00B4477B" w:rsidP="00442D6A">
            <w:pPr>
              <w:pStyle w:val="AssecoParagraphNormalFirstLine"/>
              <w:tabs>
                <w:tab w:val="left" w:pos="325"/>
              </w:tabs>
              <w:ind w:left="41" w:firstLine="0"/>
              <w:rPr>
                <w:rFonts w:ascii="Times New Roman" w:hAnsi="Times New Roman"/>
                <w:sz w:val="24"/>
                <w:szCs w:val="24"/>
              </w:rPr>
            </w:pPr>
            <w:r w:rsidRPr="00B4477B">
              <w:rPr>
                <w:rFonts w:ascii="Times New Roman" w:hAnsi="Times New Roman"/>
                <w:sz w:val="24"/>
                <w:szCs w:val="24"/>
              </w:rPr>
              <w:t>Tarnybos vertinimu, „</w:t>
            </w:r>
            <w:proofErr w:type="spellStart"/>
            <w:r w:rsidRPr="00B4477B">
              <w:rPr>
                <w:rFonts w:ascii="Times New Roman" w:hAnsi="Times New Roman"/>
                <w:sz w:val="24"/>
                <w:szCs w:val="24"/>
              </w:rPr>
              <w:t>one</w:t>
            </w:r>
            <w:proofErr w:type="spellEnd"/>
            <w:r w:rsidRPr="00B4477B">
              <w:rPr>
                <w:rFonts w:ascii="Times New Roman" w:hAnsi="Times New Roman"/>
                <w:sz w:val="24"/>
                <w:szCs w:val="24"/>
              </w:rPr>
              <w:t xml:space="preserve"> </w:t>
            </w:r>
            <w:proofErr w:type="spellStart"/>
            <w:r w:rsidRPr="00B4477B">
              <w:rPr>
                <w:rFonts w:ascii="Times New Roman" w:hAnsi="Times New Roman"/>
                <w:sz w:val="24"/>
                <w:szCs w:val="24"/>
              </w:rPr>
              <w:t>in</w:t>
            </w:r>
            <w:proofErr w:type="spellEnd"/>
            <w:r w:rsidRPr="00B4477B">
              <w:rPr>
                <w:rFonts w:ascii="Times New Roman" w:hAnsi="Times New Roman"/>
                <w:sz w:val="24"/>
                <w:szCs w:val="24"/>
              </w:rPr>
              <w:t xml:space="preserve">, </w:t>
            </w:r>
            <w:proofErr w:type="spellStart"/>
            <w:r w:rsidRPr="00B4477B">
              <w:rPr>
                <w:rFonts w:ascii="Times New Roman" w:hAnsi="Times New Roman"/>
                <w:sz w:val="24"/>
                <w:szCs w:val="24"/>
              </w:rPr>
              <w:t>one</w:t>
            </w:r>
            <w:proofErr w:type="spellEnd"/>
            <w:r w:rsidRPr="00B4477B">
              <w:rPr>
                <w:rFonts w:ascii="Times New Roman" w:hAnsi="Times New Roman"/>
                <w:sz w:val="24"/>
                <w:szCs w:val="24"/>
              </w:rPr>
              <w:t xml:space="preserve"> </w:t>
            </w:r>
            <w:proofErr w:type="spellStart"/>
            <w:r w:rsidRPr="00B4477B">
              <w:rPr>
                <w:rFonts w:ascii="Times New Roman" w:hAnsi="Times New Roman"/>
                <w:sz w:val="24"/>
                <w:szCs w:val="24"/>
              </w:rPr>
              <w:t>out</w:t>
            </w:r>
            <w:proofErr w:type="spellEnd"/>
            <w:r w:rsidRPr="00B4477B">
              <w:rPr>
                <w:rFonts w:ascii="Times New Roman" w:hAnsi="Times New Roman"/>
                <w:sz w:val="24"/>
                <w:szCs w:val="24"/>
              </w:rPr>
              <w:t>“ taisyklė praktikoje yra sunkiai įgyvendinama. Tai</w:t>
            </w:r>
            <w:proofErr w:type="gramStart"/>
            <w:r w:rsidRPr="00B4477B">
              <w:rPr>
                <w:rFonts w:ascii="Times New Roman" w:hAnsi="Times New Roman"/>
                <w:sz w:val="24"/>
                <w:szCs w:val="24"/>
              </w:rPr>
              <w:t xml:space="preserve">  </w:t>
            </w:r>
            <w:proofErr w:type="gramEnd"/>
            <w:r w:rsidRPr="00B4477B">
              <w:rPr>
                <w:rFonts w:ascii="Times New Roman" w:hAnsi="Times New Roman"/>
                <w:sz w:val="24"/>
                <w:szCs w:val="24"/>
              </w:rPr>
              <w:t xml:space="preserve">patvirtina ir EIM parengta Administracinės naštos mažinimo stebėsenos 2020 m. </w:t>
            </w:r>
            <w:r w:rsidRPr="00B4477B">
              <w:rPr>
                <w:rFonts w:ascii="Times New Roman" w:hAnsi="Times New Roman"/>
                <w:sz w:val="24"/>
                <w:szCs w:val="24"/>
              </w:rPr>
              <w:lastRenderedPageBreak/>
              <w:t>ataskaita, kurioje nurodoma, kad daugiau nei pusė institucijų nesilaiko „</w:t>
            </w:r>
            <w:proofErr w:type="spellStart"/>
            <w:r w:rsidRPr="00B4477B">
              <w:rPr>
                <w:rFonts w:ascii="Times New Roman" w:hAnsi="Times New Roman"/>
                <w:sz w:val="24"/>
                <w:szCs w:val="24"/>
              </w:rPr>
              <w:t>one</w:t>
            </w:r>
            <w:proofErr w:type="spellEnd"/>
            <w:r w:rsidRPr="00B4477B">
              <w:rPr>
                <w:rFonts w:ascii="Times New Roman" w:hAnsi="Times New Roman"/>
                <w:sz w:val="24"/>
                <w:szCs w:val="24"/>
              </w:rPr>
              <w:t xml:space="preserve"> </w:t>
            </w:r>
            <w:proofErr w:type="spellStart"/>
            <w:r w:rsidRPr="00B4477B">
              <w:rPr>
                <w:rFonts w:ascii="Times New Roman" w:hAnsi="Times New Roman"/>
                <w:sz w:val="24"/>
                <w:szCs w:val="24"/>
              </w:rPr>
              <w:t>in</w:t>
            </w:r>
            <w:proofErr w:type="spellEnd"/>
            <w:r w:rsidRPr="00B4477B">
              <w:rPr>
                <w:rFonts w:ascii="Times New Roman" w:hAnsi="Times New Roman"/>
                <w:sz w:val="24"/>
                <w:szCs w:val="24"/>
              </w:rPr>
              <w:t xml:space="preserve">, </w:t>
            </w:r>
            <w:proofErr w:type="spellStart"/>
            <w:r w:rsidRPr="00B4477B">
              <w:rPr>
                <w:rFonts w:ascii="Times New Roman" w:hAnsi="Times New Roman"/>
                <w:sz w:val="24"/>
                <w:szCs w:val="24"/>
              </w:rPr>
              <w:t>one</w:t>
            </w:r>
            <w:proofErr w:type="spellEnd"/>
            <w:r w:rsidRPr="00B4477B">
              <w:rPr>
                <w:rFonts w:ascii="Times New Roman" w:hAnsi="Times New Roman"/>
                <w:sz w:val="24"/>
                <w:szCs w:val="24"/>
              </w:rPr>
              <w:t xml:space="preserve"> </w:t>
            </w:r>
            <w:proofErr w:type="spellStart"/>
            <w:r w:rsidRPr="00B4477B">
              <w:rPr>
                <w:rFonts w:ascii="Times New Roman" w:hAnsi="Times New Roman"/>
                <w:sz w:val="24"/>
                <w:szCs w:val="24"/>
              </w:rPr>
              <w:t>out</w:t>
            </w:r>
            <w:proofErr w:type="spellEnd"/>
            <w:r w:rsidRPr="00B4477B">
              <w:rPr>
                <w:rFonts w:ascii="Times New Roman" w:hAnsi="Times New Roman"/>
                <w:sz w:val="24"/>
                <w:szCs w:val="24"/>
              </w:rPr>
              <w:t xml:space="preserve">“ taisyklės. </w:t>
            </w:r>
          </w:p>
          <w:p w14:paraId="661285D9" w14:textId="77777777" w:rsidR="00B4477B" w:rsidRPr="00B4477B" w:rsidRDefault="00B4477B" w:rsidP="00442D6A">
            <w:pPr>
              <w:pStyle w:val="AssecoParagraphNormalFirstLine"/>
              <w:tabs>
                <w:tab w:val="left" w:pos="325"/>
              </w:tabs>
              <w:ind w:left="41" w:firstLine="0"/>
              <w:rPr>
                <w:rFonts w:ascii="Times New Roman" w:hAnsi="Times New Roman"/>
                <w:sz w:val="24"/>
                <w:szCs w:val="24"/>
              </w:rPr>
            </w:pPr>
            <w:r w:rsidRPr="00B4477B">
              <w:rPr>
                <w:rFonts w:ascii="Times New Roman" w:hAnsi="Times New Roman"/>
                <w:sz w:val="24"/>
                <w:szCs w:val="24"/>
              </w:rPr>
              <w:t>Viena iš šios taisyklės nesilaikymo priežasčių yra tai, kad administracinę naštą ar prisitaikymo išlaidas ūkio subjektams sukeliantys įpareigojimai nacionalinės teisės aktuose nustatomi, be kita ko, į nacionalinės teisės sistemą perkeliant ir (ar) įgyvendinant tarptautinių ar Europos Sąjungos teisės aktų reikalavimus. Atitinkamai siekiant užtikrinti tinkamą tarptautinių ar Europos Sąjungos teisės aktų perkėlimą ir (ar) įgyvendinimą, institucijos galimybės nukrypti nuo juose nustatytų reikalavimų yra labai ribotos. Iš esmės, institucijos neturi objektyvių galimybių užtikrinti, kad bendras administracinės naštos ar prisitaikymo išlaidų, kurias sukelia ūkio subjektams institucijos kompetencijos srityje inicijuotas teisinis reguliavimas, lygis išliktų nepakitęs. Pastebėtina, kad dėl tarptautinių ar Europos Sąjungos teisės aktų nuostatų perkėlimo ir (ar) įgyvendinimo vienoje iš institucijos kompetencijos sričių išaugus administracinei naštai ar prisitaikymo išlaidoms, jų dirbtinis mažinimas kitose tos institucijos kompetencijos srityse, vien tik siekiant išlaikyti nepakitusį bendrą administracinės naštos ar prisitaikymo išlaidų, kuriuos sukelia ūkio subjektams šios institucijos kompetencijai priklausantis teisinis reguliavimas, lygį, būtų nepagrįstas.</w:t>
            </w:r>
          </w:p>
          <w:p w14:paraId="33A01832" w14:textId="7A7299CB" w:rsidR="00D43433" w:rsidRPr="00D43433" w:rsidRDefault="00B4477B" w:rsidP="00405F27">
            <w:pPr>
              <w:pStyle w:val="AssecoParagraphNormalFirstLine"/>
              <w:tabs>
                <w:tab w:val="left" w:pos="325"/>
              </w:tabs>
              <w:ind w:left="41" w:firstLine="0"/>
              <w:rPr>
                <w:rFonts w:ascii="Times New Roman" w:hAnsi="Times New Roman"/>
                <w:sz w:val="24"/>
                <w:szCs w:val="24"/>
              </w:rPr>
            </w:pPr>
            <w:r w:rsidRPr="00B4477B">
              <w:rPr>
                <w:rFonts w:ascii="Times New Roman" w:hAnsi="Times New Roman"/>
                <w:sz w:val="24"/>
                <w:szCs w:val="24"/>
              </w:rPr>
              <w:tab/>
              <w:t>Atsižvelgiant į tai, kas išdėstyta, siūlytina Nutarimo projekto 3.1 ir 3.2 papunkčiuose numatyti, kad bendras administracinės naštos ar prisitaikymo išlaidų, kurias sukelia ūkio subjektams institucijos kompetencijos srityje inicijuotas teisinis reguliavimas, lygis per kalendorinius metus turi išlikti nepakitęs arba mažėti, išskyrus tuos atvejus, kai administracinę naštą ar prisitaikymo išlaidas sąlygoja tarptautinių ar Europos Sąjungos teisės aktų įgyvendinimas, t. y. kai įpareigojimų kilmė yra  tarptautiniai ar ES teisės aktai.</w:t>
            </w:r>
          </w:p>
        </w:tc>
        <w:tc>
          <w:tcPr>
            <w:tcW w:w="2136" w:type="pct"/>
            <w:tcBorders>
              <w:top w:val="single" w:sz="4" w:space="0" w:color="auto"/>
              <w:left w:val="single" w:sz="4" w:space="0" w:color="auto"/>
              <w:bottom w:val="single" w:sz="4" w:space="0" w:color="auto"/>
              <w:right w:val="single" w:sz="4" w:space="0" w:color="auto"/>
            </w:tcBorders>
            <w:shd w:val="clear" w:color="auto" w:fill="auto"/>
          </w:tcPr>
          <w:p w14:paraId="67D78AC7" w14:textId="77777777" w:rsidR="004A07F2" w:rsidRDefault="004A07F2" w:rsidP="00442D6A">
            <w:pPr>
              <w:spacing w:after="0" w:line="240" w:lineRule="auto"/>
              <w:jc w:val="both"/>
              <w:rPr>
                <w:rFonts w:ascii="Times New Roman" w:hAnsi="Times New Roman"/>
                <w:b/>
                <w:bCs/>
                <w:sz w:val="24"/>
                <w:szCs w:val="24"/>
              </w:rPr>
            </w:pPr>
            <w:r>
              <w:rPr>
                <w:rFonts w:ascii="Times New Roman" w:hAnsi="Times New Roman"/>
                <w:b/>
                <w:bCs/>
                <w:sz w:val="24"/>
                <w:szCs w:val="24"/>
              </w:rPr>
              <w:lastRenderedPageBreak/>
              <w:t xml:space="preserve">Neatsižvelgta. </w:t>
            </w:r>
          </w:p>
          <w:p w14:paraId="1FCD06A4" w14:textId="52F3CFEE" w:rsidR="00000EC2" w:rsidRDefault="004A07F2" w:rsidP="00442D6A">
            <w:pPr>
              <w:spacing w:after="0" w:line="240" w:lineRule="auto"/>
              <w:jc w:val="both"/>
              <w:rPr>
                <w:rFonts w:ascii="Times New Roman" w:hAnsi="Times New Roman"/>
                <w:b/>
                <w:bCs/>
                <w:sz w:val="24"/>
                <w:szCs w:val="24"/>
              </w:rPr>
            </w:pPr>
            <w:r w:rsidRPr="008B4D64">
              <w:rPr>
                <w:rFonts w:ascii="Times New Roman" w:hAnsi="Times New Roman"/>
                <w:sz w:val="24"/>
                <w:szCs w:val="24"/>
              </w:rPr>
              <w:t xml:space="preserve">Žr. argumentus, nurodytus prie Aplinkos apsaugos agentūros </w:t>
            </w:r>
            <w:r w:rsidRPr="008B4D64">
              <w:rPr>
                <w:rFonts w:ascii="Times New Roman" w:hAnsi="Times New Roman"/>
                <w:sz w:val="24"/>
                <w:szCs w:val="24"/>
                <w:lang w:val="en-US"/>
              </w:rPr>
              <w:t>1</w:t>
            </w:r>
            <w:r w:rsidRPr="008B4D64">
              <w:rPr>
                <w:rFonts w:ascii="Times New Roman" w:hAnsi="Times New Roman"/>
                <w:sz w:val="24"/>
                <w:szCs w:val="24"/>
              </w:rPr>
              <w:t xml:space="preserve"> pastabos.</w:t>
            </w:r>
          </w:p>
        </w:tc>
      </w:tr>
      <w:tr w:rsidR="00000EC2" w:rsidRPr="0009474E" w14:paraId="28162FDA" w14:textId="77777777" w:rsidTr="00A1568F">
        <w:trPr>
          <w:trHeight w:val="397"/>
        </w:trPr>
        <w:tc>
          <w:tcPr>
            <w:tcW w:w="182" w:type="pct"/>
            <w:vMerge/>
            <w:tcBorders>
              <w:left w:val="single" w:sz="4" w:space="0" w:color="auto"/>
              <w:right w:val="single" w:sz="4" w:space="0" w:color="auto"/>
            </w:tcBorders>
            <w:shd w:val="clear" w:color="auto" w:fill="auto"/>
          </w:tcPr>
          <w:p w14:paraId="673D951C" w14:textId="77777777" w:rsidR="00000EC2" w:rsidRDefault="00000EC2" w:rsidP="00442D6A">
            <w:pPr>
              <w:pStyle w:val="Sraopastraipa"/>
              <w:numPr>
                <w:ilvl w:val="0"/>
                <w:numId w:val="6"/>
              </w:numPr>
              <w:tabs>
                <w:tab w:val="left" w:pos="360"/>
              </w:tabs>
              <w:autoSpaceDE w:val="0"/>
              <w:autoSpaceDN w:val="0"/>
              <w:adjustRightInd w:val="0"/>
              <w:spacing w:after="0"/>
              <w:ind w:left="0"/>
              <w:rPr>
                <w:rFonts w:ascii="Times New Roman" w:hAnsi="Times New Roman"/>
                <w:color w:val="000000"/>
                <w:sz w:val="24"/>
                <w:szCs w:val="24"/>
              </w:rPr>
            </w:pPr>
          </w:p>
        </w:tc>
        <w:tc>
          <w:tcPr>
            <w:tcW w:w="628" w:type="pct"/>
            <w:vMerge/>
            <w:tcBorders>
              <w:left w:val="single" w:sz="4" w:space="0" w:color="auto"/>
              <w:right w:val="single" w:sz="4" w:space="0" w:color="auto"/>
            </w:tcBorders>
            <w:shd w:val="clear" w:color="auto" w:fill="auto"/>
          </w:tcPr>
          <w:p w14:paraId="408E3CF9" w14:textId="77777777" w:rsidR="00000EC2" w:rsidRDefault="00000EC2" w:rsidP="00442D6A">
            <w:pPr>
              <w:autoSpaceDE w:val="0"/>
              <w:autoSpaceDN w:val="0"/>
              <w:adjustRightInd w:val="0"/>
              <w:spacing w:after="0" w:line="240" w:lineRule="auto"/>
              <w:rPr>
                <w:rFonts w:ascii="Times New Roman" w:hAnsi="Times New Roman"/>
                <w:color w:val="000000"/>
                <w:sz w:val="24"/>
                <w:szCs w:val="24"/>
              </w:rPr>
            </w:pPr>
          </w:p>
        </w:tc>
        <w:tc>
          <w:tcPr>
            <w:tcW w:w="2054" w:type="pct"/>
            <w:tcBorders>
              <w:top w:val="single" w:sz="4" w:space="0" w:color="auto"/>
              <w:left w:val="single" w:sz="4" w:space="0" w:color="auto"/>
              <w:bottom w:val="single" w:sz="4" w:space="0" w:color="auto"/>
              <w:right w:val="single" w:sz="4" w:space="0" w:color="auto"/>
            </w:tcBorders>
            <w:shd w:val="clear" w:color="auto" w:fill="auto"/>
          </w:tcPr>
          <w:p w14:paraId="73C40329" w14:textId="77777777" w:rsidR="005E730E" w:rsidRPr="005E730E" w:rsidRDefault="005E730E" w:rsidP="00442D6A">
            <w:pPr>
              <w:pStyle w:val="AssecoParagraphNormalFirstLine"/>
              <w:tabs>
                <w:tab w:val="left" w:pos="325"/>
              </w:tabs>
              <w:ind w:left="41" w:firstLine="142"/>
              <w:rPr>
                <w:rFonts w:ascii="Times New Roman" w:hAnsi="Times New Roman"/>
                <w:sz w:val="24"/>
                <w:szCs w:val="24"/>
              </w:rPr>
            </w:pPr>
            <w:r w:rsidRPr="005E730E">
              <w:rPr>
                <w:rFonts w:ascii="Times New Roman" w:hAnsi="Times New Roman"/>
                <w:sz w:val="24"/>
                <w:szCs w:val="24"/>
              </w:rPr>
              <w:t xml:space="preserve">2. Nutarimo projekto 3.3 papunktyje siūloma įtvirtinti išimtis, kuomet Ūkio subjektų prisitaikymo prie reguliavimo išlaidų vertinimo metodika (toliau – Metodika) nebūtų taikoma, t. y. teisės aktų projektu sukeliamos administracinė naštos ar prisitaikymo išlaidų pokytis nebūtų vertinamas. </w:t>
            </w:r>
          </w:p>
          <w:p w14:paraId="706BE91A" w14:textId="0CA57C7D" w:rsidR="00000EC2" w:rsidRDefault="005E730E" w:rsidP="00442D6A">
            <w:pPr>
              <w:pStyle w:val="AssecoParagraphNormalFirstLine"/>
              <w:tabs>
                <w:tab w:val="left" w:pos="325"/>
              </w:tabs>
              <w:ind w:left="41" w:firstLine="0"/>
              <w:rPr>
                <w:rFonts w:ascii="Times New Roman" w:hAnsi="Times New Roman"/>
                <w:sz w:val="24"/>
                <w:szCs w:val="24"/>
              </w:rPr>
            </w:pPr>
            <w:r w:rsidRPr="005E730E">
              <w:rPr>
                <w:rFonts w:ascii="Times New Roman" w:hAnsi="Times New Roman"/>
                <w:sz w:val="24"/>
                <w:szCs w:val="24"/>
              </w:rPr>
              <w:t>Pagal Nutarimo projekto 3.3.1 papunktyje siūlomą įtvirtinti išimtį, administracinės naštos pokytis nevertinamas, kai teisės akto projektu siūlomi nustatyti nauji, naikinami ir (ar) keičiami galiojantys informaciniai įpareigojimai, kuriuos įvykdyti trunka mažiau nei 1 valandą per metus ir jie taikomi ne daugiau nei 10 ūkio subjektų. Pagal šiuo metu galiojančią Administracinės naštos ūkio subjektams nustatymo metodiką, teisės akto projekte siūlomo nustatyti vieno naujo informacinio įpareigojimo, vykdomo 1 kartą per metus ir taikomo 10 ūkio subjektų, kurį įvykdyti užtruktų 1 valandą ir kurį, pvz., vykdytų ūkio subjekto vadovas ( atitinkamai taikant didžiausią valandinį tarifo dydį  – 12,5 euro), sukeliama administracinė našta sudarytų 156,25 eurų.</w:t>
            </w:r>
          </w:p>
          <w:p w14:paraId="112395C0" w14:textId="77777777" w:rsidR="0001667B" w:rsidRPr="0001667B" w:rsidRDefault="0001667B" w:rsidP="00442D6A">
            <w:pPr>
              <w:pStyle w:val="AssecoParagraphNormalFirstLine"/>
              <w:tabs>
                <w:tab w:val="left" w:pos="325"/>
              </w:tabs>
              <w:ind w:left="41"/>
              <w:rPr>
                <w:rFonts w:ascii="Times New Roman" w:hAnsi="Times New Roman"/>
                <w:sz w:val="24"/>
                <w:szCs w:val="24"/>
              </w:rPr>
            </w:pPr>
            <w:r w:rsidRPr="0001667B">
              <w:rPr>
                <w:rFonts w:ascii="Times New Roman" w:hAnsi="Times New Roman"/>
                <w:sz w:val="24"/>
                <w:szCs w:val="24"/>
              </w:rPr>
              <w:t xml:space="preserve">Tokio dydžio sukeliama administracinė našta nelaikytina reikšminga, o jos vertinimas sukelia didesnę administracinę naštą tiek pačioms tokį vertinimą atliekančioms institucijoms, tiek ir ūkio subjektams, į kuriuos paprastai kreipiamasi su prašymu užpildyti apklausos anketas vertinimui reikalingai informacijai gauti. Tarnybos vertinimu, tai neatitinka Rašte išdėstyto siekio „nevertinti mažareikšmio administracinės naštos pokyčio, kuris nedaro esminės įtakos verslui, t. y. padidina arba sumažina visiems teisės aktu reguliuojamiems ūkio subjektams administracinę naštą minimaliai ir tokio pokyčio tikslinė grupė praktiškai nejaučia, o pats vertinimas sukelia administracinę naštą institucijoms“. </w:t>
            </w:r>
          </w:p>
          <w:p w14:paraId="4D7332DE" w14:textId="35988AD6" w:rsidR="00BA336B" w:rsidRDefault="0001667B" w:rsidP="007974B6">
            <w:pPr>
              <w:pStyle w:val="AssecoParagraphNormalFirstLine"/>
              <w:tabs>
                <w:tab w:val="left" w:pos="325"/>
              </w:tabs>
              <w:ind w:left="41" w:firstLine="0"/>
              <w:rPr>
                <w:rFonts w:ascii="Times New Roman" w:hAnsi="Times New Roman"/>
                <w:sz w:val="24"/>
                <w:szCs w:val="24"/>
              </w:rPr>
            </w:pPr>
            <w:r w:rsidRPr="0001667B">
              <w:rPr>
                <w:rFonts w:ascii="Times New Roman" w:hAnsi="Times New Roman"/>
                <w:sz w:val="24"/>
                <w:szCs w:val="24"/>
              </w:rPr>
              <w:t xml:space="preserve">Tarnyba, atsižvelgdama į savo patirtį vertinant sukeliamą administracinę naštą, siūlytų Nutarimo projekto 3.3 papunktyje įtvirtinamus Metodikos taikymo išimčių kriterijų </w:t>
            </w:r>
            <w:r w:rsidRPr="0001667B">
              <w:rPr>
                <w:rFonts w:ascii="Times New Roman" w:hAnsi="Times New Roman"/>
                <w:sz w:val="24"/>
                <w:szCs w:val="24"/>
              </w:rPr>
              <w:lastRenderedPageBreak/>
              <w:t>reikšmes, pvz., įpareigojimų vykdymo trukmę, subjektų skaičių, keisti, jas žymiai padidinant.</w:t>
            </w:r>
          </w:p>
          <w:p w14:paraId="2BC5E238" w14:textId="23E3DE99" w:rsidR="00BA336B" w:rsidRPr="001958AA" w:rsidRDefault="00BA336B" w:rsidP="00442D6A">
            <w:pPr>
              <w:pStyle w:val="AssecoParagraphNormalFirstLine"/>
              <w:tabs>
                <w:tab w:val="left" w:pos="325"/>
              </w:tabs>
              <w:ind w:left="41" w:firstLine="0"/>
              <w:rPr>
                <w:rFonts w:ascii="Times New Roman" w:hAnsi="Times New Roman"/>
                <w:sz w:val="24"/>
                <w:szCs w:val="24"/>
              </w:rPr>
            </w:pPr>
          </w:p>
        </w:tc>
        <w:tc>
          <w:tcPr>
            <w:tcW w:w="2136" w:type="pct"/>
            <w:tcBorders>
              <w:top w:val="single" w:sz="4" w:space="0" w:color="auto"/>
              <w:left w:val="single" w:sz="4" w:space="0" w:color="auto"/>
              <w:bottom w:val="single" w:sz="4" w:space="0" w:color="auto"/>
              <w:right w:val="single" w:sz="4" w:space="0" w:color="auto"/>
            </w:tcBorders>
            <w:shd w:val="clear" w:color="auto" w:fill="auto"/>
          </w:tcPr>
          <w:p w14:paraId="070414DF" w14:textId="3540ACAA" w:rsidR="00000EC2" w:rsidRDefault="00637341" w:rsidP="00442D6A">
            <w:pPr>
              <w:spacing w:after="0" w:line="240" w:lineRule="auto"/>
              <w:jc w:val="both"/>
              <w:rPr>
                <w:rFonts w:ascii="Times New Roman" w:hAnsi="Times New Roman"/>
                <w:b/>
                <w:bCs/>
                <w:sz w:val="24"/>
                <w:szCs w:val="24"/>
              </w:rPr>
            </w:pPr>
            <w:r>
              <w:rPr>
                <w:rFonts w:ascii="Times New Roman" w:hAnsi="Times New Roman"/>
                <w:b/>
                <w:bCs/>
                <w:sz w:val="24"/>
                <w:szCs w:val="24"/>
              </w:rPr>
              <w:lastRenderedPageBreak/>
              <w:t>Atsiž</w:t>
            </w:r>
            <w:r w:rsidR="00D2339D">
              <w:rPr>
                <w:rFonts w:ascii="Times New Roman" w:hAnsi="Times New Roman"/>
                <w:b/>
                <w:bCs/>
                <w:sz w:val="24"/>
                <w:szCs w:val="24"/>
              </w:rPr>
              <w:t>velgta</w:t>
            </w:r>
            <w:r w:rsidR="00A749B7">
              <w:rPr>
                <w:rFonts w:ascii="Times New Roman" w:hAnsi="Times New Roman"/>
                <w:b/>
                <w:bCs/>
                <w:sz w:val="24"/>
                <w:szCs w:val="24"/>
              </w:rPr>
              <w:t xml:space="preserve"> iš dalies</w:t>
            </w:r>
            <w:r w:rsidR="00D2339D">
              <w:rPr>
                <w:rFonts w:ascii="Times New Roman" w:hAnsi="Times New Roman"/>
                <w:b/>
                <w:bCs/>
                <w:sz w:val="24"/>
                <w:szCs w:val="24"/>
              </w:rPr>
              <w:t>.</w:t>
            </w:r>
          </w:p>
          <w:p w14:paraId="74FE7CBE" w14:textId="5FC60996" w:rsidR="009423E4" w:rsidRDefault="00122073" w:rsidP="00442D6A">
            <w:pPr>
              <w:spacing w:after="0" w:line="240" w:lineRule="auto"/>
              <w:jc w:val="both"/>
              <w:rPr>
                <w:rFonts w:ascii="Times New Roman" w:hAnsi="Times New Roman"/>
                <w:sz w:val="24"/>
                <w:szCs w:val="24"/>
                <w:lang w:val="en-US"/>
              </w:rPr>
            </w:pPr>
            <w:r>
              <w:rPr>
                <w:rFonts w:ascii="Times New Roman" w:hAnsi="Times New Roman"/>
                <w:sz w:val="24"/>
                <w:szCs w:val="24"/>
              </w:rPr>
              <w:t>Patikslinta</w:t>
            </w:r>
            <w:r w:rsidR="00D37DB6">
              <w:rPr>
                <w:rFonts w:ascii="Times New Roman" w:hAnsi="Times New Roman"/>
                <w:sz w:val="24"/>
                <w:szCs w:val="24"/>
              </w:rPr>
              <w:t xml:space="preserve"> ir praplėsta </w:t>
            </w:r>
            <w:r w:rsidR="009423E4">
              <w:rPr>
                <w:rFonts w:ascii="Times New Roman" w:hAnsi="Times New Roman"/>
                <w:sz w:val="24"/>
                <w:szCs w:val="24"/>
              </w:rPr>
              <w:t xml:space="preserve">administracinės naštos vertinimo išimtis, kuri nustatyta Metodikos </w:t>
            </w:r>
            <w:r w:rsidR="009423E4">
              <w:rPr>
                <w:rFonts w:ascii="Times New Roman" w:hAnsi="Times New Roman"/>
                <w:sz w:val="24"/>
                <w:szCs w:val="24"/>
                <w:lang w:val="en-US"/>
              </w:rPr>
              <w:t xml:space="preserve">5 </w:t>
            </w:r>
            <w:r w:rsidR="009423E4" w:rsidRPr="004B0A99">
              <w:rPr>
                <w:rFonts w:ascii="Times New Roman" w:hAnsi="Times New Roman"/>
                <w:sz w:val="24"/>
                <w:szCs w:val="24"/>
              </w:rPr>
              <w:t>punkte</w:t>
            </w:r>
            <w:r w:rsidR="00B72201">
              <w:rPr>
                <w:rFonts w:ascii="Times New Roman" w:hAnsi="Times New Roman"/>
                <w:sz w:val="24"/>
                <w:szCs w:val="24"/>
              </w:rPr>
              <w:t>, t.</w:t>
            </w:r>
            <w:r w:rsidR="00B17482">
              <w:rPr>
                <w:rFonts w:ascii="Times New Roman" w:hAnsi="Times New Roman"/>
                <w:sz w:val="24"/>
                <w:szCs w:val="24"/>
              </w:rPr>
              <w:t xml:space="preserve"> </w:t>
            </w:r>
            <w:r w:rsidR="00B72201">
              <w:rPr>
                <w:rFonts w:ascii="Times New Roman" w:hAnsi="Times New Roman"/>
                <w:sz w:val="24"/>
                <w:szCs w:val="24"/>
              </w:rPr>
              <w:t>y. vietoj</w:t>
            </w:r>
            <w:r w:rsidR="005E3126">
              <w:rPr>
                <w:rFonts w:ascii="Times New Roman" w:hAnsi="Times New Roman"/>
                <w:sz w:val="24"/>
                <w:szCs w:val="24"/>
              </w:rPr>
              <w:t xml:space="preserve"> 1 val. nurodytos 2 val. ir vietoj 10 ūkio subjektų nurodyta 20 ūkio subjektų</w:t>
            </w:r>
            <w:r w:rsidR="009423E4">
              <w:rPr>
                <w:rFonts w:ascii="Times New Roman" w:hAnsi="Times New Roman"/>
                <w:sz w:val="24"/>
                <w:szCs w:val="24"/>
                <w:lang w:val="en-US"/>
              </w:rPr>
              <w:t>:</w:t>
            </w:r>
          </w:p>
          <w:p w14:paraId="364E6750" w14:textId="71A73CBB" w:rsidR="00D2339D" w:rsidRDefault="008E2F8A" w:rsidP="00442D6A">
            <w:pPr>
              <w:spacing w:after="0" w:line="240" w:lineRule="auto"/>
              <w:jc w:val="both"/>
              <w:rPr>
                <w:rFonts w:ascii="Times New Roman" w:hAnsi="Times New Roman"/>
                <w:sz w:val="24"/>
                <w:szCs w:val="24"/>
              </w:rPr>
            </w:pPr>
            <w:r>
              <w:rPr>
                <w:rFonts w:ascii="Times New Roman" w:hAnsi="Times New Roman"/>
                <w:sz w:val="24"/>
                <w:szCs w:val="24"/>
              </w:rPr>
              <w:t>„</w:t>
            </w:r>
            <w:r w:rsidR="009423E4">
              <w:rPr>
                <w:rFonts w:ascii="Times New Roman" w:hAnsi="Times New Roman"/>
                <w:sz w:val="24"/>
                <w:szCs w:val="24"/>
              </w:rPr>
              <w:t>5. &lt;...&gt;</w:t>
            </w:r>
            <w:r w:rsidR="00B83741">
              <w:rPr>
                <w:rFonts w:ascii="Times New Roman" w:hAnsi="Times New Roman"/>
                <w:sz w:val="24"/>
                <w:szCs w:val="24"/>
              </w:rPr>
              <w:t xml:space="preserve"> </w:t>
            </w:r>
            <w:r w:rsidR="009423E4" w:rsidRPr="009423E4">
              <w:rPr>
                <w:rFonts w:ascii="Times New Roman" w:hAnsi="Times New Roman"/>
                <w:sz w:val="24"/>
                <w:szCs w:val="24"/>
              </w:rPr>
              <w:t>Jei</w:t>
            </w:r>
            <w:r w:rsidR="00AE3AA6">
              <w:rPr>
                <w:rFonts w:ascii="Times New Roman" w:hAnsi="Times New Roman"/>
                <w:sz w:val="24"/>
                <w:szCs w:val="24"/>
              </w:rPr>
              <w:t>,</w:t>
            </w:r>
            <w:r w:rsidR="009423E4" w:rsidRPr="009423E4">
              <w:rPr>
                <w:rFonts w:ascii="Times New Roman" w:hAnsi="Times New Roman"/>
                <w:sz w:val="24"/>
                <w:szCs w:val="24"/>
              </w:rPr>
              <w:t xml:space="preserve"> atlikus preliminarų vertinimą</w:t>
            </w:r>
            <w:r w:rsidR="00AE3AA6">
              <w:rPr>
                <w:rFonts w:ascii="Times New Roman" w:hAnsi="Times New Roman"/>
                <w:sz w:val="24"/>
                <w:szCs w:val="24"/>
              </w:rPr>
              <w:t>,</w:t>
            </w:r>
            <w:r w:rsidR="009423E4" w:rsidRPr="009423E4">
              <w:rPr>
                <w:rFonts w:ascii="Times New Roman" w:hAnsi="Times New Roman"/>
                <w:sz w:val="24"/>
                <w:szCs w:val="24"/>
              </w:rPr>
              <w:t xml:space="preserve"> pagal Metodikos 6.1 papunktyje nustatytą išlaidų kategoriją nustatoma, kad </w:t>
            </w:r>
            <w:proofErr w:type="gramStart"/>
            <w:r w:rsidR="009423E4" w:rsidRPr="009423E4">
              <w:rPr>
                <w:rFonts w:ascii="Times New Roman" w:hAnsi="Times New Roman"/>
                <w:sz w:val="24"/>
                <w:szCs w:val="24"/>
              </w:rPr>
              <w:t>įvykdyti</w:t>
            </w:r>
            <w:proofErr w:type="gramEnd"/>
            <w:r w:rsidR="009423E4" w:rsidRPr="009423E4">
              <w:rPr>
                <w:rFonts w:ascii="Times New Roman" w:hAnsi="Times New Roman"/>
                <w:sz w:val="24"/>
                <w:szCs w:val="24"/>
              </w:rPr>
              <w:t xml:space="preserve"> įpareigojimą ūkio subjektui trunka mažiau</w:t>
            </w:r>
            <w:r w:rsidR="00AE3AA6">
              <w:rPr>
                <w:rFonts w:ascii="Times New Roman" w:hAnsi="Times New Roman"/>
                <w:sz w:val="24"/>
                <w:szCs w:val="24"/>
              </w:rPr>
              <w:t xml:space="preserve"> nei 2 valandas per metus ir jis taikomas</w:t>
            </w:r>
            <w:r w:rsidR="009423E4" w:rsidRPr="009423E4">
              <w:rPr>
                <w:rFonts w:ascii="Times New Roman" w:hAnsi="Times New Roman"/>
                <w:sz w:val="24"/>
                <w:szCs w:val="24"/>
              </w:rPr>
              <w:t xml:space="preserve"> mažiau nei 20 ūkio subjektų, informacinių įpareigojimų sukeliama administracinė naš</w:t>
            </w:r>
            <w:r w:rsidR="00AE3AA6">
              <w:rPr>
                <w:rFonts w:ascii="Times New Roman" w:hAnsi="Times New Roman"/>
                <w:sz w:val="24"/>
                <w:szCs w:val="24"/>
              </w:rPr>
              <w:t>ta laikoma nereikšminga ir tol</w:t>
            </w:r>
            <w:r w:rsidR="009423E4" w:rsidRPr="009423E4">
              <w:rPr>
                <w:rFonts w:ascii="Times New Roman" w:hAnsi="Times New Roman"/>
                <w:sz w:val="24"/>
                <w:szCs w:val="24"/>
              </w:rPr>
              <w:t>esnis vertinimas ir apskaičiavimas neatliekamas.</w:t>
            </w:r>
            <w:r>
              <w:rPr>
                <w:rFonts w:ascii="Times New Roman" w:hAnsi="Times New Roman"/>
                <w:sz w:val="24"/>
                <w:szCs w:val="24"/>
              </w:rPr>
              <w:t>“</w:t>
            </w:r>
            <w:r w:rsidR="00122073">
              <w:rPr>
                <w:rFonts w:ascii="Times New Roman" w:hAnsi="Times New Roman"/>
                <w:sz w:val="24"/>
                <w:szCs w:val="24"/>
              </w:rPr>
              <w:t xml:space="preserve"> </w:t>
            </w:r>
          </w:p>
          <w:p w14:paraId="7EE40B7F" w14:textId="77777777" w:rsidR="00FF67CA" w:rsidRDefault="00FF67CA" w:rsidP="00442D6A">
            <w:pPr>
              <w:spacing w:after="0" w:line="240" w:lineRule="auto"/>
              <w:jc w:val="both"/>
              <w:rPr>
                <w:rFonts w:ascii="Times New Roman" w:hAnsi="Times New Roman"/>
                <w:sz w:val="24"/>
                <w:szCs w:val="24"/>
              </w:rPr>
            </w:pPr>
          </w:p>
          <w:p w14:paraId="0D99FA74" w14:textId="565FC45A" w:rsidR="00FF67CA" w:rsidRPr="00B9748C" w:rsidRDefault="004B00BA" w:rsidP="00442D6A">
            <w:pPr>
              <w:spacing w:line="240" w:lineRule="auto"/>
              <w:jc w:val="both"/>
              <w:rPr>
                <w:rFonts w:ascii="Times New Roman" w:hAnsi="Times New Roman"/>
                <w:sz w:val="24"/>
                <w:szCs w:val="24"/>
              </w:rPr>
            </w:pPr>
            <w:r>
              <w:rPr>
                <w:rFonts w:ascii="Times New Roman" w:hAnsi="Times New Roman"/>
                <w:sz w:val="24"/>
                <w:szCs w:val="24"/>
              </w:rPr>
              <w:t>Taip pat siūlome ž</w:t>
            </w:r>
            <w:r w:rsidR="006E06FA">
              <w:rPr>
                <w:rFonts w:ascii="Times New Roman" w:hAnsi="Times New Roman"/>
                <w:sz w:val="24"/>
                <w:szCs w:val="24"/>
              </w:rPr>
              <w:t xml:space="preserve">r. argumentus dėl Metodikos išimčių nustatymo, nurodytus prie </w:t>
            </w:r>
            <w:proofErr w:type="gramStart"/>
            <w:r w:rsidR="006E06FA">
              <w:rPr>
                <w:rFonts w:ascii="Times New Roman" w:hAnsi="Times New Roman"/>
                <w:sz w:val="24"/>
                <w:szCs w:val="24"/>
              </w:rPr>
              <w:t>Lietuvos banko</w:t>
            </w:r>
            <w:proofErr w:type="gramEnd"/>
            <w:r w:rsidR="006E06FA">
              <w:rPr>
                <w:rFonts w:ascii="Times New Roman" w:hAnsi="Times New Roman"/>
                <w:sz w:val="24"/>
                <w:szCs w:val="24"/>
              </w:rPr>
              <w:t xml:space="preserve"> </w:t>
            </w:r>
            <w:r w:rsidR="006E06FA">
              <w:rPr>
                <w:rFonts w:ascii="Times New Roman" w:hAnsi="Times New Roman"/>
                <w:sz w:val="24"/>
                <w:szCs w:val="24"/>
                <w:lang w:val="en-US"/>
              </w:rPr>
              <w:t>1</w:t>
            </w:r>
            <w:r w:rsidR="006E06FA">
              <w:rPr>
                <w:rFonts w:ascii="Times New Roman" w:hAnsi="Times New Roman"/>
                <w:sz w:val="24"/>
                <w:szCs w:val="24"/>
              </w:rPr>
              <w:t xml:space="preserve"> pastabos. </w:t>
            </w:r>
          </w:p>
          <w:p w14:paraId="618435F0" w14:textId="78DE2FFE" w:rsidR="00FF67CA" w:rsidRPr="00D2339D" w:rsidRDefault="00FF67CA" w:rsidP="00442D6A">
            <w:pPr>
              <w:spacing w:after="0" w:line="240" w:lineRule="auto"/>
              <w:jc w:val="both"/>
              <w:rPr>
                <w:rFonts w:ascii="Times New Roman" w:hAnsi="Times New Roman"/>
                <w:sz w:val="24"/>
                <w:szCs w:val="24"/>
              </w:rPr>
            </w:pPr>
          </w:p>
        </w:tc>
      </w:tr>
      <w:tr w:rsidR="00595C12" w:rsidRPr="0009474E" w14:paraId="03D48830" w14:textId="77777777" w:rsidTr="00A1568F">
        <w:trPr>
          <w:trHeight w:val="1758"/>
        </w:trPr>
        <w:tc>
          <w:tcPr>
            <w:tcW w:w="182" w:type="pct"/>
            <w:vMerge w:val="restart"/>
            <w:tcBorders>
              <w:left w:val="single" w:sz="4" w:space="0" w:color="auto"/>
              <w:right w:val="single" w:sz="4" w:space="0" w:color="auto"/>
            </w:tcBorders>
            <w:shd w:val="clear" w:color="auto" w:fill="auto"/>
          </w:tcPr>
          <w:p w14:paraId="36A0B041" w14:textId="54751888" w:rsidR="00595C12" w:rsidRDefault="00595C12" w:rsidP="00442D6A">
            <w:pPr>
              <w:pStyle w:val="Sraopastraipa"/>
              <w:numPr>
                <w:ilvl w:val="0"/>
                <w:numId w:val="6"/>
              </w:numPr>
              <w:tabs>
                <w:tab w:val="left" w:pos="360"/>
              </w:tabs>
              <w:autoSpaceDE w:val="0"/>
              <w:autoSpaceDN w:val="0"/>
              <w:adjustRightInd w:val="0"/>
              <w:spacing w:after="0"/>
              <w:ind w:left="0"/>
              <w:rPr>
                <w:rFonts w:ascii="Times New Roman" w:hAnsi="Times New Roman"/>
                <w:color w:val="000000"/>
                <w:sz w:val="24"/>
                <w:szCs w:val="24"/>
              </w:rPr>
            </w:pPr>
            <w:r>
              <w:rPr>
                <w:rFonts w:ascii="Times New Roman" w:hAnsi="Times New Roman"/>
                <w:color w:val="000000"/>
                <w:sz w:val="24"/>
                <w:szCs w:val="24"/>
                <w:lang w:val="en-US"/>
              </w:rPr>
              <w:lastRenderedPageBreak/>
              <w:t>4.</w:t>
            </w:r>
          </w:p>
        </w:tc>
        <w:tc>
          <w:tcPr>
            <w:tcW w:w="628" w:type="pct"/>
            <w:vMerge w:val="restart"/>
            <w:tcBorders>
              <w:left w:val="single" w:sz="4" w:space="0" w:color="auto"/>
              <w:right w:val="single" w:sz="4" w:space="0" w:color="auto"/>
            </w:tcBorders>
            <w:shd w:val="clear" w:color="auto" w:fill="auto"/>
          </w:tcPr>
          <w:p w14:paraId="36ABE1F2" w14:textId="2A5BCD80" w:rsidR="00595C12" w:rsidRDefault="00595C12" w:rsidP="00442D6A">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Lietuvos Respublikos socialinės apsaugos ir darbo ministerijos 2021 m. birželio 3 d. raštas Nr.</w:t>
            </w:r>
            <w:r>
              <w:t xml:space="preserve"> </w:t>
            </w:r>
            <w:r w:rsidRPr="002158E4">
              <w:rPr>
                <w:rFonts w:ascii="Times New Roman" w:hAnsi="Times New Roman"/>
                <w:color w:val="000000"/>
                <w:sz w:val="24"/>
                <w:szCs w:val="24"/>
              </w:rPr>
              <w:t>(10.16Mr-48)SD-2747</w:t>
            </w:r>
          </w:p>
          <w:p w14:paraId="7415B5AD" w14:textId="77777777" w:rsidR="00595C12" w:rsidRDefault="00595C12" w:rsidP="00442D6A">
            <w:pPr>
              <w:autoSpaceDE w:val="0"/>
              <w:autoSpaceDN w:val="0"/>
              <w:adjustRightInd w:val="0"/>
              <w:spacing w:after="0" w:line="240" w:lineRule="auto"/>
              <w:rPr>
                <w:rFonts w:ascii="Times New Roman" w:hAnsi="Times New Roman"/>
                <w:color w:val="000000"/>
                <w:sz w:val="24"/>
                <w:szCs w:val="24"/>
              </w:rPr>
            </w:pPr>
          </w:p>
          <w:p w14:paraId="4D969012" w14:textId="282B830B" w:rsidR="00595C12" w:rsidRDefault="00595C12" w:rsidP="00442D6A">
            <w:pPr>
              <w:autoSpaceDE w:val="0"/>
              <w:autoSpaceDN w:val="0"/>
              <w:adjustRightInd w:val="0"/>
              <w:spacing w:after="0" w:line="240" w:lineRule="auto"/>
              <w:rPr>
                <w:rFonts w:ascii="Times New Roman" w:hAnsi="Times New Roman"/>
                <w:color w:val="000000"/>
                <w:sz w:val="24"/>
                <w:szCs w:val="24"/>
              </w:rPr>
            </w:pPr>
          </w:p>
        </w:tc>
        <w:tc>
          <w:tcPr>
            <w:tcW w:w="2054" w:type="pct"/>
            <w:tcBorders>
              <w:top w:val="single" w:sz="4" w:space="0" w:color="auto"/>
              <w:left w:val="single" w:sz="4" w:space="0" w:color="auto"/>
              <w:right w:val="single" w:sz="4" w:space="0" w:color="auto"/>
            </w:tcBorders>
            <w:shd w:val="clear" w:color="auto" w:fill="auto"/>
          </w:tcPr>
          <w:p w14:paraId="7331174B" w14:textId="77777777" w:rsidR="00595C12" w:rsidRDefault="00595C12" w:rsidP="00442D6A">
            <w:pPr>
              <w:pStyle w:val="AssecoParagraphNormalFirstLine"/>
              <w:tabs>
                <w:tab w:val="left" w:pos="325"/>
              </w:tabs>
              <w:ind w:firstLine="41"/>
              <w:rPr>
                <w:rFonts w:ascii="Times New Roman" w:hAnsi="Times New Roman"/>
                <w:sz w:val="24"/>
                <w:szCs w:val="24"/>
              </w:rPr>
            </w:pPr>
            <w:r w:rsidRPr="00BD6305">
              <w:rPr>
                <w:rFonts w:ascii="Times New Roman" w:hAnsi="Times New Roman"/>
                <w:sz w:val="24"/>
                <w:szCs w:val="24"/>
              </w:rPr>
              <w:t>4.</w:t>
            </w:r>
            <w:r w:rsidRPr="00BD6305">
              <w:rPr>
                <w:rFonts w:ascii="Times New Roman" w:hAnsi="Times New Roman"/>
                <w:sz w:val="24"/>
                <w:szCs w:val="24"/>
              </w:rPr>
              <w:tab/>
              <w:t>Manome, kad Nutarimo projekto 3.1 ir 3.2 papunkčiuose nustatytas tikslas išlaidų, kurias sukelia ūkio subjektams institucijos kompetencijos srityje inicijuotas teisinis reguliavimas, lygis per kalendorinius metus turi išlikti nepakitęs arba mažėti, ne visada atitinka esminį teisinio reguliavimo tikslą – siekti svarbių visuomenės interesų įgyvendinimo. Manome, kad neturi būti siekiama administracinės naštos ar prisitaikymo prie reguliavimo išlaidų ūkio subjektams mažinimo tikslo, kai yra įgyvendinami Europos Sąjungos teisės aktai, taip pat, kai siekiama svarbių visuomenės interesų, pvz., visuomenės saugos, visuomenės sveikatos, darbuotojų apsaugos, siekiama mažinti šešėlinę ekonomiką ir pan.</w:t>
            </w:r>
          </w:p>
          <w:p w14:paraId="3D5782CB" w14:textId="77777777" w:rsidR="00595C12" w:rsidRDefault="00595C12" w:rsidP="00442D6A">
            <w:pPr>
              <w:pStyle w:val="AssecoParagraphNormalFirstLine"/>
              <w:tabs>
                <w:tab w:val="left" w:pos="325"/>
              </w:tabs>
              <w:ind w:firstLine="41"/>
              <w:rPr>
                <w:rFonts w:ascii="Times New Roman" w:hAnsi="Times New Roman"/>
                <w:sz w:val="24"/>
                <w:szCs w:val="24"/>
              </w:rPr>
            </w:pPr>
          </w:p>
          <w:p w14:paraId="2421CFF1" w14:textId="3616140F" w:rsidR="00595C12" w:rsidRPr="00412931" w:rsidRDefault="00595C12" w:rsidP="00A6767D">
            <w:pPr>
              <w:spacing w:after="0" w:line="240" w:lineRule="auto"/>
              <w:jc w:val="both"/>
              <w:rPr>
                <w:rFonts w:ascii="Times New Roman" w:hAnsi="Times New Roman"/>
                <w:sz w:val="24"/>
                <w:szCs w:val="24"/>
              </w:rPr>
            </w:pPr>
          </w:p>
        </w:tc>
        <w:tc>
          <w:tcPr>
            <w:tcW w:w="2136" w:type="pct"/>
            <w:tcBorders>
              <w:top w:val="single" w:sz="4" w:space="0" w:color="auto"/>
              <w:left w:val="single" w:sz="4" w:space="0" w:color="auto"/>
              <w:right w:val="single" w:sz="4" w:space="0" w:color="auto"/>
            </w:tcBorders>
            <w:shd w:val="clear" w:color="auto" w:fill="auto"/>
          </w:tcPr>
          <w:p w14:paraId="0EAB5FEA" w14:textId="77777777" w:rsidR="00595C12" w:rsidRDefault="00595C12" w:rsidP="00442D6A">
            <w:pPr>
              <w:spacing w:after="0" w:line="240" w:lineRule="auto"/>
              <w:jc w:val="both"/>
              <w:rPr>
                <w:rFonts w:ascii="Times New Roman" w:hAnsi="Times New Roman"/>
                <w:b/>
                <w:bCs/>
                <w:sz w:val="24"/>
                <w:szCs w:val="24"/>
              </w:rPr>
            </w:pPr>
            <w:r>
              <w:rPr>
                <w:rFonts w:ascii="Times New Roman" w:hAnsi="Times New Roman"/>
                <w:b/>
                <w:bCs/>
                <w:sz w:val="24"/>
                <w:szCs w:val="24"/>
              </w:rPr>
              <w:t>Neatsižvelgta.</w:t>
            </w:r>
          </w:p>
          <w:p w14:paraId="5F8B5B7D" w14:textId="77777777" w:rsidR="00595C12" w:rsidRPr="00CA7744" w:rsidRDefault="00595C12" w:rsidP="00442D6A">
            <w:pPr>
              <w:spacing w:after="0" w:line="240" w:lineRule="auto"/>
              <w:jc w:val="both"/>
              <w:rPr>
                <w:rFonts w:ascii="Times New Roman" w:hAnsi="Times New Roman"/>
                <w:sz w:val="24"/>
                <w:szCs w:val="24"/>
              </w:rPr>
            </w:pPr>
            <w:r w:rsidRPr="00CA7744">
              <w:rPr>
                <w:rFonts w:ascii="Times New Roman" w:hAnsi="Times New Roman"/>
                <w:sz w:val="24"/>
                <w:szCs w:val="24"/>
              </w:rPr>
              <w:t xml:space="preserve">Nustatant teisinį reguliavimą, </w:t>
            </w:r>
            <w:r>
              <w:rPr>
                <w:rFonts w:ascii="Times New Roman" w:hAnsi="Times New Roman"/>
                <w:sz w:val="24"/>
                <w:szCs w:val="24"/>
              </w:rPr>
              <w:t xml:space="preserve">kai yra įgyvendinami Europos Sąjungos teisės aktai, taip pat </w:t>
            </w:r>
            <w:r w:rsidRPr="00CA7744">
              <w:rPr>
                <w:rFonts w:ascii="Times New Roman" w:hAnsi="Times New Roman"/>
                <w:sz w:val="24"/>
                <w:szCs w:val="24"/>
              </w:rPr>
              <w:t>kai siekiama svarbių visuomenės interesų, tokių kaip visuomenės saugos, visuomenės sveikatos, darbuotojų apsaugos, mažinti šešėlinę ekonomiką, ar nustatomas reguliavimas esant ekstremalioms situacijoms, turi būti nustatomas atitinkamai proporcingas ir būtinas reguliavimas, neuždedama ūkio subjektams papildomų perteklinių reikalavimų. Tiek vertinant prisitaikymo prie reguliavimo išlaidas, tiek skaičiuojant bendrą prisitaikymo prie reguliavimo išlaidų mažinimo rodiklį, kurį siūlome nustatyti Nutarime, negalime nustatyti išimčių ir eliminuoti tam tikrų teisės aktų, kuriais yra kuriamas naujas ar keičiamas reguliavimas, kadangi apskritai teisės aktai turėtų būti kuriami ir keičiami tik būtiniausiu atveju ir siekiant svarbių visuomenei interesų.</w:t>
            </w:r>
          </w:p>
          <w:p w14:paraId="0041AF31" w14:textId="77777777" w:rsidR="00595C12" w:rsidRDefault="00595C12" w:rsidP="00442D6A">
            <w:pPr>
              <w:spacing w:after="0" w:line="240" w:lineRule="auto"/>
              <w:jc w:val="both"/>
              <w:rPr>
                <w:rFonts w:ascii="Times New Roman" w:hAnsi="Times New Roman"/>
                <w:sz w:val="24"/>
                <w:szCs w:val="24"/>
              </w:rPr>
            </w:pPr>
            <w:r w:rsidRPr="00CA7744">
              <w:rPr>
                <w:rFonts w:ascii="Times New Roman" w:hAnsi="Times New Roman"/>
                <w:sz w:val="24"/>
                <w:szCs w:val="24"/>
              </w:rPr>
              <w:t>Atkreipiame dėmesį, kad kai naujas teisinis reguliavimas yra pagrįstas ir būtinas siekiant užtikrinti teisiniu reguliavimu saugomų vertybių apsaugą, tikslų neįmanoma pasiekti kitomis priemonėmis ir nėra nustatomi pertekliniai reikalavimai ar įpareigojimai, prisitaikymo prie reguliavimo išlaidos gali ir turi didėti.</w:t>
            </w:r>
            <w:r>
              <w:rPr>
                <w:rFonts w:ascii="Times New Roman" w:hAnsi="Times New Roman"/>
                <w:sz w:val="24"/>
                <w:szCs w:val="24"/>
              </w:rPr>
              <w:t xml:space="preserve"> Šiais atvejais bei tuomet, kai įgyvendinami Europos Sąjungos teisės aktais nustatyti reikalavimai,</w:t>
            </w:r>
            <w:r w:rsidRPr="00CA7744">
              <w:rPr>
                <w:rFonts w:ascii="Times New Roman" w:hAnsi="Times New Roman"/>
                <w:sz w:val="24"/>
                <w:szCs w:val="24"/>
              </w:rPr>
              <w:t xml:space="preserve"> svarbu įvertinti kitas alternatyvas bei ieškoti būdu mažinti minėtas išlaidas, peržiūrint jau galiojanti teisinį reguliavimą.</w:t>
            </w:r>
            <w:r>
              <w:rPr>
                <w:rFonts w:ascii="Times New Roman" w:hAnsi="Times New Roman"/>
                <w:sz w:val="24"/>
                <w:szCs w:val="24"/>
              </w:rPr>
              <w:t xml:space="preserve"> </w:t>
            </w:r>
          </w:p>
          <w:p w14:paraId="40331C61" w14:textId="4844D74A" w:rsidR="009B77CB" w:rsidRPr="00904B9F" w:rsidRDefault="00595C12" w:rsidP="00904B9F">
            <w:pPr>
              <w:spacing w:after="0" w:line="240" w:lineRule="auto"/>
              <w:jc w:val="both"/>
              <w:rPr>
                <w:rFonts w:ascii="Times New Roman" w:hAnsi="Times New Roman"/>
                <w:sz w:val="24"/>
                <w:szCs w:val="24"/>
              </w:rPr>
            </w:pPr>
            <w:r w:rsidRPr="0088046F">
              <w:rPr>
                <w:rFonts w:ascii="Times New Roman" w:hAnsi="Times New Roman"/>
                <w:sz w:val="24"/>
                <w:szCs w:val="24"/>
              </w:rPr>
              <w:t xml:space="preserve">Šiuo metu galiojančiame </w:t>
            </w:r>
            <w:r w:rsidRPr="00D474F9">
              <w:rPr>
                <w:rFonts w:ascii="Times New Roman" w:hAnsi="Times New Roman"/>
                <w:sz w:val="24"/>
                <w:szCs w:val="24"/>
              </w:rPr>
              <w:t>Lietuvos Respublikos Vyriausybės 2012 m. sausio 11 d. nutarim</w:t>
            </w:r>
            <w:r>
              <w:rPr>
                <w:rFonts w:ascii="Times New Roman" w:hAnsi="Times New Roman"/>
                <w:sz w:val="24"/>
                <w:szCs w:val="24"/>
              </w:rPr>
              <w:t>e</w:t>
            </w:r>
            <w:r w:rsidRPr="00D474F9">
              <w:rPr>
                <w:rFonts w:ascii="Times New Roman" w:hAnsi="Times New Roman"/>
                <w:sz w:val="24"/>
                <w:szCs w:val="24"/>
              </w:rPr>
              <w:t xml:space="preserve"> Nr. 4 „Dėl Administracinės naštos ūkio subjektams nustatymo metodikos patvirtinimo“</w:t>
            </w:r>
            <w:r w:rsidRPr="0088046F">
              <w:rPr>
                <w:rFonts w:ascii="Times New Roman" w:hAnsi="Times New Roman"/>
                <w:sz w:val="24"/>
                <w:szCs w:val="24"/>
              </w:rPr>
              <w:t xml:space="preserve"> </w:t>
            </w:r>
            <w:r>
              <w:rPr>
                <w:rFonts w:ascii="Times New Roman" w:hAnsi="Times New Roman"/>
                <w:sz w:val="24"/>
                <w:szCs w:val="24"/>
              </w:rPr>
              <w:t>įtvirtinta</w:t>
            </w:r>
            <w:r w:rsidRPr="0088046F">
              <w:rPr>
                <w:rFonts w:ascii="Times New Roman" w:hAnsi="Times New Roman"/>
                <w:sz w:val="24"/>
                <w:szCs w:val="24"/>
              </w:rPr>
              <w:t xml:space="preserve"> būtent tokia tikslo formuluotė </w:t>
            </w:r>
            <w:r>
              <w:rPr>
                <w:rFonts w:ascii="Times New Roman" w:hAnsi="Times New Roman"/>
                <w:sz w:val="24"/>
                <w:szCs w:val="24"/>
              </w:rPr>
              <w:t>–</w:t>
            </w:r>
            <w:r w:rsidRPr="0088046F">
              <w:rPr>
                <w:rFonts w:ascii="Times New Roman" w:hAnsi="Times New Roman"/>
                <w:sz w:val="24"/>
                <w:szCs w:val="24"/>
              </w:rPr>
              <w:t xml:space="preserve"> </w:t>
            </w:r>
            <w:r>
              <w:rPr>
                <w:rFonts w:ascii="Times New Roman" w:hAnsi="Times New Roman"/>
                <w:sz w:val="24"/>
                <w:szCs w:val="24"/>
              </w:rPr>
              <w:t>„n</w:t>
            </w:r>
            <w:r w:rsidRPr="0088046F">
              <w:rPr>
                <w:rFonts w:ascii="Times New Roman" w:hAnsi="Times New Roman"/>
                <w:sz w:val="24"/>
                <w:szCs w:val="24"/>
              </w:rPr>
              <w:t xml:space="preserve">ustatyti kiekvienai institucijai administracinės naštos ūkio subjektams mažinimo tikslą – bendras administracinės naštos, kurią sukelia ūkio subjektams institucijos kompetencijos srityje inicijuotas teisinis </w:t>
            </w:r>
            <w:r w:rsidRPr="0088046F">
              <w:rPr>
                <w:rFonts w:ascii="Times New Roman" w:hAnsi="Times New Roman"/>
                <w:sz w:val="24"/>
                <w:szCs w:val="24"/>
              </w:rPr>
              <w:lastRenderedPageBreak/>
              <w:t>reguliavimas, lygis per kalendorinius metus turi išlikti nepakitęs arba mažėti</w:t>
            </w:r>
            <w:r>
              <w:rPr>
                <w:rFonts w:ascii="Times New Roman" w:hAnsi="Times New Roman"/>
                <w:sz w:val="24"/>
                <w:szCs w:val="24"/>
              </w:rPr>
              <w:t>“</w:t>
            </w:r>
            <w:r w:rsidRPr="0088046F">
              <w:rPr>
                <w:rFonts w:ascii="Times New Roman" w:hAnsi="Times New Roman"/>
                <w:sz w:val="24"/>
                <w:szCs w:val="24"/>
              </w:rPr>
              <w:t xml:space="preserve">. Siekiant didesnio institucijų dėmesio prisitaikymo prie reguliavo išlaidoms ir ambicingesnių planų, </w:t>
            </w:r>
            <w:r>
              <w:rPr>
                <w:rFonts w:ascii="Times New Roman" w:hAnsi="Times New Roman"/>
                <w:sz w:val="24"/>
                <w:szCs w:val="24"/>
              </w:rPr>
              <w:t xml:space="preserve">siūlome įtvirtinti ne tik tokią pačią administracinės naštos ūkio subjektams mažinimo tikslo formuluotę, bet ir identišką nustatyti prisitaikymo prie reguliavimo išlaidoms. </w:t>
            </w:r>
          </w:p>
        </w:tc>
      </w:tr>
      <w:tr w:rsidR="00950A10" w:rsidRPr="0009474E" w14:paraId="449BD6DF" w14:textId="77777777" w:rsidTr="00A1568F">
        <w:trPr>
          <w:trHeight w:val="397"/>
        </w:trPr>
        <w:tc>
          <w:tcPr>
            <w:tcW w:w="182" w:type="pct"/>
            <w:vMerge/>
            <w:tcBorders>
              <w:left w:val="single" w:sz="4" w:space="0" w:color="auto"/>
              <w:right w:val="single" w:sz="4" w:space="0" w:color="auto"/>
            </w:tcBorders>
            <w:shd w:val="clear" w:color="auto" w:fill="auto"/>
          </w:tcPr>
          <w:p w14:paraId="5BBA45B0" w14:textId="77777777" w:rsidR="00950A10" w:rsidRDefault="00950A10" w:rsidP="00442D6A">
            <w:pPr>
              <w:pStyle w:val="Sraopastraipa"/>
              <w:numPr>
                <w:ilvl w:val="0"/>
                <w:numId w:val="6"/>
              </w:numPr>
              <w:tabs>
                <w:tab w:val="left" w:pos="360"/>
              </w:tabs>
              <w:autoSpaceDE w:val="0"/>
              <w:autoSpaceDN w:val="0"/>
              <w:adjustRightInd w:val="0"/>
              <w:spacing w:after="0"/>
              <w:ind w:left="0"/>
              <w:rPr>
                <w:rFonts w:ascii="Times New Roman" w:hAnsi="Times New Roman"/>
                <w:color w:val="000000"/>
                <w:sz w:val="24"/>
                <w:szCs w:val="24"/>
              </w:rPr>
            </w:pPr>
          </w:p>
        </w:tc>
        <w:tc>
          <w:tcPr>
            <w:tcW w:w="628" w:type="pct"/>
            <w:vMerge/>
            <w:tcBorders>
              <w:left w:val="single" w:sz="4" w:space="0" w:color="auto"/>
              <w:right w:val="single" w:sz="4" w:space="0" w:color="auto"/>
            </w:tcBorders>
            <w:shd w:val="clear" w:color="auto" w:fill="auto"/>
          </w:tcPr>
          <w:p w14:paraId="14104FBA" w14:textId="77777777" w:rsidR="00950A10" w:rsidRDefault="00950A10" w:rsidP="00442D6A">
            <w:pPr>
              <w:autoSpaceDE w:val="0"/>
              <w:autoSpaceDN w:val="0"/>
              <w:adjustRightInd w:val="0"/>
              <w:spacing w:after="0" w:line="240" w:lineRule="auto"/>
              <w:rPr>
                <w:rFonts w:ascii="Times New Roman" w:hAnsi="Times New Roman"/>
                <w:color w:val="000000"/>
                <w:sz w:val="24"/>
                <w:szCs w:val="24"/>
              </w:rPr>
            </w:pPr>
          </w:p>
        </w:tc>
        <w:tc>
          <w:tcPr>
            <w:tcW w:w="2054" w:type="pct"/>
            <w:tcBorders>
              <w:top w:val="single" w:sz="4" w:space="0" w:color="auto"/>
              <w:left w:val="single" w:sz="4" w:space="0" w:color="auto"/>
              <w:bottom w:val="single" w:sz="4" w:space="0" w:color="auto"/>
              <w:right w:val="single" w:sz="4" w:space="0" w:color="auto"/>
            </w:tcBorders>
            <w:shd w:val="clear" w:color="auto" w:fill="auto"/>
          </w:tcPr>
          <w:p w14:paraId="50CF3D6E" w14:textId="4BEFE376" w:rsidR="00C1131F" w:rsidRPr="00D72597" w:rsidRDefault="006D130C" w:rsidP="00442D6A">
            <w:pPr>
              <w:pStyle w:val="AssecoParagraphNormalFirstLine"/>
              <w:tabs>
                <w:tab w:val="left" w:pos="325"/>
              </w:tabs>
              <w:ind w:firstLine="0"/>
              <w:rPr>
                <w:rFonts w:ascii="Times New Roman" w:hAnsi="Times New Roman"/>
                <w:sz w:val="24"/>
                <w:szCs w:val="24"/>
              </w:rPr>
            </w:pPr>
            <w:r w:rsidRPr="00D72597">
              <w:rPr>
                <w:rFonts w:ascii="Times New Roman" w:hAnsi="Times New Roman"/>
                <w:sz w:val="24"/>
                <w:szCs w:val="24"/>
              </w:rPr>
              <w:t>5.</w:t>
            </w:r>
            <w:r w:rsidRPr="00D72597">
              <w:rPr>
                <w:rFonts w:ascii="Times New Roman" w:hAnsi="Times New Roman"/>
                <w:sz w:val="24"/>
                <w:szCs w:val="24"/>
              </w:rPr>
              <w:tab/>
              <w:t>Manome, kad prisitaikymo prie reguliavimo išlaidos neturi būti vertinamos (taikoma išimtis) tais atvejais, kai įpareigojimas kyla iš privalomos tarptautinio ar Europos Sąjungos teisės akto nuostatos.</w:t>
            </w:r>
          </w:p>
        </w:tc>
        <w:tc>
          <w:tcPr>
            <w:tcW w:w="2136" w:type="pct"/>
            <w:tcBorders>
              <w:top w:val="single" w:sz="4" w:space="0" w:color="auto"/>
              <w:left w:val="single" w:sz="4" w:space="0" w:color="auto"/>
              <w:bottom w:val="single" w:sz="4" w:space="0" w:color="auto"/>
              <w:right w:val="single" w:sz="4" w:space="0" w:color="auto"/>
            </w:tcBorders>
            <w:shd w:val="clear" w:color="auto" w:fill="auto"/>
          </w:tcPr>
          <w:p w14:paraId="34E12DFC" w14:textId="77777777" w:rsidR="00CD1713" w:rsidRPr="00CD1713" w:rsidRDefault="00CD1713" w:rsidP="00442D6A">
            <w:pPr>
              <w:spacing w:after="0" w:line="240" w:lineRule="auto"/>
              <w:jc w:val="both"/>
              <w:rPr>
                <w:rFonts w:ascii="Times New Roman" w:hAnsi="Times New Roman"/>
                <w:b/>
                <w:bCs/>
                <w:sz w:val="24"/>
                <w:szCs w:val="24"/>
              </w:rPr>
            </w:pPr>
            <w:r w:rsidRPr="00CD1713">
              <w:rPr>
                <w:rFonts w:ascii="Times New Roman" w:hAnsi="Times New Roman"/>
                <w:b/>
                <w:bCs/>
                <w:sz w:val="24"/>
                <w:szCs w:val="24"/>
              </w:rPr>
              <w:t xml:space="preserve">Neatsižvelgta. </w:t>
            </w:r>
          </w:p>
          <w:p w14:paraId="39747AE8" w14:textId="3DADDD5C" w:rsidR="00950A10" w:rsidRPr="00CD1713" w:rsidRDefault="00CD1713" w:rsidP="00442D6A">
            <w:pPr>
              <w:spacing w:after="0" w:line="240" w:lineRule="auto"/>
              <w:jc w:val="both"/>
              <w:rPr>
                <w:rFonts w:ascii="Times New Roman" w:hAnsi="Times New Roman"/>
                <w:sz w:val="24"/>
                <w:szCs w:val="24"/>
              </w:rPr>
            </w:pPr>
            <w:r w:rsidRPr="00CD1713">
              <w:rPr>
                <w:rFonts w:ascii="Times New Roman" w:hAnsi="Times New Roman"/>
                <w:sz w:val="24"/>
                <w:szCs w:val="24"/>
              </w:rPr>
              <w:t>Žr. argumentus, nurodytus prie Aplinkos apsaugos agentūros 1 pastabos.</w:t>
            </w:r>
          </w:p>
        </w:tc>
      </w:tr>
      <w:tr w:rsidR="008D36FF" w:rsidRPr="0009474E" w14:paraId="534F77F7" w14:textId="77777777" w:rsidTr="00A1568F">
        <w:trPr>
          <w:trHeight w:val="397"/>
        </w:trPr>
        <w:tc>
          <w:tcPr>
            <w:tcW w:w="182" w:type="pct"/>
            <w:vMerge w:val="restart"/>
            <w:tcBorders>
              <w:left w:val="single" w:sz="4" w:space="0" w:color="auto"/>
              <w:right w:val="single" w:sz="4" w:space="0" w:color="auto"/>
            </w:tcBorders>
            <w:shd w:val="clear" w:color="auto" w:fill="auto"/>
          </w:tcPr>
          <w:p w14:paraId="3CC1C606" w14:textId="46571E6F" w:rsidR="008D36FF" w:rsidRDefault="0088281C" w:rsidP="00442D6A">
            <w:pPr>
              <w:pStyle w:val="Sraopastraipa"/>
              <w:tabs>
                <w:tab w:val="left" w:pos="360"/>
              </w:tabs>
              <w:autoSpaceDE w:val="0"/>
              <w:autoSpaceDN w:val="0"/>
              <w:adjustRightInd w:val="0"/>
              <w:spacing w:after="0"/>
              <w:ind w:left="0"/>
              <w:rPr>
                <w:rFonts w:ascii="Times New Roman" w:hAnsi="Times New Roman"/>
                <w:color w:val="000000"/>
                <w:sz w:val="24"/>
                <w:szCs w:val="24"/>
              </w:rPr>
            </w:pPr>
            <w:r>
              <w:rPr>
                <w:rFonts w:ascii="Times New Roman" w:hAnsi="Times New Roman"/>
                <w:color w:val="000000"/>
                <w:sz w:val="24"/>
                <w:szCs w:val="24"/>
                <w:lang w:val="en-US"/>
              </w:rPr>
              <w:t>5</w:t>
            </w:r>
            <w:r w:rsidR="003814DE">
              <w:rPr>
                <w:rFonts w:ascii="Times New Roman" w:hAnsi="Times New Roman"/>
                <w:color w:val="000000"/>
                <w:sz w:val="24"/>
                <w:szCs w:val="24"/>
              </w:rPr>
              <w:t>.</w:t>
            </w:r>
          </w:p>
        </w:tc>
        <w:tc>
          <w:tcPr>
            <w:tcW w:w="628" w:type="pct"/>
            <w:vMerge w:val="restart"/>
            <w:tcBorders>
              <w:left w:val="single" w:sz="4" w:space="0" w:color="auto"/>
              <w:right w:val="single" w:sz="4" w:space="0" w:color="auto"/>
            </w:tcBorders>
            <w:shd w:val="clear" w:color="auto" w:fill="auto"/>
          </w:tcPr>
          <w:p w14:paraId="20B17158" w14:textId="0146FF90" w:rsidR="008D36FF" w:rsidRDefault="008D36FF" w:rsidP="00442D6A">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Lietuvos Respublikos teisingumo ministerijos </w:t>
            </w:r>
            <w:r w:rsidRPr="004C1C3C">
              <w:rPr>
                <w:rFonts w:ascii="Times New Roman" w:hAnsi="Times New Roman"/>
                <w:color w:val="000000"/>
                <w:sz w:val="24"/>
                <w:szCs w:val="24"/>
              </w:rPr>
              <w:t xml:space="preserve">2021 m. birželio </w:t>
            </w:r>
            <w:r>
              <w:rPr>
                <w:rFonts w:ascii="Times New Roman" w:hAnsi="Times New Roman"/>
                <w:color w:val="000000"/>
                <w:sz w:val="24"/>
                <w:szCs w:val="24"/>
              </w:rPr>
              <w:t>16</w:t>
            </w:r>
            <w:r w:rsidRPr="004C1C3C">
              <w:rPr>
                <w:rFonts w:ascii="Times New Roman" w:hAnsi="Times New Roman"/>
                <w:color w:val="000000"/>
                <w:sz w:val="24"/>
                <w:szCs w:val="24"/>
              </w:rPr>
              <w:t xml:space="preserve"> d. raštas Nr.</w:t>
            </w:r>
            <w:r>
              <w:t xml:space="preserve"> </w:t>
            </w:r>
            <w:r w:rsidRPr="00FE4C7C">
              <w:rPr>
                <w:rFonts w:ascii="Times New Roman" w:hAnsi="Times New Roman"/>
                <w:color w:val="000000"/>
                <w:sz w:val="24"/>
                <w:szCs w:val="24"/>
              </w:rPr>
              <w:t>(1.6Mr) 2T-613</w:t>
            </w:r>
          </w:p>
          <w:p w14:paraId="4A62A422" w14:textId="77777777" w:rsidR="008D36FF" w:rsidRDefault="008D36FF" w:rsidP="00442D6A">
            <w:pPr>
              <w:autoSpaceDE w:val="0"/>
              <w:autoSpaceDN w:val="0"/>
              <w:adjustRightInd w:val="0"/>
              <w:spacing w:after="0" w:line="240" w:lineRule="auto"/>
              <w:rPr>
                <w:rFonts w:ascii="Times New Roman" w:hAnsi="Times New Roman"/>
                <w:color w:val="000000"/>
                <w:sz w:val="24"/>
                <w:szCs w:val="24"/>
              </w:rPr>
            </w:pPr>
          </w:p>
          <w:p w14:paraId="70D6B343" w14:textId="780D1C62" w:rsidR="008D36FF" w:rsidRDefault="008D36FF" w:rsidP="00442D6A">
            <w:pPr>
              <w:autoSpaceDE w:val="0"/>
              <w:autoSpaceDN w:val="0"/>
              <w:adjustRightInd w:val="0"/>
              <w:spacing w:after="0" w:line="240" w:lineRule="auto"/>
              <w:rPr>
                <w:rFonts w:ascii="Times New Roman" w:hAnsi="Times New Roman"/>
                <w:color w:val="000000"/>
                <w:sz w:val="24"/>
                <w:szCs w:val="24"/>
              </w:rPr>
            </w:pPr>
          </w:p>
        </w:tc>
        <w:tc>
          <w:tcPr>
            <w:tcW w:w="2054" w:type="pct"/>
            <w:tcBorders>
              <w:top w:val="single" w:sz="4" w:space="0" w:color="auto"/>
              <w:left w:val="single" w:sz="4" w:space="0" w:color="auto"/>
              <w:bottom w:val="single" w:sz="4" w:space="0" w:color="auto"/>
              <w:right w:val="single" w:sz="4" w:space="0" w:color="auto"/>
            </w:tcBorders>
            <w:shd w:val="clear" w:color="auto" w:fill="auto"/>
          </w:tcPr>
          <w:p w14:paraId="04018FD3" w14:textId="77777777" w:rsidR="008D36FF" w:rsidRPr="0005371C" w:rsidRDefault="008D36FF" w:rsidP="00442D6A">
            <w:pPr>
              <w:pStyle w:val="AssecoParagraphNormalFirstLine"/>
              <w:tabs>
                <w:tab w:val="left" w:pos="325"/>
              </w:tabs>
              <w:ind w:firstLine="41"/>
              <w:rPr>
                <w:rFonts w:ascii="Times New Roman" w:hAnsi="Times New Roman"/>
                <w:sz w:val="24"/>
                <w:szCs w:val="24"/>
              </w:rPr>
            </w:pPr>
            <w:r w:rsidRPr="0005371C">
              <w:rPr>
                <w:rFonts w:ascii="Times New Roman" w:hAnsi="Times New Roman"/>
                <w:sz w:val="24"/>
                <w:szCs w:val="24"/>
              </w:rPr>
              <w:t>1.</w:t>
            </w:r>
            <w:r w:rsidRPr="0005371C">
              <w:rPr>
                <w:rFonts w:ascii="Times New Roman" w:hAnsi="Times New Roman"/>
                <w:sz w:val="24"/>
                <w:szCs w:val="24"/>
              </w:rPr>
              <w:tab/>
              <w:t>Teikiamo Projekto įstatyminis pagrindas – Lietuvos Respublikos administracinės naštos mažinimo įstatymo (toliau – Įstatymas) 3 straipsnio 2 dalis, kuri nustato, kad „Administracinė našta valstybės ir savivaldybių institucijose ir įstaigose nustatoma ir vertinama pagal Lietuvos Respublikos Vyriausybės (toliau – Vyriausybė) patvirtintas metodikas“. Įstatymo 2 straipsnio 1 dalyje apibrėžiama administracinės naštos sąvoka – tai „laiko sąnaudos ir finansinės išlaidos, kurias patiria ar gali patirti asmenys vykdydami teisės aktuose nustatytus ar teisės aktų projektuose siūlomus nustatyti informacinius įpareigojimus“. Pagal Įstatymo 2 straipsnio 3 dalį informacinis įpareigojimas – tai „teisės akte asmeniui nustatytas ar teisės akto projekte siūlomas asmeniui nustatyti įpareigojimas pateikti valstybės ar savivaldybių institucijoms ar įstaigoms arba jų įgaliotiems asmenims informaciją &lt;...&gt;; tokią informaciją kaupti, saugoti ir pateikti valstybės ar savivaldybių institucijų ar įstaigų arba jų įgalioto asmens atskiru pareikalavimu; pateikti informaciją trečiosioms šalims“.</w:t>
            </w:r>
          </w:p>
          <w:p w14:paraId="4AF74A13" w14:textId="77777777" w:rsidR="008D36FF" w:rsidRPr="0005371C" w:rsidRDefault="008D36FF" w:rsidP="00442D6A">
            <w:pPr>
              <w:pStyle w:val="AssecoParagraphNormalFirstLine"/>
              <w:tabs>
                <w:tab w:val="left" w:pos="325"/>
              </w:tabs>
              <w:ind w:firstLine="41"/>
              <w:rPr>
                <w:rFonts w:ascii="Times New Roman" w:hAnsi="Times New Roman"/>
                <w:sz w:val="24"/>
                <w:szCs w:val="24"/>
              </w:rPr>
            </w:pPr>
            <w:r w:rsidRPr="0005371C">
              <w:rPr>
                <w:rFonts w:ascii="Times New Roman" w:hAnsi="Times New Roman"/>
                <w:sz w:val="24"/>
                <w:szCs w:val="24"/>
              </w:rPr>
              <w:t xml:space="preserve">Projektu pavedama </w:t>
            </w:r>
            <w:proofErr w:type="gramStart"/>
            <w:r w:rsidRPr="0005371C">
              <w:rPr>
                <w:rFonts w:ascii="Times New Roman" w:hAnsi="Times New Roman"/>
                <w:sz w:val="24"/>
                <w:szCs w:val="24"/>
              </w:rPr>
              <w:t>(</w:t>
            </w:r>
            <w:proofErr w:type="gramEnd"/>
            <w:r w:rsidRPr="0005371C">
              <w:rPr>
                <w:rFonts w:ascii="Times New Roman" w:hAnsi="Times New Roman"/>
                <w:sz w:val="24"/>
                <w:szCs w:val="24"/>
              </w:rPr>
              <w:t xml:space="preserve">žr. Projekto 2.1 ir 2.2 papunkčius) institucijoms ne tik vertinti teisės aktuose nustatytus ar teisės aktų projektuose siūlomus nustatyti informacinius įpareigojimus ūkio subjektams ir galimą sukelti administracinę naštą, tačiau ir galimas sukelti prisitaikymo </w:t>
            </w:r>
            <w:r w:rsidRPr="0005371C">
              <w:rPr>
                <w:rFonts w:ascii="Times New Roman" w:hAnsi="Times New Roman"/>
                <w:sz w:val="24"/>
                <w:szCs w:val="24"/>
              </w:rPr>
              <w:lastRenderedPageBreak/>
              <w:t xml:space="preserve">prie reguliavimo išlaidas. Vadovaujantis Ūkio subjektų prisitaikymo prie reguliavimo išlaidų vertinimo metodikos (toliau – Metodika) 4.2 papunkčiu „Prisitaikymo prie reguliavimo išlaidos &lt;...&gt; – administracinė našta ir kitos finansinės išlaidos, kurias tiesiogiai patiria ar gali patirti ūkio subjektai vykdydami teisės aktuose nustatytus ar teisės aktų projektuose siūlomus nustatyti įpareigojimus. Kitaip tariant, Projektu siūlomu reguliavimu išplečiamas Įstatymu įtvirtintas reguliavimas, o įpareigojimai, susiję su prisitaikymo prie reguliavimo išlaidų vertinimu, įstatyminio pagrindo neturi. </w:t>
            </w:r>
          </w:p>
          <w:p w14:paraId="0BE18C21" w14:textId="77777777" w:rsidR="008D36FF" w:rsidRPr="0005371C" w:rsidRDefault="008D36FF" w:rsidP="00442D6A">
            <w:pPr>
              <w:pStyle w:val="AssecoParagraphNormalFirstLine"/>
              <w:tabs>
                <w:tab w:val="left" w:pos="325"/>
              </w:tabs>
              <w:ind w:firstLine="41"/>
              <w:rPr>
                <w:rFonts w:ascii="Times New Roman" w:hAnsi="Times New Roman"/>
                <w:sz w:val="24"/>
                <w:szCs w:val="24"/>
              </w:rPr>
            </w:pPr>
            <w:r w:rsidRPr="0036644D">
              <w:rPr>
                <w:rFonts w:ascii="Times New Roman" w:hAnsi="Times New Roman"/>
                <w:sz w:val="24"/>
                <w:szCs w:val="24"/>
              </w:rPr>
              <w:t xml:space="preserve">Manytina, kad nepakeitus Įstatymo Vyriausybė savo iniciatyva ir vadovaudamasi Aštuonioliktosios Lietuvos Respublikos Vyriausybės programos nuostatų įgyvendinimo plano, patvirtinto Lietuvos Respublikos Vyriausybės 2021 m. kovo 15 d. nutarimu Nr. 155 „Dėl Aštuonioliktosios Lietuvos Respublikos Vyriausybės programos nuostatų įgyvendinimo plano patvirtinimo“ V misijos (prioriteto) Misiją įgyvendinančių Vyriausybės programos projektų </w:t>
            </w:r>
            <w:proofErr w:type="gramStart"/>
            <w:r w:rsidRPr="0036644D">
              <w:rPr>
                <w:rFonts w:ascii="Times New Roman" w:hAnsi="Times New Roman"/>
                <w:sz w:val="24"/>
                <w:szCs w:val="24"/>
              </w:rPr>
              <w:t>(</w:t>
            </w:r>
            <w:proofErr w:type="gramEnd"/>
            <w:r w:rsidRPr="0036644D">
              <w:rPr>
                <w:rFonts w:ascii="Times New Roman" w:hAnsi="Times New Roman"/>
                <w:sz w:val="24"/>
                <w:szCs w:val="24"/>
              </w:rPr>
              <w:t>darbų), iniciatyvų (priemonių) ir veiksmų 5.3.3. papunktyje nustatytu įsipareigojimu „parengti ir priimti Vyriausybės nutarimą dėl Ūkio subjektų prisitaikymo prie reguliavimo išlaidų vertinimo metodikos patvirtinimo“ galėtų pavesti pavaldiems subjektams skaičiuoti prisitaikymo prie reguliavimo išlaidas, tačiau pastebėtina, kad Įstatymo 3 straipsniu nustatyta pareiga taikyti administracinės naštos mažinimo priemones neribojama vien tik Vyriausybei pavaldžių subjektų ratu</w:t>
            </w:r>
            <w:r w:rsidRPr="0005371C">
              <w:rPr>
                <w:rFonts w:ascii="Times New Roman" w:hAnsi="Times New Roman"/>
                <w:sz w:val="24"/>
                <w:szCs w:val="24"/>
              </w:rPr>
              <w:t>, todėl manytina, Įstatymo 3 straipsnio 2 dalis nebūtų tinkamai įgyvendinta, juolab, kad pagal Projektu siūlomą metodiką nebūtų išlaikomas administracinės naštos ir kitų finansinių išlaidų vertinimo atribojimas ir vertinimo pareigos taikymas diferencijuotai atsižvelgiant į subjektų (</w:t>
            </w:r>
            <w:proofErr w:type="spellStart"/>
            <w:r w:rsidRPr="0005371C">
              <w:rPr>
                <w:rFonts w:ascii="Times New Roman" w:hAnsi="Times New Roman"/>
                <w:sz w:val="24"/>
                <w:szCs w:val="24"/>
              </w:rPr>
              <w:t>ne)pavaldumą</w:t>
            </w:r>
            <w:proofErr w:type="spellEnd"/>
            <w:r w:rsidRPr="0005371C">
              <w:rPr>
                <w:rFonts w:ascii="Times New Roman" w:hAnsi="Times New Roman"/>
                <w:sz w:val="24"/>
                <w:szCs w:val="24"/>
              </w:rPr>
              <w:t xml:space="preserve"> Vyriausybei. Jei Projektu siekiama iš esmės išplėsti teisiniu reguliavimu nustatomų įpareigojimų vertinimo apimtį, atsisakyti Administracinės naštos vertinimo metodikos ir </w:t>
            </w:r>
            <w:r w:rsidRPr="0005371C">
              <w:rPr>
                <w:rFonts w:ascii="Times New Roman" w:hAnsi="Times New Roman"/>
                <w:sz w:val="24"/>
                <w:szCs w:val="24"/>
              </w:rPr>
              <w:lastRenderedPageBreak/>
              <w:t>administracinės naštos vertinimo Įstatymo apibrėžtose ribose, manytina, pirmiausia turėtų  būti keičiamas Įstatymas, jame, be kita ko, aiškiai apibrėžiant ir subjektų, kurie turėtų vertinti prisitaikymo prie reguliavimo išlaidas, ratą bei atvejus.</w:t>
            </w:r>
          </w:p>
          <w:p w14:paraId="66C97D91" w14:textId="77777777" w:rsidR="008D36FF" w:rsidRPr="0005371C" w:rsidRDefault="008D36FF" w:rsidP="00442D6A">
            <w:pPr>
              <w:pStyle w:val="AssecoParagraphNormalFirstLine"/>
              <w:tabs>
                <w:tab w:val="left" w:pos="325"/>
              </w:tabs>
              <w:ind w:firstLine="0"/>
              <w:rPr>
                <w:rFonts w:ascii="Times New Roman" w:hAnsi="Times New Roman"/>
                <w:sz w:val="24"/>
                <w:szCs w:val="24"/>
              </w:rPr>
            </w:pPr>
            <w:proofErr w:type="gramStart"/>
            <w:r w:rsidRPr="0005371C">
              <w:rPr>
                <w:rFonts w:ascii="Times New Roman" w:hAnsi="Times New Roman"/>
                <w:sz w:val="24"/>
                <w:szCs w:val="24"/>
              </w:rPr>
              <w:t>Tuo pačiu</w:t>
            </w:r>
            <w:proofErr w:type="gramEnd"/>
            <w:r w:rsidRPr="0005371C">
              <w:rPr>
                <w:rFonts w:ascii="Times New Roman" w:hAnsi="Times New Roman"/>
                <w:sz w:val="24"/>
                <w:szCs w:val="24"/>
              </w:rPr>
              <w:t xml:space="preserve"> pastebėtina, kad Aštuonioliktosios Lietuvos Respublikos Vyriausybės programos nuostatų įgyvendinimo plane numatyta priemonė „parengti ir priimti Vyriausybės nutarimą dėl Ūkio subjektų prisitaikymo prie reguliavimo išlaidų vertinimo metodikos patvirtinimo“ gali būti suprantama ir siauriau nei Projekte – kaip papildanti Administracinės naštos vertinimo metodiką ir įpareigojanti Vyriausybei pavaldžius subjektus atlikti būtent su ūkio subjektų pasirengimu naujam reguliavimui susijusių išlaidų vertinimą priemonė.</w:t>
            </w:r>
          </w:p>
          <w:p w14:paraId="77A7FE6F" w14:textId="5AE30AA0" w:rsidR="008D36FF" w:rsidRDefault="008D36FF" w:rsidP="00442D6A">
            <w:pPr>
              <w:pStyle w:val="AssecoParagraphNormalFirstLine"/>
              <w:tabs>
                <w:tab w:val="left" w:pos="325"/>
              </w:tabs>
              <w:ind w:firstLine="41"/>
              <w:rPr>
                <w:rFonts w:ascii="Times New Roman" w:hAnsi="Times New Roman"/>
                <w:sz w:val="24"/>
                <w:szCs w:val="24"/>
              </w:rPr>
            </w:pPr>
            <w:r w:rsidRPr="0005371C">
              <w:rPr>
                <w:rFonts w:ascii="Times New Roman" w:hAnsi="Times New Roman"/>
                <w:sz w:val="24"/>
                <w:szCs w:val="24"/>
              </w:rPr>
              <w:t>Taip pat pažymėtina, kad nėra aišku, kokios išlaidos būtų laikomos prisitaikymo prie reguliavimo išlaidomis, kurias reikėtų vertinti, pavyzdžiui, ar reikalavimai turėti atitinkamai įrengtas patalpas ar jų pritaikymas veiklai vykdyti (ir su tuo susijusios remonto, nuomos, įsigijimo, išlaikymo išlaidos), kai tai</w:t>
            </w:r>
            <w:proofErr w:type="gramStart"/>
            <w:r w:rsidRPr="0005371C">
              <w:rPr>
                <w:rFonts w:ascii="Times New Roman" w:hAnsi="Times New Roman"/>
                <w:sz w:val="24"/>
                <w:szCs w:val="24"/>
              </w:rPr>
              <w:t xml:space="preserve">  </w:t>
            </w:r>
            <w:proofErr w:type="gramEnd"/>
            <w:r w:rsidRPr="0005371C">
              <w:rPr>
                <w:rFonts w:ascii="Times New Roman" w:hAnsi="Times New Roman"/>
                <w:sz w:val="24"/>
                <w:szCs w:val="24"/>
              </w:rPr>
              <w:t>būtų veiklos vykdymo, o ne licencijos (leidimo) gavimo reikalavimas, taip pat būtų laikomos didelėmis prisitaikymo prie reguliavimo išlaidomis. Taip pat, ar į šį vertinimą galėtų (turėtų) patekti investavimas į žmogiškuosius išteklius (personalo apmokymas ir parengimas). Manytina, kad „pavyzdinis“ išlaidų sąrašas, pateikiamas Metodikos priede, nėra pakankamas ir išsamus bei būdamas „pavyzdiniu“ iš esmės lieka tik rekomendaciniu, taip pat nėra tinkamas būdas atskleisti sąvokos turinį.</w:t>
            </w:r>
          </w:p>
        </w:tc>
        <w:tc>
          <w:tcPr>
            <w:tcW w:w="2136" w:type="pct"/>
            <w:tcBorders>
              <w:top w:val="single" w:sz="4" w:space="0" w:color="auto"/>
              <w:left w:val="single" w:sz="4" w:space="0" w:color="auto"/>
              <w:bottom w:val="single" w:sz="4" w:space="0" w:color="auto"/>
              <w:right w:val="single" w:sz="4" w:space="0" w:color="auto"/>
            </w:tcBorders>
            <w:shd w:val="clear" w:color="auto" w:fill="auto"/>
          </w:tcPr>
          <w:p w14:paraId="3F07ECFD" w14:textId="384DE964" w:rsidR="00FF4BE2" w:rsidRPr="00FF4BE2" w:rsidRDefault="00B93223" w:rsidP="00442D6A">
            <w:pPr>
              <w:spacing w:after="0" w:line="240" w:lineRule="auto"/>
              <w:jc w:val="both"/>
              <w:rPr>
                <w:rFonts w:ascii="Times New Roman" w:hAnsi="Times New Roman"/>
                <w:b/>
                <w:bCs/>
                <w:sz w:val="24"/>
                <w:szCs w:val="24"/>
              </w:rPr>
            </w:pPr>
            <w:r>
              <w:rPr>
                <w:rFonts w:ascii="Times New Roman" w:hAnsi="Times New Roman"/>
                <w:b/>
                <w:bCs/>
                <w:sz w:val="24"/>
                <w:szCs w:val="24"/>
              </w:rPr>
              <w:lastRenderedPageBreak/>
              <w:t>A</w:t>
            </w:r>
            <w:r w:rsidRPr="00FF4BE2">
              <w:rPr>
                <w:rFonts w:ascii="Times New Roman" w:hAnsi="Times New Roman"/>
                <w:b/>
                <w:bCs/>
                <w:sz w:val="24"/>
                <w:szCs w:val="24"/>
              </w:rPr>
              <w:t>tsižvelgta</w:t>
            </w:r>
            <w:r>
              <w:rPr>
                <w:rFonts w:ascii="Times New Roman" w:hAnsi="Times New Roman"/>
                <w:b/>
                <w:bCs/>
                <w:sz w:val="24"/>
                <w:szCs w:val="24"/>
              </w:rPr>
              <w:t xml:space="preserve"> iš dalies</w:t>
            </w:r>
            <w:r w:rsidR="00FF4BE2" w:rsidRPr="00FF4BE2">
              <w:rPr>
                <w:rFonts w:ascii="Times New Roman" w:hAnsi="Times New Roman"/>
                <w:b/>
                <w:bCs/>
                <w:sz w:val="24"/>
                <w:szCs w:val="24"/>
              </w:rPr>
              <w:t>.</w:t>
            </w:r>
          </w:p>
          <w:p w14:paraId="031A9610" w14:textId="2BD59A3D" w:rsidR="00FF4BE2" w:rsidRDefault="00FF4BE2" w:rsidP="00442D6A">
            <w:pPr>
              <w:spacing w:after="0" w:line="240" w:lineRule="auto"/>
              <w:jc w:val="both"/>
              <w:rPr>
                <w:rFonts w:ascii="Times New Roman" w:hAnsi="Times New Roman"/>
                <w:sz w:val="24"/>
                <w:szCs w:val="24"/>
              </w:rPr>
            </w:pPr>
            <w:r w:rsidRPr="00FF4BE2">
              <w:rPr>
                <w:rFonts w:ascii="Times New Roman" w:hAnsi="Times New Roman"/>
                <w:sz w:val="24"/>
                <w:szCs w:val="24"/>
              </w:rPr>
              <w:t xml:space="preserve">Administracinės naštos mažinimo įstatyme nustatytos administracinės naštos mažinimo priemonės, jų taikymas, administracinės naštos mažinimo principai, svarbiausios sąvokos. Siūloma tvirtinti </w:t>
            </w:r>
            <w:r w:rsidR="007C4D4D">
              <w:rPr>
                <w:rFonts w:ascii="Times New Roman" w:hAnsi="Times New Roman"/>
                <w:sz w:val="24"/>
                <w:szCs w:val="24"/>
              </w:rPr>
              <w:t>M</w:t>
            </w:r>
            <w:r w:rsidRPr="00FF4BE2">
              <w:rPr>
                <w:rFonts w:ascii="Times New Roman" w:hAnsi="Times New Roman"/>
                <w:sz w:val="24"/>
                <w:szCs w:val="24"/>
              </w:rPr>
              <w:t>etodika neprieštarauja A</w:t>
            </w:r>
            <w:r w:rsidR="007C4D4D">
              <w:rPr>
                <w:rFonts w:ascii="Times New Roman" w:hAnsi="Times New Roman"/>
                <w:sz w:val="24"/>
                <w:szCs w:val="24"/>
              </w:rPr>
              <w:t>dministracinės naštos mažinimo įstatym</w:t>
            </w:r>
            <w:r w:rsidR="00144F82">
              <w:rPr>
                <w:rFonts w:ascii="Times New Roman" w:hAnsi="Times New Roman"/>
                <w:sz w:val="24"/>
                <w:szCs w:val="24"/>
              </w:rPr>
              <w:t>ui</w:t>
            </w:r>
            <w:r w:rsidRPr="00FF4BE2">
              <w:rPr>
                <w:rFonts w:ascii="Times New Roman" w:hAnsi="Times New Roman"/>
                <w:sz w:val="24"/>
                <w:szCs w:val="24"/>
              </w:rPr>
              <w:t xml:space="preserve"> – 3 straipsnio 2 punkte įtvirtinta, kad Administracinė našta valstybės ir savivaldybių institucijose ir įstaigose nustatoma ir vertinama pagal Lietuvos Respublikos Vyriausybės patvirtintas metodikas. Pagal siūlomą </w:t>
            </w:r>
            <w:r w:rsidR="00144F82">
              <w:rPr>
                <w:rFonts w:ascii="Times New Roman" w:hAnsi="Times New Roman"/>
                <w:sz w:val="24"/>
                <w:szCs w:val="24"/>
              </w:rPr>
              <w:t>M</w:t>
            </w:r>
            <w:r w:rsidRPr="00FF4BE2">
              <w:rPr>
                <w:rFonts w:ascii="Times New Roman" w:hAnsi="Times New Roman"/>
                <w:sz w:val="24"/>
                <w:szCs w:val="24"/>
              </w:rPr>
              <w:t>etodiką galima vertinti tik administracinę naštą</w:t>
            </w:r>
            <w:r w:rsidR="00185C91">
              <w:rPr>
                <w:rFonts w:ascii="Times New Roman" w:hAnsi="Times New Roman"/>
                <w:sz w:val="24"/>
                <w:szCs w:val="24"/>
              </w:rPr>
              <w:t>, t. y.</w:t>
            </w:r>
            <w:r w:rsidRPr="00FF4BE2">
              <w:rPr>
                <w:rFonts w:ascii="Times New Roman" w:hAnsi="Times New Roman"/>
                <w:sz w:val="24"/>
                <w:szCs w:val="24"/>
              </w:rPr>
              <w:t xml:space="preserve"> tuo atveju, kai nustatomi tik informaciniai įpareigojimai</w:t>
            </w:r>
            <w:r w:rsidR="00120F21">
              <w:rPr>
                <w:rFonts w:ascii="Times New Roman" w:hAnsi="Times New Roman"/>
                <w:sz w:val="24"/>
                <w:szCs w:val="24"/>
              </w:rPr>
              <w:t xml:space="preserve"> </w:t>
            </w:r>
            <w:proofErr w:type="gramStart"/>
            <w:r w:rsidR="007327E5" w:rsidRPr="007327E5">
              <w:rPr>
                <w:rFonts w:ascii="Times New Roman" w:hAnsi="Times New Roman"/>
                <w:sz w:val="24"/>
                <w:szCs w:val="24"/>
              </w:rPr>
              <w:t>(</w:t>
            </w:r>
            <w:proofErr w:type="gramEnd"/>
            <w:r w:rsidR="007327E5" w:rsidRPr="007327E5">
              <w:rPr>
                <w:rFonts w:ascii="Times New Roman" w:hAnsi="Times New Roman"/>
                <w:sz w:val="24"/>
                <w:szCs w:val="24"/>
              </w:rPr>
              <w:t>Metodikos 5 punktas: Vertinant ir apskaičiuojant teisės aktuose nustatytų ar teisės aktų projektuose siūlomų nustatyti informacinių įpareigojimų sukeliamą administracinę naštą ūkio subjektams, administracinė našta apskaičiuojama pagal Metodikos 6.1, 6.4 ir 6.5 papunkčiuose nustatytas išlaidų kategorijas.</w:t>
            </w:r>
            <w:r w:rsidRPr="00FF4BE2">
              <w:rPr>
                <w:rFonts w:ascii="Times New Roman" w:hAnsi="Times New Roman"/>
                <w:sz w:val="24"/>
                <w:szCs w:val="24"/>
              </w:rPr>
              <w:t>)</w:t>
            </w:r>
            <w:r w:rsidR="00A30ECA">
              <w:rPr>
                <w:rFonts w:ascii="Times New Roman" w:hAnsi="Times New Roman"/>
                <w:sz w:val="24"/>
                <w:szCs w:val="24"/>
              </w:rPr>
              <w:t>.</w:t>
            </w:r>
            <w:r w:rsidRPr="00FF4BE2">
              <w:rPr>
                <w:rFonts w:ascii="Times New Roman" w:hAnsi="Times New Roman"/>
                <w:sz w:val="24"/>
                <w:szCs w:val="24"/>
              </w:rPr>
              <w:t xml:space="preserve"> </w:t>
            </w:r>
            <w:r w:rsidR="00A30ECA">
              <w:rPr>
                <w:rFonts w:ascii="Times New Roman" w:hAnsi="Times New Roman"/>
                <w:sz w:val="24"/>
                <w:szCs w:val="24"/>
              </w:rPr>
              <w:t>T</w:t>
            </w:r>
            <w:r w:rsidRPr="00FF4BE2">
              <w:rPr>
                <w:rFonts w:ascii="Times New Roman" w:hAnsi="Times New Roman"/>
                <w:sz w:val="24"/>
                <w:szCs w:val="24"/>
              </w:rPr>
              <w:t xml:space="preserve">odėl patvirtinus </w:t>
            </w:r>
            <w:r w:rsidR="00A27CBE">
              <w:rPr>
                <w:rFonts w:ascii="Times New Roman" w:hAnsi="Times New Roman"/>
                <w:sz w:val="24"/>
                <w:szCs w:val="24"/>
              </w:rPr>
              <w:t>M</w:t>
            </w:r>
            <w:r w:rsidRPr="00FF4BE2">
              <w:rPr>
                <w:rFonts w:ascii="Times New Roman" w:hAnsi="Times New Roman"/>
                <w:sz w:val="24"/>
                <w:szCs w:val="24"/>
              </w:rPr>
              <w:t>etodiką bus išlaikomas administracinės naštos ir kitų finansinių išlaidų vertinimo atribojimas ir vertinimo pareigos taikymas diferencijuotai atsižvelgiant į subjektų (</w:t>
            </w:r>
            <w:proofErr w:type="spellStart"/>
            <w:r w:rsidRPr="00FF4BE2">
              <w:rPr>
                <w:rFonts w:ascii="Times New Roman" w:hAnsi="Times New Roman"/>
                <w:sz w:val="24"/>
                <w:szCs w:val="24"/>
              </w:rPr>
              <w:t>ne)pavaldumą</w:t>
            </w:r>
            <w:proofErr w:type="spellEnd"/>
            <w:r w:rsidRPr="00FF4BE2">
              <w:rPr>
                <w:rFonts w:ascii="Times New Roman" w:hAnsi="Times New Roman"/>
                <w:sz w:val="24"/>
                <w:szCs w:val="24"/>
              </w:rPr>
              <w:t xml:space="preserve"> Vyriausybei. Paprastai sakant – administracinės naštos vertinimas ir mažinimo priemonės nesikeičia, tačiau Vyriausybei pavaldūs subjektai įpareigojami vertinti verslo patiriamas išlaidas įtraukiant dvi papildomas išlaidų kategorijas.</w:t>
            </w:r>
          </w:p>
          <w:p w14:paraId="24242AFC" w14:textId="7449CA05" w:rsidR="00427DD2" w:rsidRDefault="00FF4BE2" w:rsidP="00442D6A">
            <w:pPr>
              <w:spacing w:after="0" w:line="240" w:lineRule="auto"/>
              <w:jc w:val="both"/>
              <w:rPr>
                <w:rFonts w:ascii="Times New Roman" w:hAnsi="Times New Roman"/>
                <w:sz w:val="24"/>
                <w:szCs w:val="24"/>
              </w:rPr>
            </w:pPr>
            <w:r w:rsidRPr="00FF4BE2">
              <w:rPr>
                <w:rFonts w:ascii="Times New Roman" w:hAnsi="Times New Roman"/>
                <w:sz w:val="24"/>
                <w:szCs w:val="24"/>
              </w:rPr>
              <w:lastRenderedPageBreak/>
              <w:t xml:space="preserve">Išplečiama vertinimo apimtis įstatyminio pagrindo neturi, tačiau Vyriausybė savo iniciatyva ir vadovaudamasi Aštuonioliktosios Lietuvos Respublikos Vyriausybės programos nuostatų įgyvendinimo plano, patvirtinto Lietuvos Respublikos Vyriausybės 2021 m. kovo 15 d. nutarimu Nr. 155 „Dėl Aštuonioliktosios Lietuvos Respublikos Vyriausybės programos nuostatų įgyvendinimo plano patvirtinimo“ V misijos (prioriteto) </w:t>
            </w:r>
            <w:r w:rsidR="00A06207">
              <w:rPr>
                <w:rFonts w:ascii="Times New Roman" w:hAnsi="Times New Roman"/>
                <w:sz w:val="24"/>
                <w:szCs w:val="24"/>
              </w:rPr>
              <w:t>dalies „</w:t>
            </w:r>
            <w:r w:rsidRPr="00FF4BE2">
              <w:rPr>
                <w:rFonts w:ascii="Times New Roman" w:hAnsi="Times New Roman"/>
                <w:sz w:val="24"/>
                <w:szCs w:val="24"/>
              </w:rPr>
              <w:t>Misiją įgyvendinanči</w:t>
            </w:r>
            <w:r w:rsidR="00A06207">
              <w:rPr>
                <w:rFonts w:ascii="Times New Roman" w:hAnsi="Times New Roman"/>
                <w:sz w:val="24"/>
                <w:szCs w:val="24"/>
              </w:rPr>
              <w:t>ų Vyriausybės programos projektai (darbai), iniciatyvos (priemonės) ir veiksmai“</w:t>
            </w:r>
            <w:r w:rsidRPr="00FF4BE2">
              <w:rPr>
                <w:rFonts w:ascii="Times New Roman" w:hAnsi="Times New Roman"/>
                <w:sz w:val="24"/>
                <w:szCs w:val="24"/>
              </w:rPr>
              <w:t xml:space="preserve"> 5.3.3. papunktyje nustatytu įsipareigojimu „parengti ir priimti Vyriausybės nutarimą dėl Ūkio subjektų prisitaikymo prie reguliavimo išlaidų vertinimo metodikos patvirtinimo“ gal</w:t>
            </w:r>
            <w:r w:rsidR="00CE52F8">
              <w:rPr>
                <w:rFonts w:ascii="Times New Roman" w:hAnsi="Times New Roman"/>
                <w:sz w:val="24"/>
                <w:szCs w:val="24"/>
              </w:rPr>
              <w:t>i</w:t>
            </w:r>
            <w:r w:rsidRPr="00FF4BE2">
              <w:rPr>
                <w:rFonts w:ascii="Times New Roman" w:hAnsi="Times New Roman"/>
                <w:sz w:val="24"/>
                <w:szCs w:val="24"/>
              </w:rPr>
              <w:t xml:space="preserve"> pavesti pavaldiems subjektams skaičiuoti prisitaikymo prie reguliavimo išlaidas.</w:t>
            </w:r>
          </w:p>
          <w:p w14:paraId="1592B901" w14:textId="465E3856" w:rsidR="008D36FF" w:rsidRDefault="006A2F02" w:rsidP="00442D6A">
            <w:pPr>
              <w:spacing w:after="0" w:line="240" w:lineRule="auto"/>
              <w:jc w:val="both"/>
              <w:rPr>
                <w:rFonts w:ascii="Times New Roman" w:hAnsi="Times New Roman"/>
                <w:sz w:val="24"/>
                <w:szCs w:val="24"/>
              </w:rPr>
            </w:pPr>
            <w:r>
              <w:rPr>
                <w:rFonts w:ascii="Times New Roman" w:hAnsi="Times New Roman"/>
                <w:sz w:val="24"/>
                <w:szCs w:val="24"/>
              </w:rPr>
              <w:t xml:space="preserve">Taip pat pažymime, kad </w:t>
            </w:r>
            <w:r w:rsidR="00931D98" w:rsidRPr="00931D98">
              <w:rPr>
                <w:rFonts w:ascii="Times New Roman" w:hAnsi="Times New Roman"/>
                <w:sz w:val="24"/>
                <w:szCs w:val="24"/>
              </w:rPr>
              <w:t xml:space="preserve">Nutarimo projekto 1 punktu nauja redakcija išdėstyto nutarimo </w:t>
            </w:r>
            <w:r w:rsidR="00FF4BE2" w:rsidRPr="00FF4BE2">
              <w:rPr>
                <w:rFonts w:ascii="Times New Roman" w:hAnsi="Times New Roman"/>
                <w:sz w:val="24"/>
                <w:szCs w:val="24"/>
              </w:rPr>
              <w:t>2.1 papunktyje nurodomas vertinimas privalomas atlikti tik tokia apimtimi, kiek tai susiję su administracinės naštos pokyčiu. Šioje vietoje niekas nesikeičia – nuostata nėra nauja.</w:t>
            </w:r>
            <w:r w:rsidR="009F18F4">
              <w:rPr>
                <w:rFonts w:ascii="Times New Roman" w:hAnsi="Times New Roman"/>
                <w:sz w:val="24"/>
                <w:szCs w:val="24"/>
              </w:rPr>
              <w:t xml:space="preserve"> </w:t>
            </w:r>
            <w:r w:rsidR="00950E25">
              <w:rPr>
                <w:rFonts w:ascii="Times New Roman" w:hAnsi="Times New Roman"/>
                <w:sz w:val="24"/>
                <w:szCs w:val="24"/>
              </w:rPr>
              <w:t>Be to,</w:t>
            </w:r>
            <w:r w:rsidR="00BE76A9">
              <w:rPr>
                <w:rFonts w:ascii="Times New Roman" w:hAnsi="Times New Roman"/>
                <w:sz w:val="24"/>
                <w:szCs w:val="24"/>
              </w:rPr>
              <w:t xml:space="preserve"> Nutarimo projekto</w:t>
            </w:r>
            <w:r w:rsidR="00931D98">
              <w:rPr>
                <w:rFonts w:ascii="Times New Roman" w:hAnsi="Times New Roman"/>
                <w:sz w:val="24"/>
                <w:szCs w:val="24"/>
              </w:rPr>
              <w:t xml:space="preserve"> </w:t>
            </w:r>
            <w:r w:rsidR="00931D98" w:rsidRPr="00931D98">
              <w:rPr>
                <w:rFonts w:ascii="Times New Roman" w:hAnsi="Times New Roman"/>
                <w:sz w:val="24"/>
                <w:szCs w:val="24"/>
              </w:rPr>
              <w:t>1 punktu nauja redakcija išdėstyto nutarimo</w:t>
            </w:r>
            <w:r w:rsidR="00BE76A9">
              <w:rPr>
                <w:rFonts w:ascii="Times New Roman" w:hAnsi="Times New Roman"/>
                <w:sz w:val="24"/>
                <w:szCs w:val="24"/>
              </w:rPr>
              <w:t xml:space="preserve"> </w:t>
            </w:r>
            <w:r w:rsidR="00BE76A9" w:rsidRPr="00BE76A9">
              <w:rPr>
                <w:rFonts w:ascii="Times New Roman" w:hAnsi="Times New Roman"/>
                <w:sz w:val="24"/>
                <w:szCs w:val="24"/>
              </w:rPr>
              <w:t>3.1</w:t>
            </w:r>
            <w:r w:rsidR="00BE76A9">
              <w:rPr>
                <w:rFonts w:ascii="Times New Roman" w:hAnsi="Times New Roman"/>
                <w:sz w:val="24"/>
                <w:szCs w:val="24"/>
              </w:rPr>
              <w:t xml:space="preserve"> papunktyje</w:t>
            </w:r>
            <w:r w:rsidR="0005761B">
              <w:rPr>
                <w:rFonts w:ascii="Times New Roman" w:hAnsi="Times New Roman"/>
                <w:sz w:val="24"/>
                <w:szCs w:val="24"/>
              </w:rPr>
              <w:t xml:space="preserve"> </w:t>
            </w:r>
            <w:r w:rsidR="00BE76A9" w:rsidRPr="00BE76A9">
              <w:rPr>
                <w:rFonts w:ascii="Times New Roman" w:hAnsi="Times New Roman"/>
                <w:sz w:val="24"/>
                <w:szCs w:val="24"/>
              </w:rPr>
              <w:t>kiekvienai institucijai</w:t>
            </w:r>
            <w:r w:rsidR="001A0C45">
              <w:rPr>
                <w:rFonts w:ascii="Times New Roman" w:hAnsi="Times New Roman"/>
                <w:sz w:val="24"/>
                <w:szCs w:val="24"/>
              </w:rPr>
              <w:t xml:space="preserve"> nustatytas</w:t>
            </w:r>
            <w:r w:rsidR="00BE76A9" w:rsidRPr="00BE76A9">
              <w:rPr>
                <w:rFonts w:ascii="Times New Roman" w:hAnsi="Times New Roman"/>
                <w:sz w:val="24"/>
                <w:szCs w:val="24"/>
              </w:rPr>
              <w:t xml:space="preserve"> administracinės naštos ūkio subjektams mažinimo tiksl</w:t>
            </w:r>
            <w:r w:rsidR="001A0C45">
              <w:rPr>
                <w:rFonts w:ascii="Times New Roman" w:hAnsi="Times New Roman"/>
                <w:sz w:val="24"/>
                <w:szCs w:val="24"/>
              </w:rPr>
              <w:t xml:space="preserve">as yra </w:t>
            </w:r>
            <w:r w:rsidR="00181857">
              <w:rPr>
                <w:rFonts w:ascii="Times New Roman" w:hAnsi="Times New Roman"/>
                <w:sz w:val="24"/>
                <w:szCs w:val="24"/>
              </w:rPr>
              <w:t xml:space="preserve">toks pats, koks ir dabar galioja </w:t>
            </w:r>
            <w:r w:rsidR="00FF06E1">
              <w:rPr>
                <w:rFonts w:ascii="Times New Roman" w:hAnsi="Times New Roman"/>
                <w:sz w:val="24"/>
                <w:szCs w:val="24"/>
              </w:rPr>
              <w:t xml:space="preserve">ir yra nustatytas </w:t>
            </w:r>
            <w:r w:rsidR="009872A1" w:rsidRPr="009872A1">
              <w:rPr>
                <w:rFonts w:ascii="Times New Roman" w:hAnsi="Times New Roman"/>
                <w:sz w:val="24"/>
                <w:szCs w:val="24"/>
              </w:rPr>
              <w:t>Lietuvos Respublikos Vyriausybės 2012 m. sausio 11 d. nutarim</w:t>
            </w:r>
            <w:r w:rsidR="00180047">
              <w:rPr>
                <w:rFonts w:ascii="Times New Roman" w:hAnsi="Times New Roman"/>
                <w:sz w:val="24"/>
                <w:szCs w:val="24"/>
              </w:rPr>
              <w:t>o</w:t>
            </w:r>
            <w:r w:rsidR="009872A1" w:rsidRPr="009872A1">
              <w:rPr>
                <w:rFonts w:ascii="Times New Roman" w:hAnsi="Times New Roman"/>
                <w:sz w:val="24"/>
                <w:szCs w:val="24"/>
              </w:rPr>
              <w:t xml:space="preserve"> Nr. 4 „Dėl Administracinės naštos ūkio subjektams nustatymo metodikos patvirtinimo“</w:t>
            </w:r>
            <w:r w:rsidR="00513AA9">
              <w:rPr>
                <w:rFonts w:ascii="Times New Roman" w:hAnsi="Times New Roman"/>
                <w:sz w:val="24"/>
                <w:szCs w:val="24"/>
              </w:rPr>
              <w:t xml:space="preserve"> </w:t>
            </w:r>
            <w:r w:rsidR="00513AA9">
              <w:rPr>
                <w:rFonts w:ascii="Times New Roman" w:hAnsi="Times New Roman"/>
                <w:sz w:val="24"/>
                <w:szCs w:val="24"/>
                <w:lang w:val="en-US"/>
              </w:rPr>
              <w:t>2</w:t>
            </w:r>
            <w:r w:rsidR="00513AA9">
              <w:rPr>
                <w:rFonts w:ascii="Times New Roman" w:hAnsi="Times New Roman"/>
                <w:sz w:val="24"/>
                <w:szCs w:val="24"/>
                <w:vertAlign w:val="superscript"/>
                <w:lang w:val="en-US"/>
              </w:rPr>
              <w:t>1</w:t>
            </w:r>
            <w:r w:rsidR="00513AA9">
              <w:rPr>
                <w:rFonts w:ascii="Times New Roman" w:hAnsi="Times New Roman"/>
                <w:sz w:val="24"/>
                <w:szCs w:val="24"/>
              </w:rPr>
              <w:t xml:space="preserve"> punkt</w:t>
            </w:r>
            <w:r w:rsidR="00FF06E1">
              <w:rPr>
                <w:rFonts w:ascii="Times New Roman" w:hAnsi="Times New Roman"/>
                <w:sz w:val="24"/>
                <w:szCs w:val="24"/>
              </w:rPr>
              <w:t>e</w:t>
            </w:r>
            <w:r w:rsidR="00513AA9">
              <w:rPr>
                <w:rFonts w:ascii="Times New Roman" w:hAnsi="Times New Roman"/>
                <w:sz w:val="24"/>
                <w:szCs w:val="24"/>
              </w:rPr>
              <w:t>.</w:t>
            </w:r>
          </w:p>
          <w:p w14:paraId="67B157DF" w14:textId="579E0069" w:rsidR="00E73D79" w:rsidRDefault="00D67486" w:rsidP="00442D6A">
            <w:pPr>
              <w:spacing w:after="0" w:line="240" w:lineRule="auto"/>
              <w:jc w:val="both"/>
              <w:rPr>
                <w:rFonts w:ascii="Times New Roman" w:hAnsi="Times New Roman"/>
                <w:sz w:val="24"/>
                <w:szCs w:val="24"/>
              </w:rPr>
            </w:pPr>
            <w:r>
              <w:rPr>
                <w:rFonts w:ascii="Times New Roman" w:hAnsi="Times New Roman"/>
                <w:sz w:val="24"/>
                <w:szCs w:val="24"/>
              </w:rPr>
              <w:t>Taip pat paminėtina</w:t>
            </w:r>
            <w:r w:rsidR="00E73D79">
              <w:rPr>
                <w:rFonts w:ascii="Times New Roman" w:hAnsi="Times New Roman"/>
                <w:sz w:val="24"/>
                <w:szCs w:val="24"/>
              </w:rPr>
              <w:t xml:space="preserve">, kad </w:t>
            </w:r>
            <w:r w:rsidR="006911CA" w:rsidRPr="006911CA">
              <w:rPr>
                <w:rFonts w:ascii="Times New Roman" w:hAnsi="Times New Roman"/>
                <w:sz w:val="24"/>
                <w:szCs w:val="24"/>
              </w:rPr>
              <w:t>Aštuonioliktosios Lietuvos Respublikos Vyriausybės programos nuostatų įgyvendinimo plan</w:t>
            </w:r>
            <w:r w:rsidR="00E24C70">
              <w:rPr>
                <w:rFonts w:ascii="Times New Roman" w:hAnsi="Times New Roman"/>
                <w:sz w:val="24"/>
                <w:szCs w:val="24"/>
              </w:rPr>
              <w:t>e nustatyt</w:t>
            </w:r>
            <w:r w:rsidR="00832CF0">
              <w:rPr>
                <w:rFonts w:ascii="Times New Roman" w:hAnsi="Times New Roman"/>
                <w:sz w:val="24"/>
                <w:szCs w:val="24"/>
              </w:rPr>
              <w:t>o</w:t>
            </w:r>
            <w:r w:rsidR="00E24C70">
              <w:rPr>
                <w:rFonts w:ascii="Times New Roman" w:hAnsi="Times New Roman"/>
                <w:sz w:val="24"/>
                <w:szCs w:val="24"/>
              </w:rPr>
              <w:t xml:space="preserve"> įpareigojim</w:t>
            </w:r>
            <w:r w:rsidR="00832CF0">
              <w:rPr>
                <w:rFonts w:ascii="Times New Roman" w:hAnsi="Times New Roman"/>
                <w:sz w:val="24"/>
                <w:szCs w:val="24"/>
              </w:rPr>
              <w:t>o</w:t>
            </w:r>
            <w:r w:rsidR="00E24C70">
              <w:rPr>
                <w:rFonts w:ascii="Times New Roman" w:hAnsi="Times New Roman"/>
                <w:sz w:val="24"/>
                <w:szCs w:val="24"/>
              </w:rPr>
              <w:t xml:space="preserve"> </w:t>
            </w:r>
            <w:r w:rsidR="006911CA" w:rsidRPr="006911CA">
              <w:rPr>
                <w:rFonts w:ascii="Times New Roman" w:hAnsi="Times New Roman"/>
                <w:sz w:val="24"/>
                <w:szCs w:val="24"/>
              </w:rPr>
              <w:t>„parengti ir priimti Vyriausybės nutarimą dėl Ūkio subjektų prisitaikymo prie reguliavimo išlaidų vertinimo metodikos patvirtinimo“</w:t>
            </w:r>
            <w:r w:rsidR="00832CF0">
              <w:rPr>
                <w:rFonts w:ascii="Times New Roman" w:hAnsi="Times New Roman"/>
                <w:sz w:val="24"/>
                <w:szCs w:val="24"/>
              </w:rPr>
              <w:t xml:space="preserve"> tikslas buvo parengti metodiką, </w:t>
            </w:r>
            <w:r w:rsidR="0057119B">
              <w:rPr>
                <w:rFonts w:ascii="Times New Roman" w:hAnsi="Times New Roman"/>
                <w:sz w:val="24"/>
                <w:szCs w:val="24"/>
              </w:rPr>
              <w:t>kurią naudojant</w:t>
            </w:r>
            <w:r w:rsidR="00832CF0">
              <w:rPr>
                <w:rFonts w:ascii="Times New Roman" w:hAnsi="Times New Roman"/>
                <w:sz w:val="24"/>
                <w:szCs w:val="24"/>
              </w:rPr>
              <w:t xml:space="preserve"> būtų vertinama ne tik teisės akta</w:t>
            </w:r>
            <w:r w:rsidR="00505D2E">
              <w:rPr>
                <w:rFonts w:ascii="Times New Roman" w:hAnsi="Times New Roman"/>
                <w:sz w:val="24"/>
                <w:szCs w:val="24"/>
              </w:rPr>
              <w:t>is sukeliama ar teisės aktų projektais galima sukelti administracinė našta ūkio subjektams, bet ir ūkio subjektų prisitaikymo prie reguliavimo išlaidos</w:t>
            </w:r>
            <w:r w:rsidR="00C8357A">
              <w:rPr>
                <w:rFonts w:ascii="Times New Roman" w:hAnsi="Times New Roman"/>
                <w:sz w:val="24"/>
                <w:szCs w:val="24"/>
              </w:rPr>
              <w:t xml:space="preserve"> ir metodika būtų taikom</w:t>
            </w:r>
            <w:r w:rsidR="009539F9">
              <w:rPr>
                <w:rFonts w:ascii="Times New Roman" w:hAnsi="Times New Roman"/>
                <w:sz w:val="24"/>
                <w:szCs w:val="24"/>
              </w:rPr>
              <w:t xml:space="preserve">a atitinkamai toms </w:t>
            </w:r>
            <w:r w:rsidR="009539F9">
              <w:rPr>
                <w:rFonts w:ascii="Times New Roman" w:hAnsi="Times New Roman"/>
                <w:sz w:val="24"/>
                <w:szCs w:val="24"/>
              </w:rPr>
              <w:lastRenderedPageBreak/>
              <w:t xml:space="preserve">pačioms valstybės institucijoms kaip ir pagal </w:t>
            </w:r>
            <w:r w:rsidR="009539F9" w:rsidRPr="009872A1">
              <w:rPr>
                <w:rFonts w:ascii="Times New Roman" w:hAnsi="Times New Roman"/>
                <w:sz w:val="24"/>
                <w:szCs w:val="24"/>
              </w:rPr>
              <w:t>Lietuvos Respublikos Vyriausybės 2012 m. sausio 11 d. nutarim</w:t>
            </w:r>
            <w:r w:rsidR="009539F9">
              <w:rPr>
                <w:rFonts w:ascii="Times New Roman" w:hAnsi="Times New Roman"/>
                <w:sz w:val="24"/>
                <w:szCs w:val="24"/>
              </w:rPr>
              <w:t>ą</w:t>
            </w:r>
            <w:r w:rsidR="009539F9" w:rsidRPr="009872A1">
              <w:rPr>
                <w:rFonts w:ascii="Times New Roman" w:hAnsi="Times New Roman"/>
                <w:sz w:val="24"/>
                <w:szCs w:val="24"/>
              </w:rPr>
              <w:t xml:space="preserve"> Nr. 4 „Dėl Administracinės naštos ūkio subjektams nustatymo metodikos patvirtinimo“</w:t>
            </w:r>
            <w:r w:rsidR="009539F9">
              <w:rPr>
                <w:rFonts w:ascii="Times New Roman" w:hAnsi="Times New Roman"/>
                <w:sz w:val="24"/>
                <w:szCs w:val="24"/>
              </w:rPr>
              <w:t>.</w:t>
            </w:r>
          </w:p>
          <w:p w14:paraId="79AF14CD" w14:textId="0EB01DF7" w:rsidR="00956153" w:rsidRDefault="00956153" w:rsidP="00956153">
            <w:pPr>
              <w:spacing w:after="0" w:line="240" w:lineRule="auto"/>
              <w:jc w:val="both"/>
              <w:rPr>
                <w:rFonts w:ascii="Times New Roman" w:hAnsi="Times New Roman"/>
                <w:sz w:val="24"/>
                <w:szCs w:val="24"/>
              </w:rPr>
            </w:pPr>
            <w:r>
              <w:rPr>
                <w:rFonts w:ascii="Times New Roman" w:hAnsi="Times New Roman"/>
                <w:sz w:val="24"/>
                <w:szCs w:val="24"/>
              </w:rPr>
              <w:t>Atsižvelgiant į šią pastabą, siūloma ne pripažinti netekusiu galios</w:t>
            </w:r>
            <w:r w:rsidR="0057119B">
              <w:rPr>
                <w:rFonts w:ascii="Times New Roman" w:hAnsi="Times New Roman"/>
                <w:sz w:val="24"/>
                <w:szCs w:val="24"/>
              </w:rPr>
              <w:t xml:space="preserve"> </w:t>
            </w:r>
            <w:r w:rsidRPr="00FB56CD">
              <w:rPr>
                <w:rFonts w:ascii="Times New Roman" w:hAnsi="Times New Roman"/>
                <w:sz w:val="24"/>
                <w:szCs w:val="24"/>
              </w:rPr>
              <w:t>Lietuvos Respublikos Vyriausybės 2012 m. sausio 11 d. nutarim</w:t>
            </w:r>
            <w:r>
              <w:rPr>
                <w:rFonts w:ascii="Times New Roman" w:hAnsi="Times New Roman"/>
                <w:sz w:val="24"/>
                <w:szCs w:val="24"/>
              </w:rPr>
              <w:t>ą</w:t>
            </w:r>
            <w:r w:rsidRPr="00FB56CD">
              <w:rPr>
                <w:rFonts w:ascii="Times New Roman" w:hAnsi="Times New Roman"/>
                <w:sz w:val="24"/>
                <w:szCs w:val="24"/>
              </w:rPr>
              <w:t xml:space="preserve"> Nr. 4 „Dėl Administracinės naštos ūkio subjektams nustatymo metodikos patvirtinimo“</w:t>
            </w:r>
            <w:r>
              <w:rPr>
                <w:rFonts w:ascii="Times New Roman" w:hAnsi="Times New Roman"/>
                <w:sz w:val="24"/>
                <w:szCs w:val="24"/>
              </w:rPr>
              <w:t>, o jį pakeisti, taip pat papildyti Metodikos pavadinimą, kad būtų aišku, kad pagal ją galima vertinti ir tik administracinę naštą ūkio subjektams, t. y. “</w:t>
            </w:r>
            <w:r w:rsidRPr="00606369">
              <w:rPr>
                <w:rFonts w:ascii="Times New Roman" w:hAnsi="Times New Roman"/>
                <w:sz w:val="24"/>
                <w:szCs w:val="24"/>
              </w:rPr>
              <w:t xml:space="preserve">Ūkio subjektų </w:t>
            </w:r>
            <w:r w:rsidRPr="00CC44DF">
              <w:rPr>
                <w:rFonts w:ascii="Times New Roman" w:hAnsi="Times New Roman"/>
                <w:b/>
                <w:bCs/>
                <w:sz w:val="24"/>
                <w:szCs w:val="24"/>
              </w:rPr>
              <w:t>administracinės naštos ir</w:t>
            </w:r>
            <w:r w:rsidRPr="00606369">
              <w:rPr>
                <w:rFonts w:ascii="Times New Roman" w:hAnsi="Times New Roman"/>
                <w:sz w:val="24"/>
                <w:szCs w:val="24"/>
              </w:rPr>
              <w:t xml:space="preserve"> prisitaikymo prie reguliavimo išlaidų vertinimo metodik</w:t>
            </w:r>
            <w:r>
              <w:rPr>
                <w:rFonts w:ascii="Times New Roman" w:hAnsi="Times New Roman"/>
                <w:sz w:val="24"/>
                <w:szCs w:val="24"/>
              </w:rPr>
              <w:t>a“.</w:t>
            </w:r>
          </w:p>
          <w:p w14:paraId="77F1ECD2" w14:textId="77777777" w:rsidR="00A525E1" w:rsidRDefault="00A525E1" w:rsidP="00442D6A">
            <w:pPr>
              <w:spacing w:after="0" w:line="240" w:lineRule="auto"/>
              <w:jc w:val="both"/>
              <w:rPr>
                <w:rFonts w:ascii="Times New Roman" w:hAnsi="Times New Roman"/>
                <w:sz w:val="24"/>
                <w:szCs w:val="24"/>
              </w:rPr>
            </w:pPr>
          </w:p>
          <w:p w14:paraId="67E1018D" w14:textId="509E5098" w:rsidR="00D67486" w:rsidRDefault="00D67486" w:rsidP="00442D6A">
            <w:pPr>
              <w:spacing w:after="0" w:line="240" w:lineRule="auto"/>
              <w:jc w:val="both"/>
              <w:rPr>
                <w:rFonts w:ascii="Times New Roman" w:hAnsi="Times New Roman"/>
                <w:sz w:val="24"/>
                <w:szCs w:val="24"/>
              </w:rPr>
            </w:pPr>
            <w:r>
              <w:rPr>
                <w:rFonts w:ascii="Times New Roman" w:hAnsi="Times New Roman"/>
                <w:sz w:val="24"/>
                <w:szCs w:val="24"/>
              </w:rPr>
              <w:t xml:space="preserve">Be to, pažymėtina, kad </w:t>
            </w:r>
            <w:r w:rsidR="00DC5534">
              <w:rPr>
                <w:rFonts w:ascii="Times New Roman" w:hAnsi="Times New Roman"/>
                <w:sz w:val="24"/>
                <w:szCs w:val="24"/>
              </w:rPr>
              <w:t xml:space="preserve">prisitaikymo prie reguliavimo išlaidos, kurias </w:t>
            </w:r>
            <w:r w:rsidR="00D54655">
              <w:rPr>
                <w:rFonts w:ascii="Times New Roman" w:hAnsi="Times New Roman"/>
                <w:sz w:val="24"/>
                <w:szCs w:val="24"/>
              </w:rPr>
              <w:t>reikės vertinti, yra būtent tos išlaidos, kurias ūkio subjektai patiria įgyvendinant tuos reikalavimus, kurių neįgyvendintų, je</w:t>
            </w:r>
            <w:r w:rsidR="00FB124E">
              <w:rPr>
                <w:rFonts w:ascii="Times New Roman" w:hAnsi="Times New Roman"/>
                <w:sz w:val="24"/>
                <w:szCs w:val="24"/>
              </w:rPr>
              <w:t xml:space="preserve">igu nebūtų įtvirtinti teisės aktuose. Tai reiškia, kad jeigu </w:t>
            </w:r>
            <w:r w:rsidR="007C7B24">
              <w:rPr>
                <w:rFonts w:ascii="Times New Roman" w:hAnsi="Times New Roman"/>
                <w:sz w:val="24"/>
                <w:szCs w:val="24"/>
              </w:rPr>
              <w:t>yra įtvirtintas reikalavimas atitinkamai įrengt</w:t>
            </w:r>
            <w:r w:rsidR="007C7778">
              <w:rPr>
                <w:rFonts w:ascii="Times New Roman" w:hAnsi="Times New Roman"/>
                <w:sz w:val="24"/>
                <w:szCs w:val="24"/>
              </w:rPr>
              <w:t>i</w:t>
            </w:r>
            <w:r w:rsidR="007C7B24">
              <w:rPr>
                <w:rFonts w:ascii="Times New Roman" w:hAnsi="Times New Roman"/>
                <w:sz w:val="24"/>
                <w:szCs w:val="24"/>
              </w:rPr>
              <w:t xml:space="preserve"> patalpas</w:t>
            </w:r>
            <w:r w:rsidR="007C7778">
              <w:rPr>
                <w:rFonts w:ascii="Times New Roman" w:hAnsi="Times New Roman"/>
                <w:sz w:val="24"/>
                <w:szCs w:val="24"/>
              </w:rPr>
              <w:t xml:space="preserve">, pavyzdžiui, </w:t>
            </w:r>
            <w:r w:rsidR="00B45775">
              <w:rPr>
                <w:rFonts w:ascii="Times New Roman" w:hAnsi="Times New Roman"/>
                <w:sz w:val="24"/>
                <w:szCs w:val="24"/>
              </w:rPr>
              <w:t>prekybos centre žindymo kambarį</w:t>
            </w:r>
            <w:r w:rsidR="008C7329">
              <w:rPr>
                <w:rFonts w:ascii="Times New Roman" w:hAnsi="Times New Roman"/>
                <w:sz w:val="24"/>
                <w:szCs w:val="24"/>
              </w:rPr>
              <w:t>, vadinasi išlaidos, susijusios su tokio kambario įrengimu laikytinos prisitaikymo prie reguliavimo išlaidomis, ku</w:t>
            </w:r>
            <w:r w:rsidR="00F6658E">
              <w:rPr>
                <w:rFonts w:ascii="Times New Roman" w:hAnsi="Times New Roman"/>
                <w:sz w:val="24"/>
                <w:szCs w:val="24"/>
              </w:rPr>
              <w:t>rios turi būti įvertin</w:t>
            </w:r>
            <w:r w:rsidR="00E5198B">
              <w:rPr>
                <w:rFonts w:ascii="Times New Roman" w:hAnsi="Times New Roman"/>
                <w:sz w:val="24"/>
                <w:szCs w:val="24"/>
              </w:rPr>
              <w:t>to</w:t>
            </w:r>
            <w:r w:rsidR="00F6658E">
              <w:rPr>
                <w:rFonts w:ascii="Times New Roman" w:hAnsi="Times New Roman"/>
                <w:sz w:val="24"/>
                <w:szCs w:val="24"/>
              </w:rPr>
              <w:t>s. Ūkio subjektų patiriamos išlaidos patalpoms įrengti</w:t>
            </w:r>
            <w:r w:rsidR="006C0A1F">
              <w:rPr>
                <w:rFonts w:ascii="Times New Roman" w:hAnsi="Times New Roman"/>
                <w:sz w:val="24"/>
                <w:szCs w:val="24"/>
              </w:rPr>
              <w:t xml:space="preserve"> ar joms išsinuomoti</w:t>
            </w:r>
            <w:r w:rsidR="00F6658E">
              <w:rPr>
                <w:rFonts w:ascii="Times New Roman" w:hAnsi="Times New Roman"/>
                <w:sz w:val="24"/>
                <w:szCs w:val="24"/>
              </w:rPr>
              <w:t>, kad galėtų vykdyti savo ūkinę komercinę veiklą</w:t>
            </w:r>
            <w:r w:rsidR="00BB5C81">
              <w:rPr>
                <w:rFonts w:ascii="Times New Roman" w:hAnsi="Times New Roman"/>
                <w:sz w:val="24"/>
                <w:szCs w:val="24"/>
              </w:rPr>
              <w:t>, nebus priskiriamos prie prisitaikymo prie reguliavimo išlaidų, kadangi ūkio subjektas vis tiek turėtų įsirengti</w:t>
            </w:r>
            <w:r w:rsidR="007F0516">
              <w:rPr>
                <w:rFonts w:ascii="Times New Roman" w:hAnsi="Times New Roman"/>
                <w:sz w:val="24"/>
                <w:szCs w:val="24"/>
              </w:rPr>
              <w:t xml:space="preserve"> arba išsinuomoti</w:t>
            </w:r>
            <w:r w:rsidR="00BB5C81">
              <w:rPr>
                <w:rFonts w:ascii="Times New Roman" w:hAnsi="Times New Roman"/>
                <w:sz w:val="24"/>
                <w:szCs w:val="24"/>
              </w:rPr>
              <w:t xml:space="preserve"> patalpas</w:t>
            </w:r>
            <w:r w:rsidR="006C0A1F">
              <w:rPr>
                <w:rFonts w:ascii="Times New Roman" w:hAnsi="Times New Roman"/>
                <w:sz w:val="24"/>
                <w:szCs w:val="24"/>
              </w:rPr>
              <w:t>, kuriose vykdys veiklą.</w:t>
            </w:r>
            <w:r w:rsidR="00047A7B">
              <w:rPr>
                <w:rFonts w:ascii="Times New Roman" w:hAnsi="Times New Roman"/>
                <w:sz w:val="24"/>
                <w:szCs w:val="24"/>
              </w:rPr>
              <w:t xml:space="preserve"> Tačiau, jeigu</w:t>
            </w:r>
            <w:r w:rsidR="00720782">
              <w:rPr>
                <w:rFonts w:ascii="Times New Roman" w:hAnsi="Times New Roman"/>
                <w:sz w:val="24"/>
                <w:szCs w:val="24"/>
              </w:rPr>
              <w:t xml:space="preserve"> teisės akte įtvirtintas reikalavimas</w:t>
            </w:r>
            <w:r w:rsidR="001A6091">
              <w:rPr>
                <w:rFonts w:ascii="Times New Roman" w:hAnsi="Times New Roman"/>
                <w:sz w:val="24"/>
                <w:szCs w:val="24"/>
              </w:rPr>
              <w:t>, pavyzdžiui,</w:t>
            </w:r>
            <w:r w:rsidR="00720782">
              <w:rPr>
                <w:rFonts w:ascii="Times New Roman" w:hAnsi="Times New Roman"/>
                <w:sz w:val="24"/>
                <w:szCs w:val="24"/>
              </w:rPr>
              <w:t xml:space="preserve"> padengti patalpos sienas tam tikra konkrečia izoliacine ar pan. medžiaga, k</w:t>
            </w:r>
            <w:r w:rsidR="001A6091">
              <w:rPr>
                <w:rFonts w:ascii="Times New Roman" w:hAnsi="Times New Roman"/>
                <w:sz w:val="24"/>
                <w:szCs w:val="24"/>
              </w:rPr>
              <w:t xml:space="preserve">ad </w:t>
            </w:r>
            <w:r w:rsidR="00A316A0">
              <w:rPr>
                <w:rFonts w:ascii="Times New Roman" w:hAnsi="Times New Roman"/>
                <w:sz w:val="24"/>
                <w:szCs w:val="24"/>
              </w:rPr>
              <w:t xml:space="preserve">galėtų vykdyti tam tikrą veiklą, tuomet išlaidos tokių medžiagų įsigijimui ir </w:t>
            </w:r>
            <w:r w:rsidR="00521A3C">
              <w:rPr>
                <w:rFonts w:ascii="Times New Roman" w:hAnsi="Times New Roman"/>
                <w:sz w:val="24"/>
                <w:szCs w:val="24"/>
              </w:rPr>
              <w:t xml:space="preserve">šių konkrečių </w:t>
            </w:r>
            <w:r w:rsidR="00A316A0">
              <w:rPr>
                <w:rFonts w:ascii="Times New Roman" w:hAnsi="Times New Roman"/>
                <w:sz w:val="24"/>
                <w:szCs w:val="24"/>
              </w:rPr>
              <w:t>darbų atlikimui turėtų būti vertinamos kaip prisitaikymo prie reguliavimo išlaidos.</w:t>
            </w:r>
            <w:r w:rsidR="00B8766B">
              <w:rPr>
                <w:rFonts w:ascii="Times New Roman" w:hAnsi="Times New Roman"/>
                <w:sz w:val="24"/>
                <w:szCs w:val="24"/>
              </w:rPr>
              <w:t xml:space="preserve"> Detal</w:t>
            </w:r>
            <w:r w:rsidR="00A062E0">
              <w:rPr>
                <w:rFonts w:ascii="Times New Roman" w:hAnsi="Times New Roman"/>
                <w:sz w:val="24"/>
                <w:szCs w:val="24"/>
              </w:rPr>
              <w:t>esnė informacija, kokias išlaidas vertinti, o kokių ne bus pateikta Metodikos taikymo Gairėse.</w:t>
            </w:r>
          </w:p>
          <w:p w14:paraId="1E7442FD" w14:textId="77777777" w:rsidR="00A062E0" w:rsidRDefault="00A062E0" w:rsidP="00442D6A">
            <w:pPr>
              <w:spacing w:after="0" w:line="240" w:lineRule="auto"/>
              <w:jc w:val="both"/>
              <w:rPr>
                <w:rFonts w:ascii="Times New Roman" w:hAnsi="Times New Roman"/>
                <w:sz w:val="24"/>
                <w:szCs w:val="24"/>
              </w:rPr>
            </w:pPr>
          </w:p>
          <w:p w14:paraId="02D8D426" w14:textId="31C5301F" w:rsidR="00751B6C" w:rsidRPr="00221337" w:rsidRDefault="00221337" w:rsidP="00442D6A">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Taip pat Ekonomikos ir inovacijų ministerijos nuomone, Metodikos </w:t>
            </w:r>
            <w:r>
              <w:rPr>
                <w:rFonts w:ascii="Times New Roman" w:hAnsi="Times New Roman"/>
                <w:sz w:val="24"/>
                <w:szCs w:val="24"/>
                <w:lang w:val="en-US"/>
              </w:rPr>
              <w:t>4</w:t>
            </w:r>
            <w:r>
              <w:rPr>
                <w:rFonts w:ascii="Times New Roman" w:hAnsi="Times New Roman"/>
                <w:sz w:val="24"/>
                <w:szCs w:val="24"/>
              </w:rPr>
              <w:t xml:space="preserve"> priede </w:t>
            </w:r>
            <w:r w:rsidR="00C76B97">
              <w:rPr>
                <w:rFonts w:ascii="Times New Roman" w:hAnsi="Times New Roman"/>
                <w:sz w:val="24"/>
                <w:szCs w:val="24"/>
              </w:rPr>
              <w:t>pateikt</w:t>
            </w:r>
            <w:r w:rsidR="0019371F">
              <w:rPr>
                <w:rFonts w:ascii="Times New Roman" w:hAnsi="Times New Roman"/>
                <w:sz w:val="24"/>
                <w:szCs w:val="24"/>
              </w:rPr>
              <w:t>as</w:t>
            </w:r>
            <w:r w:rsidR="00C76B97">
              <w:rPr>
                <w:rFonts w:ascii="Times New Roman" w:hAnsi="Times New Roman"/>
                <w:sz w:val="24"/>
                <w:szCs w:val="24"/>
              </w:rPr>
              <w:t xml:space="preserve"> </w:t>
            </w:r>
            <w:r w:rsidR="00C76B97" w:rsidRPr="00C76B97">
              <w:rPr>
                <w:rFonts w:ascii="Times New Roman" w:hAnsi="Times New Roman"/>
                <w:sz w:val="24"/>
                <w:szCs w:val="24"/>
              </w:rPr>
              <w:t>prisitaikymo prie reguliavimo išlaidų, nustatomų pagal kategorijas, pavyzd</w:t>
            </w:r>
            <w:r w:rsidR="0019371F">
              <w:rPr>
                <w:rFonts w:ascii="Times New Roman" w:hAnsi="Times New Roman"/>
                <w:sz w:val="24"/>
                <w:szCs w:val="24"/>
              </w:rPr>
              <w:t>inis sąrašas</w:t>
            </w:r>
            <w:r w:rsidR="00C76B97">
              <w:rPr>
                <w:rFonts w:ascii="Times New Roman" w:hAnsi="Times New Roman"/>
                <w:sz w:val="24"/>
                <w:szCs w:val="24"/>
              </w:rPr>
              <w:t xml:space="preserve"> negali būti baigtini</w:t>
            </w:r>
            <w:r w:rsidR="0019371F">
              <w:rPr>
                <w:rFonts w:ascii="Times New Roman" w:hAnsi="Times New Roman"/>
                <w:sz w:val="24"/>
                <w:szCs w:val="24"/>
              </w:rPr>
              <w:t>s</w:t>
            </w:r>
            <w:r w:rsidR="00FA1C50">
              <w:rPr>
                <w:rFonts w:ascii="Times New Roman" w:hAnsi="Times New Roman"/>
                <w:sz w:val="24"/>
                <w:szCs w:val="24"/>
              </w:rPr>
              <w:t xml:space="preserve"> dėl </w:t>
            </w:r>
            <w:r w:rsidR="00FA1C50" w:rsidRPr="00FA1C50">
              <w:rPr>
                <w:rFonts w:ascii="Times New Roman" w:hAnsi="Times New Roman"/>
                <w:sz w:val="24"/>
                <w:szCs w:val="24"/>
              </w:rPr>
              <w:t>skirtingų teisės aktais reguliuojamų sričių ir jų specifik</w:t>
            </w:r>
            <w:r w:rsidR="00F554F2">
              <w:rPr>
                <w:rFonts w:ascii="Times New Roman" w:hAnsi="Times New Roman"/>
                <w:sz w:val="24"/>
                <w:szCs w:val="24"/>
              </w:rPr>
              <w:t>os.</w:t>
            </w:r>
            <w:r w:rsidR="0064552D">
              <w:rPr>
                <w:rFonts w:ascii="Times New Roman" w:hAnsi="Times New Roman"/>
                <w:sz w:val="24"/>
                <w:szCs w:val="24"/>
              </w:rPr>
              <w:t xml:space="preserve"> Šio sąrašo</w:t>
            </w:r>
            <w:r w:rsidR="00903584">
              <w:rPr>
                <w:rFonts w:ascii="Times New Roman" w:hAnsi="Times New Roman"/>
                <w:sz w:val="24"/>
                <w:szCs w:val="24"/>
              </w:rPr>
              <w:t xml:space="preserve"> </w:t>
            </w:r>
            <w:r w:rsidR="00DF0ECC">
              <w:rPr>
                <w:rFonts w:ascii="Times New Roman" w:hAnsi="Times New Roman"/>
                <w:sz w:val="24"/>
                <w:szCs w:val="24"/>
              </w:rPr>
              <w:t>paskirtis palengvinti teisės aktų projektų rengėjam</w:t>
            </w:r>
            <w:r w:rsidR="00AF58FD">
              <w:rPr>
                <w:rFonts w:ascii="Times New Roman" w:hAnsi="Times New Roman"/>
                <w:sz w:val="24"/>
                <w:szCs w:val="24"/>
              </w:rPr>
              <w:t>s darbą, kad būtų lengviau atpažinti galimus atvejus, kada kokias išlaidas priskirti prie prisitaikymo prie reguliavimo išlaidų. Atsižvelgiant į tai, manytina, kad nėra tikslingi</w:t>
            </w:r>
            <w:r w:rsidR="00C60E71">
              <w:rPr>
                <w:rFonts w:ascii="Times New Roman" w:hAnsi="Times New Roman"/>
                <w:sz w:val="24"/>
                <w:szCs w:val="24"/>
              </w:rPr>
              <w:t xml:space="preserve"> keisti Metodikos </w:t>
            </w:r>
            <w:r w:rsidR="00C60E71">
              <w:rPr>
                <w:rFonts w:ascii="Times New Roman" w:hAnsi="Times New Roman"/>
                <w:sz w:val="24"/>
                <w:szCs w:val="24"/>
                <w:lang w:val="en-US"/>
              </w:rPr>
              <w:t>4</w:t>
            </w:r>
            <w:r w:rsidR="00C60E71">
              <w:rPr>
                <w:rFonts w:ascii="Times New Roman" w:hAnsi="Times New Roman"/>
                <w:sz w:val="24"/>
                <w:szCs w:val="24"/>
              </w:rPr>
              <w:t xml:space="preserve"> priedo ir įtvirtinti galutinį tokių išlaidų sąrašą.</w:t>
            </w:r>
            <w:r w:rsidR="00CE6C58">
              <w:rPr>
                <w:rFonts w:ascii="Times New Roman" w:hAnsi="Times New Roman"/>
                <w:sz w:val="24"/>
                <w:szCs w:val="24"/>
              </w:rPr>
              <w:t xml:space="preserve"> </w:t>
            </w:r>
            <w:r w:rsidR="00751B6C" w:rsidRPr="00751B6C">
              <w:rPr>
                <w:rFonts w:ascii="Times New Roman" w:hAnsi="Times New Roman"/>
                <w:sz w:val="24"/>
                <w:szCs w:val="24"/>
              </w:rPr>
              <w:t xml:space="preserve">Išsamesnis sąrašas, kaip ir konkretūs išlaidų pavyzdžiai, bus pateikti </w:t>
            </w:r>
            <w:r w:rsidR="00CE6C58">
              <w:rPr>
                <w:rFonts w:ascii="Times New Roman" w:hAnsi="Times New Roman"/>
                <w:sz w:val="24"/>
                <w:szCs w:val="24"/>
              </w:rPr>
              <w:t>M</w:t>
            </w:r>
            <w:r w:rsidR="00751B6C" w:rsidRPr="00751B6C">
              <w:rPr>
                <w:rFonts w:ascii="Times New Roman" w:hAnsi="Times New Roman"/>
                <w:sz w:val="24"/>
                <w:szCs w:val="24"/>
              </w:rPr>
              <w:t xml:space="preserve">etodikos taikymo </w:t>
            </w:r>
            <w:r w:rsidR="00CE6C58">
              <w:rPr>
                <w:rFonts w:ascii="Times New Roman" w:hAnsi="Times New Roman"/>
                <w:sz w:val="24"/>
                <w:szCs w:val="24"/>
              </w:rPr>
              <w:t>G</w:t>
            </w:r>
            <w:r w:rsidR="00751B6C" w:rsidRPr="00751B6C">
              <w:rPr>
                <w:rFonts w:ascii="Times New Roman" w:hAnsi="Times New Roman"/>
                <w:sz w:val="24"/>
                <w:szCs w:val="24"/>
              </w:rPr>
              <w:t>airėse, kurios, atsižvelgiant į praktikoje kylančias problemas ir klausimus, bus nuolat tobulinamos ir pildomos.</w:t>
            </w:r>
          </w:p>
        </w:tc>
      </w:tr>
      <w:tr w:rsidR="00527983" w:rsidRPr="0009474E" w14:paraId="45BCC114" w14:textId="77777777" w:rsidTr="00A1568F">
        <w:trPr>
          <w:trHeight w:val="567"/>
        </w:trPr>
        <w:tc>
          <w:tcPr>
            <w:tcW w:w="182" w:type="pct"/>
            <w:vMerge/>
            <w:tcBorders>
              <w:left w:val="single" w:sz="4" w:space="0" w:color="auto"/>
              <w:right w:val="single" w:sz="4" w:space="0" w:color="auto"/>
            </w:tcBorders>
            <w:shd w:val="clear" w:color="auto" w:fill="auto"/>
          </w:tcPr>
          <w:p w14:paraId="5D0DDAEF" w14:textId="77777777" w:rsidR="00527983" w:rsidRDefault="00527983" w:rsidP="00442D6A">
            <w:pPr>
              <w:pStyle w:val="Sraopastraipa"/>
              <w:numPr>
                <w:ilvl w:val="0"/>
                <w:numId w:val="6"/>
              </w:numPr>
              <w:tabs>
                <w:tab w:val="left" w:pos="360"/>
              </w:tabs>
              <w:autoSpaceDE w:val="0"/>
              <w:autoSpaceDN w:val="0"/>
              <w:adjustRightInd w:val="0"/>
              <w:spacing w:after="0"/>
              <w:ind w:left="0"/>
              <w:rPr>
                <w:rFonts w:ascii="Times New Roman" w:hAnsi="Times New Roman"/>
                <w:color w:val="000000"/>
                <w:sz w:val="24"/>
                <w:szCs w:val="24"/>
              </w:rPr>
            </w:pPr>
          </w:p>
        </w:tc>
        <w:tc>
          <w:tcPr>
            <w:tcW w:w="628" w:type="pct"/>
            <w:vMerge/>
            <w:tcBorders>
              <w:left w:val="single" w:sz="4" w:space="0" w:color="auto"/>
              <w:right w:val="single" w:sz="4" w:space="0" w:color="auto"/>
            </w:tcBorders>
            <w:shd w:val="clear" w:color="auto" w:fill="auto"/>
          </w:tcPr>
          <w:p w14:paraId="7794F696" w14:textId="77777777" w:rsidR="00527983" w:rsidRDefault="00527983" w:rsidP="00442D6A">
            <w:pPr>
              <w:autoSpaceDE w:val="0"/>
              <w:autoSpaceDN w:val="0"/>
              <w:adjustRightInd w:val="0"/>
              <w:spacing w:after="0" w:line="240" w:lineRule="auto"/>
              <w:rPr>
                <w:rFonts w:ascii="Times New Roman" w:hAnsi="Times New Roman"/>
                <w:color w:val="000000"/>
                <w:sz w:val="24"/>
                <w:szCs w:val="24"/>
              </w:rPr>
            </w:pPr>
          </w:p>
        </w:tc>
        <w:tc>
          <w:tcPr>
            <w:tcW w:w="2054" w:type="pct"/>
            <w:tcBorders>
              <w:top w:val="single" w:sz="4" w:space="0" w:color="auto"/>
              <w:left w:val="single" w:sz="4" w:space="0" w:color="auto"/>
              <w:right w:val="single" w:sz="4" w:space="0" w:color="auto"/>
            </w:tcBorders>
            <w:shd w:val="clear" w:color="auto" w:fill="auto"/>
          </w:tcPr>
          <w:p w14:paraId="28C4CAAF" w14:textId="7E4460AC" w:rsidR="00527983" w:rsidRDefault="00527983" w:rsidP="00985EB4">
            <w:pPr>
              <w:pStyle w:val="AssecoParagraphNormalFirstLine"/>
              <w:tabs>
                <w:tab w:val="left" w:pos="325"/>
              </w:tabs>
              <w:ind w:firstLine="41"/>
              <w:rPr>
                <w:rFonts w:ascii="Times New Roman" w:hAnsi="Times New Roman"/>
                <w:sz w:val="24"/>
                <w:szCs w:val="24"/>
              </w:rPr>
            </w:pPr>
            <w:r w:rsidRPr="009626D6">
              <w:rPr>
                <w:rFonts w:ascii="Times New Roman" w:hAnsi="Times New Roman"/>
                <w:sz w:val="24"/>
                <w:szCs w:val="24"/>
              </w:rPr>
              <w:t>6.</w:t>
            </w:r>
            <w:r w:rsidRPr="009626D6">
              <w:rPr>
                <w:rFonts w:ascii="Times New Roman" w:hAnsi="Times New Roman"/>
                <w:sz w:val="24"/>
                <w:szCs w:val="24"/>
              </w:rPr>
              <w:tab/>
              <w:t>Projekto 3 punkte nustatomas tikslas kiekvienai institucijai – siekti, kad administracinės naštos ir prisitaikymo prie reguliavimo išlaidų skaičius išliktų nepakitęs arba mažėtų. Visgi abejotina, ar institucijos savo veiksmais visais atvejais galėtų daryti įtaką siekdamos šių tikslų, nes kai kuriais atvejais naujas ar keičiamas reguliavimas (taip pat ir lemiantis didesnę administracinę naštą ar prisitaikymo išlaidas) nepriklauso nuo institucijos sprendimų, pavyzdžiui, tarptautinių įsipareigojimų įgyvendinimas ar politiniai sprendimai. Taip pat pastebėtina, kad kai kuriais atvejais papildomi įpareigojimai, net ir sukeliantys papildomą naštą ar išlaidas, yra pagrįsti ir net būtini, ypač kai jie susiję su saugumu, sveikata, viešaisiais interesais ir pan. Manytina, kad institucijoms nustatomi tikslai visais atvejais siekti administracinės naštos ir prisitaikymo išlaidų mažinimo ne visada atitinka valstybės interesus ir siekį užtikrinti piliečių saugumą, sveikatą, viešąją tvarką ir kt. Taip pat siūlytina įvertinti galimybę vertinti tik nacionalinėmis priemonėmis laikytinu reguliavimu sukeliamas išlaidas, eliminuojant perkeliamas tarptautinių dokumentų nuostatas.</w:t>
            </w:r>
          </w:p>
        </w:tc>
        <w:tc>
          <w:tcPr>
            <w:tcW w:w="2136" w:type="pct"/>
            <w:tcBorders>
              <w:top w:val="single" w:sz="4" w:space="0" w:color="auto"/>
              <w:left w:val="single" w:sz="4" w:space="0" w:color="auto"/>
              <w:right w:val="single" w:sz="4" w:space="0" w:color="auto"/>
            </w:tcBorders>
            <w:shd w:val="clear" w:color="auto" w:fill="auto"/>
          </w:tcPr>
          <w:p w14:paraId="1808351C" w14:textId="77777777" w:rsidR="00527983" w:rsidRDefault="00527983" w:rsidP="00442D6A">
            <w:pPr>
              <w:spacing w:after="0" w:line="240" w:lineRule="auto"/>
              <w:jc w:val="both"/>
              <w:rPr>
                <w:rFonts w:ascii="Times New Roman" w:hAnsi="Times New Roman"/>
                <w:b/>
                <w:bCs/>
                <w:sz w:val="24"/>
                <w:szCs w:val="24"/>
              </w:rPr>
            </w:pPr>
            <w:r>
              <w:rPr>
                <w:rFonts w:ascii="Times New Roman" w:hAnsi="Times New Roman"/>
                <w:b/>
                <w:bCs/>
                <w:sz w:val="24"/>
                <w:szCs w:val="24"/>
              </w:rPr>
              <w:t>Neatsižvelgta.</w:t>
            </w:r>
          </w:p>
          <w:p w14:paraId="20A06E86" w14:textId="0DEA3C75" w:rsidR="00527983" w:rsidRDefault="00527983" w:rsidP="00E50147">
            <w:pPr>
              <w:spacing w:after="0" w:line="240" w:lineRule="auto"/>
              <w:jc w:val="both"/>
              <w:rPr>
                <w:rFonts w:ascii="Times New Roman" w:hAnsi="Times New Roman"/>
                <w:b/>
                <w:bCs/>
                <w:sz w:val="24"/>
                <w:szCs w:val="24"/>
              </w:rPr>
            </w:pPr>
            <w:r w:rsidRPr="001E26B2">
              <w:rPr>
                <w:rFonts w:ascii="Times New Roman" w:hAnsi="Times New Roman"/>
                <w:sz w:val="24"/>
                <w:szCs w:val="24"/>
              </w:rPr>
              <w:t xml:space="preserve">Žr. argumentus, nurodytus prie Aplinkos apsaugos agentūros </w:t>
            </w:r>
            <w:r w:rsidRPr="001E26B2">
              <w:rPr>
                <w:rFonts w:ascii="Times New Roman" w:hAnsi="Times New Roman"/>
                <w:sz w:val="24"/>
                <w:szCs w:val="24"/>
                <w:lang w:val="en-US"/>
              </w:rPr>
              <w:t>1</w:t>
            </w:r>
            <w:r w:rsidRPr="001E26B2">
              <w:rPr>
                <w:rFonts w:ascii="Times New Roman" w:hAnsi="Times New Roman"/>
                <w:sz w:val="24"/>
                <w:szCs w:val="24"/>
              </w:rPr>
              <w:t xml:space="preserve"> pastabos.</w:t>
            </w:r>
          </w:p>
        </w:tc>
      </w:tr>
      <w:tr w:rsidR="008D36FF" w:rsidRPr="0009474E" w14:paraId="3F75CAB0" w14:textId="77777777" w:rsidTr="00A1568F">
        <w:trPr>
          <w:trHeight w:val="397"/>
        </w:trPr>
        <w:tc>
          <w:tcPr>
            <w:tcW w:w="182" w:type="pct"/>
            <w:vMerge/>
            <w:tcBorders>
              <w:left w:val="single" w:sz="4" w:space="0" w:color="auto"/>
              <w:right w:val="single" w:sz="4" w:space="0" w:color="auto"/>
            </w:tcBorders>
            <w:shd w:val="clear" w:color="auto" w:fill="auto"/>
          </w:tcPr>
          <w:p w14:paraId="05FB038F" w14:textId="77777777" w:rsidR="008D36FF" w:rsidRDefault="008D36FF" w:rsidP="00442D6A">
            <w:pPr>
              <w:pStyle w:val="Sraopastraipa"/>
              <w:numPr>
                <w:ilvl w:val="0"/>
                <w:numId w:val="6"/>
              </w:numPr>
              <w:tabs>
                <w:tab w:val="left" w:pos="360"/>
              </w:tabs>
              <w:autoSpaceDE w:val="0"/>
              <w:autoSpaceDN w:val="0"/>
              <w:adjustRightInd w:val="0"/>
              <w:spacing w:after="0"/>
              <w:ind w:left="0"/>
              <w:rPr>
                <w:rFonts w:ascii="Times New Roman" w:hAnsi="Times New Roman"/>
                <w:color w:val="000000"/>
                <w:sz w:val="24"/>
                <w:szCs w:val="24"/>
              </w:rPr>
            </w:pPr>
          </w:p>
        </w:tc>
        <w:tc>
          <w:tcPr>
            <w:tcW w:w="628" w:type="pct"/>
            <w:vMerge/>
            <w:tcBorders>
              <w:left w:val="single" w:sz="4" w:space="0" w:color="auto"/>
              <w:right w:val="single" w:sz="4" w:space="0" w:color="auto"/>
            </w:tcBorders>
            <w:shd w:val="clear" w:color="auto" w:fill="auto"/>
          </w:tcPr>
          <w:p w14:paraId="09C4374E" w14:textId="77777777" w:rsidR="008D36FF" w:rsidRDefault="008D36FF" w:rsidP="00442D6A">
            <w:pPr>
              <w:autoSpaceDE w:val="0"/>
              <w:autoSpaceDN w:val="0"/>
              <w:adjustRightInd w:val="0"/>
              <w:spacing w:after="0" w:line="240" w:lineRule="auto"/>
              <w:rPr>
                <w:rFonts w:ascii="Times New Roman" w:hAnsi="Times New Roman"/>
                <w:color w:val="000000"/>
                <w:sz w:val="24"/>
                <w:szCs w:val="24"/>
              </w:rPr>
            </w:pPr>
          </w:p>
        </w:tc>
        <w:tc>
          <w:tcPr>
            <w:tcW w:w="2054" w:type="pct"/>
            <w:tcBorders>
              <w:top w:val="single" w:sz="4" w:space="0" w:color="auto"/>
              <w:left w:val="single" w:sz="4" w:space="0" w:color="auto"/>
              <w:bottom w:val="single" w:sz="4" w:space="0" w:color="auto"/>
              <w:right w:val="single" w:sz="4" w:space="0" w:color="auto"/>
            </w:tcBorders>
            <w:shd w:val="clear" w:color="auto" w:fill="auto"/>
          </w:tcPr>
          <w:p w14:paraId="478A6136" w14:textId="0FD8B65A" w:rsidR="008D36FF" w:rsidRDefault="008D36FF" w:rsidP="00442D6A">
            <w:pPr>
              <w:pStyle w:val="AssecoParagraphNormalFirstLine"/>
              <w:tabs>
                <w:tab w:val="left" w:pos="325"/>
              </w:tabs>
              <w:ind w:firstLine="41"/>
              <w:rPr>
                <w:rFonts w:ascii="Times New Roman" w:hAnsi="Times New Roman"/>
                <w:sz w:val="24"/>
                <w:szCs w:val="24"/>
              </w:rPr>
            </w:pPr>
            <w:r w:rsidRPr="002954EE">
              <w:rPr>
                <w:rFonts w:ascii="Times New Roman" w:hAnsi="Times New Roman"/>
                <w:sz w:val="24"/>
                <w:szCs w:val="24"/>
              </w:rPr>
              <w:t>8.</w:t>
            </w:r>
            <w:r w:rsidRPr="002954EE">
              <w:rPr>
                <w:rFonts w:ascii="Times New Roman" w:hAnsi="Times New Roman"/>
                <w:sz w:val="24"/>
                <w:szCs w:val="24"/>
              </w:rPr>
              <w:tab/>
              <w:t xml:space="preserve">Vadovaujantis Metodikos nuostatomis turėtų būti vertinamos ūkio subjekto patiriamos išlaidos darbuotojams, investicijoms, medžiagoms (Metodikos 6 punktas), turto palaikymo išlaidos (Metodikos 7.6.2.2.2 papunktis) ir kt. Pažymėtina, kad Metodikoje nėra sureguliuota, kokiu būdu ir iš kur institucija (vertinantis darbuotojas ar valstybės tarnautojas) sužinos šią informaciją. Siūlytina įvertinti ir tai, kad kiekvienas ūkio subjektas gali patirti skirtingo dydžio išlaidas tiems patiems veiksmams atlikti. Taip pat ir tai, kad </w:t>
            </w:r>
            <w:proofErr w:type="gramStart"/>
            <w:r w:rsidRPr="002954EE">
              <w:rPr>
                <w:rFonts w:ascii="Times New Roman" w:hAnsi="Times New Roman"/>
                <w:sz w:val="24"/>
                <w:szCs w:val="24"/>
              </w:rPr>
              <w:t>išvardinti</w:t>
            </w:r>
            <w:proofErr w:type="gramEnd"/>
            <w:r w:rsidRPr="002954EE">
              <w:rPr>
                <w:rFonts w:ascii="Times New Roman" w:hAnsi="Times New Roman"/>
                <w:sz w:val="24"/>
                <w:szCs w:val="24"/>
              </w:rPr>
              <w:t xml:space="preserve"> vertintini aspektai (informacija) galbūt galėtų būti laikoma ir ūkio subjekto komercine paslaptimi.</w:t>
            </w:r>
          </w:p>
        </w:tc>
        <w:tc>
          <w:tcPr>
            <w:tcW w:w="2136" w:type="pct"/>
            <w:tcBorders>
              <w:top w:val="single" w:sz="4" w:space="0" w:color="auto"/>
              <w:left w:val="single" w:sz="4" w:space="0" w:color="auto"/>
              <w:bottom w:val="single" w:sz="4" w:space="0" w:color="auto"/>
              <w:right w:val="single" w:sz="4" w:space="0" w:color="auto"/>
            </w:tcBorders>
            <w:shd w:val="clear" w:color="auto" w:fill="auto"/>
          </w:tcPr>
          <w:p w14:paraId="312DFB53" w14:textId="77777777" w:rsidR="008D36FF" w:rsidRDefault="00275A83" w:rsidP="00442D6A">
            <w:pPr>
              <w:spacing w:after="0" w:line="240" w:lineRule="auto"/>
              <w:jc w:val="both"/>
              <w:rPr>
                <w:rFonts w:ascii="Times New Roman" w:hAnsi="Times New Roman"/>
                <w:b/>
                <w:bCs/>
                <w:sz w:val="24"/>
                <w:szCs w:val="24"/>
              </w:rPr>
            </w:pPr>
            <w:r>
              <w:rPr>
                <w:rFonts w:ascii="Times New Roman" w:hAnsi="Times New Roman"/>
                <w:b/>
                <w:bCs/>
                <w:sz w:val="24"/>
                <w:szCs w:val="24"/>
              </w:rPr>
              <w:t>Neatsižvelgta.</w:t>
            </w:r>
          </w:p>
          <w:p w14:paraId="22C01F19" w14:textId="56E9CB49" w:rsidR="00275A83" w:rsidRPr="00C5220D" w:rsidRDefault="00F05EB5" w:rsidP="00442D6A">
            <w:pPr>
              <w:spacing w:after="0" w:line="240" w:lineRule="auto"/>
              <w:jc w:val="both"/>
              <w:rPr>
                <w:rFonts w:ascii="Times New Roman" w:hAnsi="Times New Roman"/>
                <w:sz w:val="24"/>
                <w:szCs w:val="24"/>
              </w:rPr>
            </w:pPr>
            <w:r w:rsidRPr="00C5220D">
              <w:rPr>
                <w:rFonts w:ascii="Times New Roman" w:hAnsi="Times New Roman"/>
                <w:sz w:val="24"/>
                <w:szCs w:val="24"/>
              </w:rPr>
              <w:t xml:space="preserve">Atkreipiame dėmesį, kad </w:t>
            </w:r>
            <w:r w:rsidR="00C5220D">
              <w:rPr>
                <w:rFonts w:ascii="Times New Roman" w:hAnsi="Times New Roman"/>
                <w:sz w:val="24"/>
                <w:szCs w:val="24"/>
              </w:rPr>
              <w:t>informacija</w:t>
            </w:r>
            <w:r w:rsidRPr="00C5220D">
              <w:rPr>
                <w:rFonts w:ascii="Times New Roman" w:hAnsi="Times New Roman"/>
                <w:sz w:val="24"/>
                <w:szCs w:val="24"/>
              </w:rPr>
              <w:t xml:space="preserve"> kaip</w:t>
            </w:r>
            <w:r w:rsidR="00C5220D">
              <w:rPr>
                <w:rFonts w:ascii="Times New Roman" w:hAnsi="Times New Roman"/>
                <w:sz w:val="24"/>
                <w:szCs w:val="24"/>
              </w:rPr>
              <w:t>,</w:t>
            </w:r>
            <w:r w:rsidRPr="00C5220D">
              <w:rPr>
                <w:rFonts w:ascii="Times New Roman" w:hAnsi="Times New Roman"/>
                <w:sz w:val="24"/>
                <w:szCs w:val="24"/>
              </w:rPr>
              <w:t xml:space="preserve"> kokiu būdu ir iš kur prisitaikymo prie reguliavimo išlaidų vertinimą atliekantis valstybės tarnautojas ar darbuotojas turėtų gauti</w:t>
            </w:r>
            <w:r w:rsidR="008C3153" w:rsidRPr="00C5220D">
              <w:rPr>
                <w:rFonts w:ascii="Times New Roman" w:hAnsi="Times New Roman"/>
                <w:sz w:val="24"/>
                <w:szCs w:val="24"/>
              </w:rPr>
              <w:t xml:space="preserve"> </w:t>
            </w:r>
            <w:r w:rsidR="00741CCF">
              <w:rPr>
                <w:rFonts w:ascii="Times New Roman" w:hAnsi="Times New Roman"/>
                <w:sz w:val="24"/>
                <w:szCs w:val="24"/>
              </w:rPr>
              <w:t>duomenis</w:t>
            </w:r>
            <w:r w:rsidR="008C3153" w:rsidRPr="00C5220D">
              <w:rPr>
                <w:rFonts w:ascii="Times New Roman" w:hAnsi="Times New Roman"/>
                <w:sz w:val="24"/>
                <w:szCs w:val="24"/>
              </w:rPr>
              <w:t xml:space="preserve"> apie ūkio subjektų patiriamas išlaidas darbuotojams, investicijoms, medžiagoms, turtui palaiky</w:t>
            </w:r>
            <w:r w:rsidR="00C5220D" w:rsidRPr="00C5220D">
              <w:rPr>
                <w:rFonts w:ascii="Times New Roman" w:hAnsi="Times New Roman"/>
                <w:sz w:val="24"/>
                <w:szCs w:val="24"/>
              </w:rPr>
              <w:t>ti</w:t>
            </w:r>
            <w:r w:rsidR="00C170C1">
              <w:rPr>
                <w:rFonts w:ascii="Times New Roman" w:hAnsi="Times New Roman"/>
                <w:sz w:val="24"/>
                <w:szCs w:val="24"/>
              </w:rPr>
              <w:t xml:space="preserve">, bus detaliau aprašyta Metodikos taikymo Gairėse. Pažymime, kad </w:t>
            </w:r>
            <w:r w:rsidR="00C66717">
              <w:rPr>
                <w:rFonts w:ascii="Times New Roman" w:hAnsi="Times New Roman"/>
                <w:sz w:val="24"/>
                <w:szCs w:val="24"/>
              </w:rPr>
              <w:t>institucijoms siūlome pirmiausia vadovautis viešai prieinamais duomenų šaltiniais informacijai gauti, o tik tais atvejais, kai</w:t>
            </w:r>
            <w:r w:rsidR="00FC48E2">
              <w:rPr>
                <w:rFonts w:ascii="Times New Roman" w:hAnsi="Times New Roman"/>
                <w:sz w:val="24"/>
                <w:szCs w:val="24"/>
              </w:rPr>
              <w:t xml:space="preserve"> šios informacijos nepavyksta gauti kitais būdais, rekomenduojame atlikti ūkio subjektų apklausas. Pavyzdin</w:t>
            </w:r>
            <w:r w:rsidR="003B330F">
              <w:rPr>
                <w:rFonts w:ascii="Times New Roman" w:hAnsi="Times New Roman"/>
                <w:sz w:val="24"/>
                <w:szCs w:val="24"/>
              </w:rPr>
              <w:t>is</w:t>
            </w:r>
            <w:r w:rsidR="00FC48E2">
              <w:rPr>
                <w:rFonts w:ascii="Times New Roman" w:hAnsi="Times New Roman"/>
                <w:sz w:val="24"/>
                <w:szCs w:val="24"/>
              </w:rPr>
              <w:t xml:space="preserve"> ūkio subjektų </w:t>
            </w:r>
            <w:r w:rsidR="003B330F">
              <w:rPr>
                <w:rFonts w:ascii="Times New Roman" w:hAnsi="Times New Roman"/>
                <w:sz w:val="24"/>
                <w:szCs w:val="24"/>
              </w:rPr>
              <w:t xml:space="preserve">klausimynas bus pateiktas Gairėse. Taip pat paminėtina, kad </w:t>
            </w:r>
            <w:r w:rsidR="00F95B5A">
              <w:rPr>
                <w:rFonts w:ascii="Times New Roman" w:hAnsi="Times New Roman"/>
                <w:sz w:val="24"/>
                <w:szCs w:val="24"/>
              </w:rPr>
              <w:t xml:space="preserve">suprantame, kad tam tikrais atvejais kai kuri informacija gali </w:t>
            </w:r>
            <w:proofErr w:type="gramStart"/>
            <w:r w:rsidR="00922D72">
              <w:rPr>
                <w:rFonts w:ascii="Times New Roman" w:hAnsi="Times New Roman"/>
                <w:sz w:val="24"/>
                <w:szCs w:val="24"/>
              </w:rPr>
              <w:t>būti laikoma įmonių komercine paslaptimi</w:t>
            </w:r>
            <w:proofErr w:type="gramEnd"/>
            <w:r w:rsidR="00F95B5A">
              <w:rPr>
                <w:rFonts w:ascii="Times New Roman" w:hAnsi="Times New Roman"/>
                <w:sz w:val="24"/>
                <w:szCs w:val="24"/>
              </w:rPr>
              <w:t xml:space="preserve"> ir nebus atskleista</w:t>
            </w:r>
            <w:r w:rsidR="00866B0E">
              <w:rPr>
                <w:rFonts w:ascii="Times New Roman" w:hAnsi="Times New Roman"/>
                <w:sz w:val="24"/>
                <w:szCs w:val="24"/>
              </w:rPr>
              <w:t xml:space="preserve">, tačiau manytina, kad Metodikoje </w:t>
            </w:r>
            <w:r w:rsidR="00097BFD">
              <w:rPr>
                <w:rFonts w:ascii="Times New Roman" w:hAnsi="Times New Roman"/>
                <w:sz w:val="24"/>
                <w:szCs w:val="24"/>
              </w:rPr>
              <w:t>dėstyti tokio pobūdžio nuostatų nėra tikslinga.</w:t>
            </w:r>
          </w:p>
        </w:tc>
      </w:tr>
      <w:tr w:rsidR="008D36FF" w:rsidRPr="0009474E" w14:paraId="011C69BC" w14:textId="77777777" w:rsidTr="00A1568F">
        <w:trPr>
          <w:trHeight w:val="397"/>
        </w:trPr>
        <w:tc>
          <w:tcPr>
            <w:tcW w:w="182" w:type="pct"/>
            <w:vMerge w:val="restart"/>
            <w:tcBorders>
              <w:left w:val="single" w:sz="4" w:space="0" w:color="auto"/>
              <w:right w:val="single" w:sz="4" w:space="0" w:color="auto"/>
            </w:tcBorders>
            <w:shd w:val="clear" w:color="auto" w:fill="FFFFFF" w:themeFill="background1"/>
          </w:tcPr>
          <w:p w14:paraId="239FEBC4" w14:textId="4344D0DA" w:rsidR="008D36FF" w:rsidRDefault="0088281C" w:rsidP="00442D6A">
            <w:pPr>
              <w:pStyle w:val="Sraopastraipa"/>
              <w:numPr>
                <w:ilvl w:val="0"/>
                <w:numId w:val="6"/>
              </w:numPr>
              <w:tabs>
                <w:tab w:val="left" w:pos="360"/>
              </w:tabs>
              <w:autoSpaceDE w:val="0"/>
              <w:autoSpaceDN w:val="0"/>
              <w:adjustRightInd w:val="0"/>
              <w:spacing w:after="0"/>
              <w:ind w:left="0"/>
              <w:rPr>
                <w:rFonts w:ascii="Times New Roman" w:hAnsi="Times New Roman"/>
                <w:color w:val="000000"/>
                <w:sz w:val="24"/>
                <w:szCs w:val="24"/>
              </w:rPr>
            </w:pPr>
            <w:r>
              <w:rPr>
                <w:rFonts w:ascii="Times New Roman" w:hAnsi="Times New Roman"/>
                <w:color w:val="000000"/>
                <w:sz w:val="24"/>
                <w:szCs w:val="24"/>
              </w:rPr>
              <w:t>6</w:t>
            </w:r>
            <w:r w:rsidR="00A30DFB">
              <w:rPr>
                <w:rFonts w:ascii="Times New Roman" w:hAnsi="Times New Roman"/>
                <w:color w:val="000000"/>
                <w:sz w:val="24"/>
                <w:szCs w:val="24"/>
              </w:rPr>
              <w:t>.</w:t>
            </w:r>
          </w:p>
        </w:tc>
        <w:tc>
          <w:tcPr>
            <w:tcW w:w="628" w:type="pct"/>
            <w:vMerge w:val="restart"/>
            <w:tcBorders>
              <w:left w:val="single" w:sz="4" w:space="0" w:color="auto"/>
              <w:right w:val="single" w:sz="4" w:space="0" w:color="auto"/>
            </w:tcBorders>
            <w:shd w:val="clear" w:color="auto" w:fill="FFFFFF" w:themeFill="background1"/>
          </w:tcPr>
          <w:p w14:paraId="04BC9A6D" w14:textId="77777777" w:rsidR="008D36FF" w:rsidRDefault="008D36FF" w:rsidP="00442D6A">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Lietuvos Respublikos užsienio reikalų ministerijos </w:t>
            </w:r>
            <w:r w:rsidRPr="00CA68A4">
              <w:rPr>
                <w:rFonts w:ascii="Times New Roman" w:hAnsi="Times New Roman"/>
                <w:color w:val="000000"/>
                <w:sz w:val="24"/>
                <w:szCs w:val="24"/>
              </w:rPr>
              <w:t xml:space="preserve">2021 m. birželio </w:t>
            </w:r>
            <w:r>
              <w:rPr>
                <w:rFonts w:ascii="Times New Roman" w:hAnsi="Times New Roman"/>
                <w:color w:val="000000"/>
                <w:sz w:val="24"/>
                <w:szCs w:val="24"/>
              </w:rPr>
              <w:t>4</w:t>
            </w:r>
            <w:r w:rsidRPr="00CA68A4">
              <w:rPr>
                <w:rFonts w:ascii="Times New Roman" w:hAnsi="Times New Roman"/>
                <w:color w:val="000000"/>
                <w:sz w:val="24"/>
                <w:szCs w:val="24"/>
              </w:rPr>
              <w:t xml:space="preserve"> d. raštas Nr. </w:t>
            </w:r>
            <w:r w:rsidRPr="00D87F95">
              <w:rPr>
                <w:rFonts w:ascii="Times New Roman" w:hAnsi="Times New Roman"/>
                <w:color w:val="000000"/>
                <w:sz w:val="24"/>
                <w:szCs w:val="24"/>
              </w:rPr>
              <w:t>(22.29E)3</w:t>
            </w:r>
            <w:proofErr w:type="gramStart"/>
            <w:r w:rsidRPr="00D87F95">
              <w:rPr>
                <w:rFonts w:ascii="Times New Roman" w:hAnsi="Times New Roman"/>
                <w:color w:val="000000"/>
                <w:sz w:val="24"/>
                <w:szCs w:val="24"/>
              </w:rPr>
              <w:t>-</w:t>
            </w:r>
            <w:proofErr w:type="gramEnd"/>
            <w:r w:rsidRPr="00D87F95">
              <w:rPr>
                <w:rFonts w:ascii="Times New Roman" w:hAnsi="Times New Roman"/>
                <w:color w:val="000000"/>
                <w:sz w:val="24"/>
                <w:szCs w:val="24"/>
              </w:rPr>
              <w:t>3384</w:t>
            </w:r>
          </w:p>
          <w:p w14:paraId="1FFDD679" w14:textId="77777777" w:rsidR="008D36FF" w:rsidRDefault="008D36FF" w:rsidP="00442D6A">
            <w:pPr>
              <w:autoSpaceDE w:val="0"/>
              <w:autoSpaceDN w:val="0"/>
              <w:adjustRightInd w:val="0"/>
              <w:spacing w:after="0" w:line="240" w:lineRule="auto"/>
              <w:rPr>
                <w:rFonts w:ascii="Times New Roman" w:hAnsi="Times New Roman"/>
                <w:color w:val="000000"/>
                <w:sz w:val="24"/>
                <w:szCs w:val="24"/>
              </w:rPr>
            </w:pPr>
          </w:p>
          <w:p w14:paraId="49248589" w14:textId="2A06DAC2" w:rsidR="008D36FF" w:rsidRDefault="008D36FF" w:rsidP="00442D6A">
            <w:pPr>
              <w:autoSpaceDE w:val="0"/>
              <w:autoSpaceDN w:val="0"/>
              <w:adjustRightInd w:val="0"/>
              <w:spacing w:after="0" w:line="240" w:lineRule="auto"/>
              <w:rPr>
                <w:rFonts w:ascii="Times New Roman" w:hAnsi="Times New Roman"/>
                <w:color w:val="000000"/>
                <w:sz w:val="24"/>
                <w:szCs w:val="24"/>
              </w:rPr>
            </w:pPr>
          </w:p>
        </w:tc>
        <w:tc>
          <w:tcPr>
            <w:tcW w:w="2054" w:type="pct"/>
            <w:tcBorders>
              <w:top w:val="single" w:sz="4" w:space="0" w:color="auto"/>
              <w:left w:val="single" w:sz="4" w:space="0" w:color="auto"/>
              <w:bottom w:val="single" w:sz="4" w:space="0" w:color="auto"/>
              <w:right w:val="single" w:sz="4" w:space="0" w:color="auto"/>
            </w:tcBorders>
            <w:shd w:val="clear" w:color="auto" w:fill="FFFFFF" w:themeFill="background1"/>
          </w:tcPr>
          <w:p w14:paraId="1923AF9D" w14:textId="7E49DCB9" w:rsidR="00B22F6E" w:rsidRPr="00BA2627" w:rsidRDefault="008D36FF" w:rsidP="00442D6A">
            <w:pPr>
              <w:pStyle w:val="AssecoParagraphNormalFirstLine"/>
              <w:numPr>
                <w:ilvl w:val="0"/>
                <w:numId w:val="32"/>
              </w:numPr>
              <w:tabs>
                <w:tab w:val="left" w:pos="41"/>
                <w:tab w:val="left" w:pos="325"/>
              </w:tabs>
              <w:ind w:left="41" w:firstLine="0"/>
              <w:rPr>
                <w:rFonts w:ascii="Times New Roman" w:hAnsi="Times New Roman"/>
                <w:sz w:val="24"/>
                <w:szCs w:val="24"/>
              </w:rPr>
            </w:pPr>
            <w:r w:rsidRPr="00806A7A">
              <w:rPr>
                <w:rFonts w:ascii="Times New Roman" w:hAnsi="Times New Roman"/>
                <w:sz w:val="24"/>
                <w:szCs w:val="24"/>
              </w:rPr>
              <w:t xml:space="preserve">Nutarimo projekte yra numatytas nuoseklus perėjimas nuo administracinės naštos ūkio subjektams vertinimo ir mažinimo prie ūkio subjektų prisitaikymo prie reguliavimo išlaidų vertinimo ir mažinimo. Pagal Nutarimo projektą ir juo siūlomą tvirtinti Ūkio subjektų prisitaikymo prie reguliavimo išlaidų vertinimo metodiką (toliau – Metodika), nuo 2023 m. sausio 1 d. institucijos būtų įpareigotos vertinti visus teisės aktuose ūkio subjektams nustatytus ar teisės aktų projektuose siūlomus nustatyti įpareigojimus, kurie yra apibrėžiami Metodikoje, o ne tik informacinius įpareigojimus, nurodytus ir apibrėžtus Lietuvos Respublikos administracinės naštos mažinimo įstatyme, ir vertinti prisitaikymo prie reguliavimo išlaidas, o ne administracinę naštą, apibrėžtą Administracinės naštos mažinimo įstatyme. Metodikos tikslas – „sudaryti galimybes nustatyti prisitaikymo prie reguliavimo išlaidų mažinimo tikslus, juos matuoti, palyginti ir vykdyti nustatytų teisinio reguliavimo tikslų įgyvendinimo pažangos stebėseną“.  Administracinės naštos mažinimo įstatymo tikslas ir paskirtis – užtikrinti administracinės naštos </w:t>
            </w:r>
            <w:r w:rsidRPr="00806A7A">
              <w:rPr>
                <w:rFonts w:ascii="Times New Roman" w:hAnsi="Times New Roman"/>
                <w:sz w:val="24"/>
                <w:szCs w:val="24"/>
              </w:rPr>
              <w:lastRenderedPageBreak/>
              <w:t>mažinimo procesą (nustatant administracinės naštos mažinimo priemones, principus ir pan.) bei administracinės naštos stebėseną. Taigi palyginus šiuos reglamentavimus nėra aišku, koks yra Nutarimo projekto ir Administracinės naštos mažinimo įstatymo tarpusavio santykis, labiausiai dėl to, kad Nutarimo projekto teisinis pagrindas yra Administracinės naštos mažinimo įstatymo 3 straipsnio 2 dalis, kurioje nustatyta, kad „administracinė našta valstybės ir savivaldybių institucijose ir įstaigose yra vertinama pagal Lietuvos Respublikos Vyriausybės patvirtintas metodikas“. Mūsų vertinimu, nustačius Nutarimo projektu siūlomą teisinį reguliavimą, įstatymo įgyvendinamuoju aktu iš esmės būtų išplėstas Administracinės naštos mažinimo įstatymo reguliavimo dalykas, o tai neatitiktų Lietuvos Respublikos teisėkūros pagrindų įstatyme įtvirtinto sistemiškumo principo, pagal kurį žemesnės galios teisės aktai turi derėti su aukštesnės galios teisės aktais. Papildomai atkreipiame dėmesį ir į tai, kad taip pat nėra aiškus Nutarimo projekto nuostatų ir Teisėkūros pagrindų įstatymo 15 straipsnio 2 dalies, pagal kurią atliekant numatomą teisinio reguliavimo poveikio vertinimą ir atsižvelgiant į numatomo teisinio reguliavimo pobūdį, be kita ko, turi būti įvertinamas poveikis administracinei naštai, tarpusavio santykis.</w:t>
            </w:r>
          </w:p>
        </w:tc>
        <w:tc>
          <w:tcPr>
            <w:tcW w:w="2136" w:type="pct"/>
            <w:tcBorders>
              <w:top w:val="single" w:sz="4" w:space="0" w:color="auto"/>
              <w:left w:val="single" w:sz="4" w:space="0" w:color="auto"/>
              <w:bottom w:val="single" w:sz="4" w:space="0" w:color="auto"/>
              <w:right w:val="single" w:sz="4" w:space="0" w:color="auto"/>
            </w:tcBorders>
            <w:shd w:val="clear" w:color="auto" w:fill="FFFFFF" w:themeFill="background1"/>
          </w:tcPr>
          <w:p w14:paraId="3450BB94" w14:textId="77777777" w:rsidR="00F23111" w:rsidRDefault="00F23111" w:rsidP="00442D6A">
            <w:pPr>
              <w:spacing w:after="0" w:line="240" w:lineRule="auto"/>
              <w:jc w:val="both"/>
              <w:rPr>
                <w:rFonts w:ascii="Times New Roman" w:hAnsi="Times New Roman"/>
                <w:b/>
                <w:bCs/>
                <w:sz w:val="24"/>
                <w:szCs w:val="24"/>
              </w:rPr>
            </w:pPr>
            <w:r>
              <w:rPr>
                <w:rFonts w:ascii="Times New Roman" w:hAnsi="Times New Roman"/>
                <w:b/>
                <w:bCs/>
                <w:sz w:val="24"/>
                <w:szCs w:val="24"/>
              </w:rPr>
              <w:lastRenderedPageBreak/>
              <w:t>Neatsižvelgta.</w:t>
            </w:r>
          </w:p>
          <w:p w14:paraId="1838EA78" w14:textId="77777777" w:rsidR="00F23111" w:rsidRPr="00100A6E" w:rsidRDefault="00F23111" w:rsidP="00442D6A">
            <w:pPr>
              <w:spacing w:after="0" w:line="240" w:lineRule="auto"/>
              <w:jc w:val="both"/>
              <w:rPr>
                <w:rFonts w:ascii="Times New Roman" w:hAnsi="Times New Roman"/>
                <w:sz w:val="24"/>
                <w:szCs w:val="24"/>
              </w:rPr>
            </w:pPr>
            <w:r w:rsidRPr="00100A6E">
              <w:rPr>
                <w:rFonts w:ascii="Times New Roman" w:hAnsi="Times New Roman"/>
                <w:sz w:val="24"/>
                <w:szCs w:val="24"/>
              </w:rPr>
              <w:t xml:space="preserve">Žr. argumentus, nurodytus </w:t>
            </w:r>
            <w:r>
              <w:rPr>
                <w:rFonts w:ascii="Times New Roman" w:hAnsi="Times New Roman"/>
                <w:sz w:val="24"/>
                <w:szCs w:val="24"/>
              </w:rPr>
              <w:t>prie Teisingumo</w:t>
            </w:r>
            <w:r w:rsidRPr="00100A6E">
              <w:rPr>
                <w:rFonts w:ascii="Times New Roman" w:hAnsi="Times New Roman"/>
                <w:sz w:val="24"/>
                <w:szCs w:val="24"/>
              </w:rPr>
              <w:t xml:space="preserve"> ministerijos </w:t>
            </w:r>
            <w:r>
              <w:rPr>
                <w:rFonts w:ascii="Times New Roman" w:hAnsi="Times New Roman"/>
                <w:sz w:val="24"/>
                <w:szCs w:val="24"/>
                <w:lang w:val="en-US"/>
              </w:rPr>
              <w:t>1</w:t>
            </w:r>
            <w:r w:rsidRPr="00100A6E">
              <w:rPr>
                <w:rFonts w:ascii="Times New Roman" w:hAnsi="Times New Roman"/>
                <w:sz w:val="24"/>
                <w:szCs w:val="24"/>
              </w:rPr>
              <w:t xml:space="preserve"> pastabos.</w:t>
            </w:r>
          </w:p>
          <w:p w14:paraId="4A56CAC9" w14:textId="77777777" w:rsidR="00E9339E" w:rsidRDefault="00E9339E" w:rsidP="00442D6A">
            <w:pPr>
              <w:spacing w:after="0" w:line="240" w:lineRule="auto"/>
              <w:jc w:val="both"/>
              <w:rPr>
                <w:rFonts w:ascii="Times New Roman" w:hAnsi="Times New Roman"/>
                <w:sz w:val="24"/>
                <w:szCs w:val="24"/>
              </w:rPr>
            </w:pPr>
          </w:p>
          <w:p w14:paraId="73EB21D5" w14:textId="4A122C74" w:rsidR="003B10E5" w:rsidRDefault="00E9339E" w:rsidP="00442D6A">
            <w:pPr>
              <w:spacing w:after="0" w:line="240" w:lineRule="auto"/>
              <w:jc w:val="both"/>
              <w:rPr>
                <w:rFonts w:ascii="Times New Roman" w:hAnsi="Times New Roman"/>
                <w:sz w:val="24"/>
                <w:szCs w:val="24"/>
              </w:rPr>
            </w:pPr>
            <w:r w:rsidRPr="00E9339E">
              <w:rPr>
                <w:rFonts w:ascii="Times New Roman" w:hAnsi="Times New Roman"/>
                <w:sz w:val="24"/>
                <w:szCs w:val="24"/>
              </w:rPr>
              <w:t xml:space="preserve">Dėl </w:t>
            </w:r>
            <w:r w:rsidR="000157E1" w:rsidRPr="000157E1">
              <w:rPr>
                <w:rFonts w:ascii="Times New Roman" w:hAnsi="Times New Roman"/>
                <w:sz w:val="24"/>
                <w:szCs w:val="24"/>
              </w:rPr>
              <w:t>Nutarimo projekto nuostatų ir Teisėkūros pagrindų įstatymo 15 straipsnio 2 dalies, pagal kurią atliekant numatomą teisinio reguliavimo poveikio vertinimą ir atsižvelgiant į numatomo teisinio reguliavimo pobūdį, be kita ko, turi būti įvertinamas poveikis administracinei naštai, tarpusavio santyk</w:t>
            </w:r>
            <w:r w:rsidR="000157E1">
              <w:rPr>
                <w:rFonts w:ascii="Times New Roman" w:hAnsi="Times New Roman"/>
                <w:sz w:val="24"/>
                <w:szCs w:val="24"/>
              </w:rPr>
              <w:t>io, paminėtina, kad nuostat</w:t>
            </w:r>
            <w:r w:rsidR="003A0AE4">
              <w:rPr>
                <w:rFonts w:ascii="Times New Roman" w:hAnsi="Times New Roman"/>
                <w:sz w:val="24"/>
                <w:szCs w:val="24"/>
              </w:rPr>
              <w:t xml:space="preserve">os dėl privalomo administracinės naštos pokyčio vertinimo galios iki </w:t>
            </w:r>
            <w:r w:rsidR="00297C12" w:rsidRPr="00297C12">
              <w:rPr>
                <w:rFonts w:ascii="Times New Roman" w:hAnsi="Times New Roman"/>
                <w:sz w:val="24"/>
                <w:szCs w:val="24"/>
              </w:rPr>
              <w:t>2022 m. gruodžio 31 d.</w:t>
            </w:r>
            <w:r w:rsidR="00B9423B">
              <w:rPr>
                <w:rFonts w:ascii="Times New Roman" w:hAnsi="Times New Roman"/>
                <w:sz w:val="24"/>
                <w:szCs w:val="24"/>
              </w:rPr>
              <w:t xml:space="preserve"> ir tik nuo </w:t>
            </w:r>
            <w:r w:rsidR="008F77CE" w:rsidRPr="008F77CE">
              <w:rPr>
                <w:rFonts w:ascii="Times New Roman" w:hAnsi="Times New Roman"/>
                <w:sz w:val="24"/>
                <w:szCs w:val="24"/>
              </w:rPr>
              <w:t>2023 m. sausio 1 d.</w:t>
            </w:r>
            <w:r w:rsidR="008F77CE">
              <w:rPr>
                <w:rFonts w:ascii="Times New Roman" w:hAnsi="Times New Roman"/>
                <w:sz w:val="24"/>
                <w:szCs w:val="24"/>
              </w:rPr>
              <w:t xml:space="preserve"> bus privalomas </w:t>
            </w:r>
            <w:r w:rsidR="00AC617A">
              <w:rPr>
                <w:rFonts w:ascii="Times New Roman" w:hAnsi="Times New Roman"/>
                <w:sz w:val="24"/>
                <w:szCs w:val="24"/>
              </w:rPr>
              <w:t xml:space="preserve">ne tik administracinės naštos, bet ir </w:t>
            </w:r>
            <w:r w:rsidR="008F77CE">
              <w:rPr>
                <w:rFonts w:ascii="Times New Roman" w:hAnsi="Times New Roman"/>
                <w:sz w:val="24"/>
                <w:szCs w:val="24"/>
              </w:rPr>
              <w:t xml:space="preserve">prisitaikymo prie reguliavimo išlaidų vertinimas. </w:t>
            </w:r>
            <w:r w:rsidR="00DC782D" w:rsidRPr="00CE796A">
              <w:rPr>
                <w:rFonts w:ascii="Times New Roman" w:hAnsi="Times New Roman"/>
                <w:sz w:val="24"/>
                <w:szCs w:val="24"/>
              </w:rPr>
              <w:t>T</w:t>
            </w:r>
            <w:r w:rsidR="003B10E5" w:rsidRPr="00CE796A">
              <w:rPr>
                <w:rFonts w:ascii="Times New Roman" w:hAnsi="Times New Roman"/>
                <w:sz w:val="24"/>
                <w:szCs w:val="24"/>
              </w:rPr>
              <w:t xml:space="preserve">eisėkūros pagrindų įstatymo </w:t>
            </w:r>
            <w:r w:rsidR="003B10E5" w:rsidRPr="00CE796A">
              <w:rPr>
                <w:rFonts w:ascii="Times New Roman" w:hAnsi="Times New Roman"/>
                <w:sz w:val="24"/>
                <w:szCs w:val="24"/>
                <w:lang w:val="en-US"/>
              </w:rPr>
              <w:t xml:space="preserve">15 </w:t>
            </w:r>
            <w:r w:rsidR="003B10E5" w:rsidRPr="00CE796A">
              <w:rPr>
                <w:rFonts w:ascii="Times New Roman" w:hAnsi="Times New Roman"/>
                <w:sz w:val="24"/>
                <w:szCs w:val="24"/>
              </w:rPr>
              <w:t>str</w:t>
            </w:r>
            <w:r w:rsidR="00FC2EFC" w:rsidRPr="00CE796A">
              <w:rPr>
                <w:rFonts w:ascii="Times New Roman" w:hAnsi="Times New Roman"/>
                <w:sz w:val="24"/>
                <w:szCs w:val="24"/>
              </w:rPr>
              <w:t>aipsnyje</w:t>
            </w:r>
            <w:r w:rsidR="003B10E5" w:rsidRPr="00CE796A">
              <w:rPr>
                <w:rFonts w:ascii="Times New Roman" w:hAnsi="Times New Roman"/>
                <w:sz w:val="24"/>
                <w:szCs w:val="24"/>
              </w:rPr>
              <w:t xml:space="preserve"> numatytas numatomo teisinio reguliavimo poveikio vertinimas, o Numatomo teisinio reguliavimo poveikio vertinimo metodikoje </w:t>
            </w:r>
            <w:r w:rsidR="004B79BA" w:rsidRPr="00CE796A">
              <w:rPr>
                <w:rFonts w:ascii="Times New Roman" w:hAnsi="Times New Roman"/>
                <w:sz w:val="24"/>
                <w:szCs w:val="24"/>
              </w:rPr>
              <w:t>šis vertinimas</w:t>
            </w:r>
            <w:r w:rsidR="003B10E5" w:rsidRPr="00CE796A">
              <w:rPr>
                <w:rFonts w:ascii="Times New Roman" w:hAnsi="Times New Roman"/>
                <w:sz w:val="24"/>
                <w:szCs w:val="24"/>
              </w:rPr>
              <w:t xml:space="preserve"> numatytas poveikio ekonomikai aspektu</w:t>
            </w:r>
            <w:r w:rsidR="000328BA" w:rsidRPr="00CE796A">
              <w:rPr>
                <w:rFonts w:ascii="Times New Roman" w:hAnsi="Times New Roman"/>
                <w:sz w:val="24"/>
                <w:szCs w:val="24"/>
              </w:rPr>
              <w:t xml:space="preserve">, </w:t>
            </w:r>
            <w:r w:rsidR="00EA4A54" w:rsidRPr="00CE796A">
              <w:rPr>
                <w:rFonts w:ascii="Times New Roman" w:hAnsi="Times New Roman"/>
                <w:sz w:val="24"/>
                <w:szCs w:val="24"/>
              </w:rPr>
              <w:t xml:space="preserve">o tai neatsiejama nuo </w:t>
            </w:r>
            <w:r w:rsidR="000328BA" w:rsidRPr="00CE796A">
              <w:rPr>
                <w:rFonts w:ascii="Times New Roman" w:hAnsi="Times New Roman"/>
                <w:sz w:val="24"/>
                <w:szCs w:val="24"/>
              </w:rPr>
              <w:t>administracinės naštos ir prisitaikymo išlaidų</w:t>
            </w:r>
            <w:r w:rsidR="003C2A1F" w:rsidRPr="00CE796A">
              <w:rPr>
                <w:rFonts w:ascii="Times New Roman" w:hAnsi="Times New Roman"/>
                <w:sz w:val="24"/>
                <w:szCs w:val="24"/>
              </w:rPr>
              <w:t xml:space="preserve"> vertinim</w:t>
            </w:r>
            <w:r w:rsidR="00EA4A54" w:rsidRPr="00CE796A">
              <w:rPr>
                <w:rFonts w:ascii="Times New Roman" w:hAnsi="Times New Roman"/>
                <w:sz w:val="24"/>
                <w:szCs w:val="24"/>
              </w:rPr>
              <w:t>o</w:t>
            </w:r>
            <w:r w:rsidR="00E231AC" w:rsidRPr="00CE796A">
              <w:rPr>
                <w:rFonts w:ascii="Times New Roman" w:hAnsi="Times New Roman"/>
                <w:sz w:val="24"/>
                <w:szCs w:val="24"/>
              </w:rPr>
              <w:t xml:space="preserve"> (toks vertinimas </w:t>
            </w:r>
            <w:r w:rsidR="001A5D22" w:rsidRPr="00CE796A">
              <w:rPr>
                <w:rFonts w:ascii="Times New Roman" w:hAnsi="Times New Roman"/>
                <w:sz w:val="24"/>
                <w:szCs w:val="24"/>
              </w:rPr>
              <w:t xml:space="preserve">numatomas </w:t>
            </w:r>
            <w:r w:rsidR="001A5D22" w:rsidRPr="00576300">
              <w:rPr>
                <w:rFonts w:ascii="Times New Roman" w:hAnsi="Times New Roman"/>
                <w:sz w:val="24"/>
                <w:szCs w:val="24"/>
              </w:rPr>
              <w:t xml:space="preserve">Numatomo teisinio </w:t>
            </w:r>
            <w:r w:rsidR="001A5D22" w:rsidRPr="00576300">
              <w:rPr>
                <w:rFonts w:ascii="Times New Roman" w:hAnsi="Times New Roman"/>
                <w:sz w:val="24"/>
                <w:szCs w:val="24"/>
              </w:rPr>
              <w:lastRenderedPageBreak/>
              <w:t>reguliavimo poveikio vertinimo metodikos</w:t>
            </w:r>
            <w:r w:rsidR="001A5D22" w:rsidRPr="0060333F">
              <w:rPr>
                <w:rFonts w:ascii="Times New Roman" w:hAnsi="Times New Roman"/>
                <w:sz w:val="24"/>
                <w:szCs w:val="24"/>
              </w:rPr>
              <w:t xml:space="preserve"> 1 priedu patvirtintame klausimyne)</w:t>
            </w:r>
            <w:r w:rsidR="003B10E5" w:rsidRPr="00CE796A">
              <w:rPr>
                <w:rFonts w:ascii="Times New Roman" w:hAnsi="Times New Roman"/>
                <w:sz w:val="24"/>
                <w:szCs w:val="24"/>
              </w:rPr>
              <w:t xml:space="preserve">. Metodika yra tik priemonė tokį </w:t>
            </w:r>
            <w:r w:rsidR="003C2A1F" w:rsidRPr="00CE796A">
              <w:rPr>
                <w:rFonts w:ascii="Times New Roman" w:hAnsi="Times New Roman"/>
                <w:sz w:val="24"/>
                <w:szCs w:val="24"/>
              </w:rPr>
              <w:t xml:space="preserve">administracinės naštos ar </w:t>
            </w:r>
            <w:r w:rsidR="003B10E5" w:rsidRPr="00CE796A">
              <w:rPr>
                <w:rFonts w:ascii="Times New Roman" w:hAnsi="Times New Roman"/>
                <w:sz w:val="24"/>
                <w:szCs w:val="24"/>
              </w:rPr>
              <w:t>prisitaikymo išlaidų vertinimą tinkamai atlikti.</w:t>
            </w:r>
          </w:p>
          <w:p w14:paraId="0914E185" w14:textId="2EA99AC1" w:rsidR="008D36FF" w:rsidRPr="00E9339E" w:rsidRDefault="008D36FF" w:rsidP="00442D6A">
            <w:pPr>
              <w:spacing w:after="0" w:line="240" w:lineRule="auto"/>
              <w:jc w:val="both"/>
              <w:rPr>
                <w:rFonts w:ascii="Times New Roman" w:hAnsi="Times New Roman"/>
                <w:sz w:val="24"/>
                <w:szCs w:val="24"/>
              </w:rPr>
            </w:pPr>
          </w:p>
        </w:tc>
      </w:tr>
      <w:tr w:rsidR="008D36FF" w:rsidRPr="0009474E" w14:paraId="306CAE47" w14:textId="77777777" w:rsidTr="00A1568F">
        <w:trPr>
          <w:trHeight w:val="397"/>
        </w:trPr>
        <w:tc>
          <w:tcPr>
            <w:tcW w:w="182" w:type="pct"/>
            <w:vMerge/>
            <w:tcBorders>
              <w:left w:val="single" w:sz="4" w:space="0" w:color="auto"/>
              <w:right w:val="single" w:sz="4" w:space="0" w:color="auto"/>
            </w:tcBorders>
            <w:shd w:val="clear" w:color="auto" w:fill="FFFFFF" w:themeFill="background1"/>
          </w:tcPr>
          <w:p w14:paraId="659E3C8C" w14:textId="77777777" w:rsidR="008D36FF" w:rsidRDefault="008D36FF" w:rsidP="00442D6A">
            <w:pPr>
              <w:pStyle w:val="Sraopastraipa"/>
              <w:numPr>
                <w:ilvl w:val="0"/>
                <w:numId w:val="6"/>
              </w:numPr>
              <w:tabs>
                <w:tab w:val="left" w:pos="360"/>
              </w:tabs>
              <w:autoSpaceDE w:val="0"/>
              <w:autoSpaceDN w:val="0"/>
              <w:adjustRightInd w:val="0"/>
              <w:spacing w:after="0"/>
              <w:ind w:left="0"/>
              <w:rPr>
                <w:rFonts w:ascii="Times New Roman" w:hAnsi="Times New Roman"/>
                <w:color w:val="000000"/>
                <w:sz w:val="24"/>
                <w:szCs w:val="24"/>
              </w:rPr>
            </w:pPr>
          </w:p>
        </w:tc>
        <w:tc>
          <w:tcPr>
            <w:tcW w:w="628" w:type="pct"/>
            <w:vMerge/>
            <w:tcBorders>
              <w:left w:val="single" w:sz="4" w:space="0" w:color="auto"/>
              <w:right w:val="single" w:sz="4" w:space="0" w:color="auto"/>
            </w:tcBorders>
            <w:shd w:val="clear" w:color="auto" w:fill="FFFFFF" w:themeFill="background1"/>
          </w:tcPr>
          <w:p w14:paraId="0285BFA6" w14:textId="77777777" w:rsidR="008D36FF" w:rsidRDefault="008D36FF" w:rsidP="00442D6A">
            <w:pPr>
              <w:autoSpaceDE w:val="0"/>
              <w:autoSpaceDN w:val="0"/>
              <w:adjustRightInd w:val="0"/>
              <w:spacing w:after="0" w:line="240" w:lineRule="auto"/>
              <w:rPr>
                <w:rFonts w:ascii="Times New Roman" w:hAnsi="Times New Roman"/>
                <w:color w:val="000000"/>
                <w:sz w:val="24"/>
                <w:szCs w:val="24"/>
              </w:rPr>
            </w:pPr>
          </w:p>
        </w:tc>
        <w:tc>
          <w:tcPr>
            <w:tcW w:w="2054" w:type="pct"/>
            <w:tcBorders>
              <w:top w:val="single" w:sz="4" w:space="0" w:color="auto"/>
              <w:left w:val="single" w:sz="4" w:space="0" w:color="auto"/>
              <w:bottom w:val="single" w:sz="4" w:space="0" w:color="auto"/>
              <w:right w:val="single" w:sz="4" w:space="0" w:color="auto"/>
            </w:tcBorders>
            <w:shd w:val="clear" w:color="auto" w:fill="FFFFFF" w:themeFill="background1"/>
          </w:tcPr>
          <w:p w14:paraId="09C07FEA" w14:textId="3D50A782" w:rsidR="008D36FF" w:rsidRPr="00894C85" w:rsidRDefault="008D36FF" w:rsidP="00442D6A">
            <w:pPr>
              <w:pStyle w:val="AssecoParagraphNormalFirstLine"/>
              <w:tabs>
                <w:tab w:val="left" w:pos="325"/>
              </w:tabs>
              <w:ind w:firstLine="0"/>
              <w:rPr>
                <w:rFonts w:ascii="Times New Roman" w:hAnsi="Times New Roman"/>
                <w:sz w:val="24"/>
                <w:szCs w:val="24"/>
              </w:rPr>
            </w:pPr>
            <w:r w:rsidRPr="00894C85">
              <w:rPr>
                <w:rFonts w:ascii="Times New Roman" w:hAnsi="Times New Roman"/>
                <w:sz w:val="24"/>
                <w:szCs w:val="24"/>
              </w:rPr>
              <w:t xml:space="preserve"> 2. Nutarimo projekto 3.2 papunktyje kiekvienai institucijai nustatomas prisitaikymo prie reguliavimo išlaidų ūkio subjektams mažinimo tikslas – bendras prisitaikymo prie reguliavimo išlaidų, kurias sukelia ūkio subjektams institucijos kompetencijos srityje inicijuotas teisinis reguliavimas, lygis per kalendorinius metus turi išlikti nepakitęs arba mažėti. Nėra aišku, kaip šis tikslas galės būti įgyvendintas ir kokių teisinių padarinių galėtų kilti, jei:</w:t>
            </w:r>
          </w:p>
          <w:p w14:paraId="38F7DC3F" w14:textId="65F86FB7" w:rsidR="008D36FF" w:rsidRPr="00894C85" w:rsidRDefault="008D36FF" w:rsidP="00442D6A">
            <w:pPr>
              <w:pStyle w:val="AssecoParagraphNormalFirstLine"/>
              <w:tabs>
                <w:tab w:val="left" w:pos="325"/>
              </w:tabs>
              <w:ind w:firstLine="183"/>
              <w:rPr>
                <w:rFonts w:ascii="Times New Roman" w:hAnsi="Times New Roman"/>
                <w:sz w:val="24"/>
                <w:szCs w:val="24"/>
              </w:rPr>
            </w:pPr>
            <w:r w:rsidRPr="00894C85">
              <w:rPr>
                <w:rFonts w:ascii="Times New Roman" w:hAnsi="Times New Roman"/>
                <w:sz w:val="24"/>
                <w:szCs w:val="24"/>
              </w:rPr>
              <w:t xml:space="preserve"> 1) reikalavimai nustatyti atitinkamus įpareigojimus ūkio subjektams kiltų iš privalomų įgyvendinti Europos Sąjungos teisės aktų ar tarptautinės teisės aktų; </w:t>
            </w:r>
          </w:p>
          <w:p w14:paraId="6016064A" w14:textId="2E8DDC7C" w:rsidR="008D36FF" w:rsidRDefault="008D36FF" w:rsidP="00442D6A">
            <w:pPr>
              <w:pStyle w:val="AssecoParagraphNormalFirstLine"/>
              <w:tabs>
                <w:tab w:val="left" w:pos="325"/>
              </w:tabs>
              <w:ind w:firstLine="183"/>
              <w:rPr>
                <w:rFonts w:ascii="Times New Roman" w:hAnsi="Times New Roman"/>
                <w:sz w:val="24"/>
                <w:szCs w:val="24"/>
              </w:rPr>
            </w:pPr>
            <w:r w:rsidRPr="00894C85">
              <w:rPr>
                <w:rFonts w:ascii="Times New Roman" w:hAnsi="Times New Roman"/>
                <w:sz w:val="24"/>
                <w:szCs w:val="24"/>
              </w:rPr>
              <w:lastRenderedPageBreak/>
              <w:t xml:space="preserve"> 2) Lietuvos Respublikos Seimui inicijavus ministerijos kompetencijos srities teisinį reguliavimą ir ministerijai, vadovaujantis Nutarimo projekto 2.2 papunkčiu, po atitinkamo teisės akto priėmimo pateikus Teisės aktu sukeliamų arba teisės akto projektu galimų sukelti prisitaikymo prie reguliavimo išlaidų apskaičiavimo ataskaitą Ekonomikos ir inovacijų ministerijai būtų nustatyta, kad konkrečiu teisės aktu nustatyti įpareigojimai sukeltų ūkio subjektams didelių prisitaikymo prie reguliavimo išlaidų.</w:t>
            </w:r>
          </w:p>
        </w:tc>
        <w:tc>
          <w:tcPr>
            <w:tcW w:w="2136" w:type="pct"/>
            <w:tcBorders>
              <w:top w:val="single" w:sz="4" w:space="0" w:color="auto"/>
              <w:left w:val="single" w:sz="4" w:space="0" w:color="auto"/>
              <w:bottom w:val="single" w:sz="4" w:space="0" w:color="auto"/>
              <w:right w:val="single" w:sz="4" w:space="0" w:color="auto"/>
            </w:tcBorders>
            <w:shd w:val="clear" w:color="auto" w:fill="FFFFFF" w:themeFill="background1"/>
          </w:tcPr>
          <w:p w14:paraId="3DE05411" w14:textId="77777777" w:rsidR="00F028F0" w:rsidRDefault="002E5B9F" w:rsidP="00442D6A">
            <w:pPr>
              <w:spacing w:after="0" w:line="240" w:lineRule="auto"/>
              <w:jc w:val="both"/>
              <w:rPr>
                <w:rFonts w:ascii="Times New Roman" w:hAnsi="Times New Roman"/>
                <w:b/>
                <w:bCs/>
                <w:sz w:val="24"/>
                <w:szCs w:val="24"/>
              </w:rPr>
            </w:pPr>
            <w:r>
              <w:rPr>
                <w:rFonts w:ascii="Times New Roman" w:hAnsi="Times New Roman"/>
                <w:b/>
                <w:bCs/>
                <w:sz w:val="24"/>
                <w:szCs w:val="24"/>
              </w:rPr>
              <w:lastRenderedPageBreak/>
              <w:t>Neatsižvelgta.</w:t>
            </w:r>
          </w:p>
          <w:p w14:paraId="18754F4D" w14:textId="44EBE76F" w:rsidR="002E5B9F" w:rsidRDefault="001B1002" w:rsidP="00442D6A">
            <w:pPr>
              <w:spacing w:after="0" w:line="240" w:lineRule="auto"/>
              <w:jc w:val="both"/>
              <w:rPr>
                <w:rFonts w:ascii="Times New Roman" w:hAnsi="Times New Roman"/>
                <w:sz w:val="24"/>
                <w:szCs w:val="24"/>
              </w:rPr>
            </w:pPr>
            <w:r w:rsidRPr="00F028F0">
              <w:rPr>
                <w:rFonts w:ascii="Times New Roman" w:hAnsi="Times New Roman"/>
                <w:sz w:val="24"/>
                <w:szCs w:val="24"/>
              </w:rPr>
              <w:t xml:space="preserve">Žr. </w:t>
            </w:r>
            <w:r w:rsidR="00F028F0" w:rsidRPr="00F028F0">
              <w:rPr>
                <w:rFonts w:ascii="Times New Roman" w:hAnsi="Times New Roman"/>
                <w:sz w:val="24"/>
                <w:szCs w:val="24"/>
              </w:rPr>
              <w:t>a</w:t>
            </w:r>
            <w:r w:rsidRPr="00F028F0">
              <w:rPr>
                <w:rFonts w:ascii="Times New Roman" w:hAnsi="Times New Roman"/>
                <w:sz w:val="24"/>
                <w:szCs w:val="24"/>
              </w:rPr>
              <w:t>rgumentus, nurodytus prie Socialinė</w:t>
            </w:r>
            <w:r w:rsidR="00F028F0" w:rsidRPr="00F028F0">
              <w:rPr>
                <w:rFonts w:ascii="Times New Roman" w:hAnsi="Times New Roman"/>
                <w:sz w:val="24"/>
                <w:szCs w:val="24"/>
              </w:rPr>
              <w:t xml:space="preserve">s apsaugos ir darbo ministerijos </w:t>
            </w:r>
            <w:r w:rsidRPr="00F028F0">
              <w:rPr>
                <w:rFonts w:ascii="Times New Roman" w:hAnsi="Times New Roman"/>
                <w:sz w:val="24"/>
                <w:szCs w:val="24"/>
              </w:rPr>
              <w:t xml:space="preserve">4 </w:t>
            </w:r>
            <w:r w:rsidR="00F028F0" w:rsidRPr="00F028F0">
              <w:rPr>
                <w:rFonts w:ascii="Times New Roman" w:hAnsi="Times New Roman"/>
                <w:sz w:val="24"/>
                <w:szCs w:val="24"/>
              </w:rPr>
              <w:t>pastabos.</w:t>
            </w:r>
          </w:p>
          <w:p w14:paraId="291A5FAC" w14:textId="77777777" w:rsidR="000B751A" w:rsidRDefault="000B751A" w:rsidP="00442D6A">
            <w:pPr>
              <w:spacing w:after="0" w:line="240" w:lineRule="auto"/>
              <w:jc w:val="both"/>
              <w:rPr>
                <w:rFonts w:ascii="Times New Roman" w:hAnsi="Times New Roman"/>
                <w:sz w:val="24"/>
                <w:szCs w:val="24"/>
              </w:rPr>
            </w:pPr>
          </w:p>
          <w:p w14:paraId="47FC2D8F" w14:textId="0438CCAF" w:rsidR="003F232C" w:rsidRPr="00405F27" w:rsidRDefault="00691E58" w:rsidP="00442D6A">
            <w:pPr>
              <w:spacing w:after="0" w:line="240" w:lineRule="auto"/>
              <w:jc w:val="both"/>
              <w:rPr>
                <w:rFonts w:ascii="Times New Roman" w:hAnsi="Times New Roman"/>
                <w:sz w:val="24"/>
                <w:szCs w:val="24"/>
              </w:rPr>
            </w:pPr>
            <w:r>
              <w:rPr>
                <w:rFonts w:ascii="Times New Roman" w:hAnsi="Times New Roman"/>
                <w:sz w:val="24"/>
                <w:szCs w:val="24"/>
              </w:rPr>
              <w:t xml:space="preserve">Be to, paminėtina, kad </w:t>
            </w:r>
            <w:r w:rsidR="000B1D7E">
              <w:rPr>
                <w:rFonts w:ascii="Times New Roman" w:hAnsi="Times New Roman"/>
                <w:sz w:val="24"/>
                <w:szCs w:val="24"/>
              </w:rPr>
              <w:t>jeigu institucijoms nepavyktų laikytis prisitaikymo prie reguliavimo išlaidų ūkio</w:t>
            </w:r>
            <w:r w:rsidR="004D4E89">
              <w:rPr>
                <w:rFonts w:ascii="Times New Roman" w:hAnsi="Times New Roman"/>
                <w:sz w:val="24"/>
                <w:szCs w:val="24"/>
              </w:rPr>
              <w:t xml:space="preserve"> subjektams</w:t>
            </w:r>
            <w:r w:rsidR="000B1D7E">
              <w:rPr>
                <w:rFonts w:ascii="Times New Roman" w:hAnsi="Times New Roman"/>
                <w:sz w:val="24"/>
                <w:szCs w:val="24"/>
              </w:rPr>
              <w:t xml:space="preserve"> </w:t>
            </w:r>
            <w:r w:rsidR="00CE7D4C">
              <w:rPr>
                <w:rFonts w:ascii="Times New Roman" w:hAnsi="Times New Roman"/>
                <w:sz w:val="24"/>
                <w:szCs w:val="24"/>
              </w:rPr>
              <w:t>mažinimo tikslo</w:t>
            </w:r>
            <w:r w:rsidR="00822F09">
              <w:rPr>
                <w:rFonts w:ascii="Times New Roman" w:hAnsi="Times New Roman"/>
                <w:sz w:val="24"/>
                <w:szCs w:val="24"/>
              </w:rPr>
              <w:t>, teisinių padarinių dėl to nėra numatyta.</w:t>
            </w:r>
            <w:r w:rsidR="00A3291A">
              <w:rPr>
                <w:rFonts w:ascii="Times New Roman" w:hAnsi="Times New Roman"/>
                <w:sz w:val="24"/>
                <w:szCs w:val="24"/>
              </w:rPr>
              <w:t xml:space="preserve"> Šiuo metu taip pat ne visoms institucijoms pavyksta laikytis „One </w:t>
            </w:r>
            <w:proofErr w:type="spellStart"/>
            <w:r w:rsidR="00040E0C">
              <w:rPr>
                <w:rFonts w:ascii="Times New Roman" w:hAnsi="Times New Roman"/>
                <w:sz w:val="24"/>
                <w:szCs w:val="24"/>
              </w:rPr>
              <w:t>in</w:t>
            </w:r>
            <w:proofErr w:type="spellEnd"/>
            <w:r w:rsidR="00040E0C">
              <w:rPr>
                <w:rFonts w:ascii="Times New Roman" w:hAnsi="Times New Roman"/>
                <w:sz w:val="24"/>
                <w:szCs w:val="24"/>
              </w:rPr>
              <w:t xml:space="preserve">, </w:t>
            </w:r>
            <w:proofErr w:type="spellStart"/>
            <w:r w:rsidR="00040E0C">
              <w:rPr>
                <w:rFonts w:ascii="Times New Roman" w:hAnsi="Times New Roman"/>
                <w:sz w:val="24"/>
                <w:szCs w:val="24"/>
              </w:rPr>
              <w:t>one</w:t>
            </w:r>
            <w:proofErr w:type="spellEnd"/>
            <w:r w:rsidR="00040E0C">
              <w:rPr>
                <w:rFonts w:ascii="Times New Roman" w:hAnsi="Times New Roman"/>
                <w:sz w:val="24"/>
                <w:szCs w:val="24"/>
              </w:rPr>
              <w:t xml:space="preserve"> </w:t>
            </w:r>
            <w:proofErr w:type="spellStart"/>
            <w:r w:rsidR="00040E0C">
              <w:rPr>
                <w:rFonts w:ascii="Times New Roman" w:hAnsi="Times New Roman"/>
                <w:sz w:val="24"/>
                <w:szCs w:val="24"/>
              </w:rPr>
              <w:t>out</w:t>
            </w:r>
            <w:proofErr w:type="spellEnd"/>
            <w:r w:rsidR="00040E0C">
              <w:rPr>
                <w:rFonts w:ascii="Times New Roman" w:hAnsi="Times New Roman"/>
                <w:sz w:val="24"/>
                <w:szCs w:val="24"/>
              </w:rPr>
              <w:t xml:space="preserve">“ principo, pvz., </w:t>
            </w:r>
            <w:r w:rsidR="00040E0C">
              <w:rPr>
                <w:rFonts w:ascii="Times New Roman" w:hAnsi="Times New Roman"/>
                <w:sz w:val="24"/>
                <w:szCs w:val="24"/>
                <w:lang w:val="en-US"/>
              </w:rPr>
              <w:t xml:space="preserve">2020 </w:t>
            </w:r>
            <w:r w:rsidR="00040E0C">
              <w:rPr>
                <w:rFonts w:ascii="Times New Roman" w:hAnsi="Times New Roman"/>
                <w:sz w:val="24"/>
                <w:szCs w:val="24"/>
              </w:rPr>
              <w:t>m. tik pus</w:t>
            </w:r>
            <w:r w:rsidR="00BA567D">
              <w:rPr>
                <w:rFonts w:ascii="Times New Roman" w:hAnsi="Times New Roman"/>
                <w:sz w:val="24"/>
                <w:szCs w:val="24"/>
              </w:rPr>
              <w:t>ei</w:t>
            </w:r>
            <w:r w:rsidR="00040E0C">
              <w:rPr>
                <w:rFonts w:ascii="Times New Roman" w:hAnsi="Times New Roman"/>
                <w:sz w:val="24"/>
                <w:szCs w:val="24"/>
              </w:rPr>
              <w:t xml:space="preserve"> institucijų pavyko sumažinti administracinę naštą</w:t>
            </w:r>
            <w:r w:rsidR="00881C96">
              <w:rPr>
                <w:rFonts w:ascii="Times New Roman" w:hAnsi="Times New Roman"/>
                <w:sz w:val="24"/>
                <w:szCs w:val="24"/>
              </w:rPr>
              <w:t xml:space="preserve"> ūkio subjektams</w:t>
            </w:r>
            <w:r w:rsidR="00562B18">
              <w:rPr>
                <w:rFonts w:ascii="Times New Roman" w:hAnsi="Times New Roman"/>
                <w:sz w:val="24"/>
                <w:szCs w:val="24"/>
              </w:rPr>
              <w:t xml:space="preserve">, todėl atsižvelgiant į tai manytina, kad iš </w:t>
            </w:r>
            <w:r w:rsidR="00003DD9">
              <w:rPr>
                <w:rFonts w:ascii="Times New Roman" w:hAnsi="Times New Roman"/>
                <w:sz w:val="24"/>
                <w:szCs w:val="24"/>
              </w:rPr>
              <w:t xml:space="preserve">pradžių taip pat gali nepavykti </w:t>
            </w:r>
            <w:r w:rsidR="00003DD9">
              <w:rPr>
                <w:rFonts w:ascii="Times New Roman" w:hAnsi="Times New Roman"/>
                <w:sz w:val="24"/>
                <w:szCs w:val="24"/>
              </w:rPr>
              <w:lastRenderedPageBreak/>
              <w:t>visoms institucijoms sumažinti prisitaikymo prie reguliavimo išlaidų</w:t>
            </w:r>
            <w:r w:rsidR="00881C96">
              <w:rPr>
                <w:rFonts w:ascii="Times New Roman" w:hAnsi="Times New Roman"/>
                <w:sz w:val="24"/>
                <w:szCs w:val="24"/>
              </w:rPr>
              <w:t xml:space="preserve"> ūkio subjektams</w:t>
            </w:r>
            <w:r w:rsidR="000A0805">
              <w:rPr>
                <w:rFonts w:ascii="Times New Roman" w:hAnsi="Times New Roman"/>
                <w:sz w:val="24"/>
                <w:szCs w:val="24"/>
              </w:rPr>
              <w:t>.</w:t>
            </w:r>
            <w:r w:rsidR="00003DD9">
              <w:rPr>
                <w:rFonts w:ascii="Times New Roman" w:hAnsi="Times New Roman"/>
                <w:sz w:val="24"/>
                <w:szCs w:val="24"/>
              </w:rPr>
              <w:t xml:space="preserve"> </w:t>
            </w:r>
            <w:r w:rsidR="000A0805">
              <w:rPr>
                <w:rFonts w:ascii="Times New Roman" w:hAnsi="Times New Roman"/>
                <w:sz w:val="24"/>
                <w:szCs w:val="24"/>
              </w:rPr>
              <w:t>T</w:t>
            </w:r>
            <w:r w:rsidR="00003DD9">
              <w:rPr>
                <w:rFonts w:ascii="Times New Roman" w:hAnsi="Times New Roman"/>
                <w:sz w:val="24"/>
                <w:szCs w:val="24"/>
              </w:rPr>
              <w:t xml:space="preserve">ačiau </w:t>
            </w:r>
            <w:r w:rsidR="00D24535">
              <w:rPr>
                <w:rFonts w:ascii="Times New Roman" w:hAnsi="Times New Roman"/>
                <w:sz w:val="24"/>
                <w:szCs w:val="24"/>
              </w:rPr>
              <w:t xml:space="preserve">kiekviena institucija turi žinoti, kad turi </w:t>
            </w:r>
            <w:r w:rsidR="000177A1">
              <w:rPr>
                <w:rFonts w:ascii="Times New Roman" w:hAnsi="Times New Roman"/>
                <w:sz w:val="24"/>
                <w:szCs w:val="24"/>
              </w:rPr>
              <w:t xml:space="preserve">tokią </w:t>
            </w:r>
            <w:r w:rsidR="009C78C4">
              <w:rPr>
                <w:rFonts w:ascii="Times New Roman" w:hAnsi="Times New Roman"/>
                <w:sz w:val="24"/>
                <w:szCs w:val="24"/>
              </w:rPr>
              <w:t xml:space="preserve">pareigą </w:t>
            </w:r>
            <w:r w:rsidR="00D24535">
              <w:rPr>
                <w:rFonts w:ascii="Times New Roman" w:hAnsi="Times New Roman"/>
                <w:sz w:val="24"/>
                <w:szCs w:val="24"/>
              </w:rPr>
              <w:t>ir steng</w:t>
            </w:r>
            <w:r w:rsidR="00881C96">
              <w:rPr>
                <w:rFonts w:ascii="Times New Roman" w:hAnsi="Times New Roman"/>
                <w:sz w:val="24"/>
                <w:szCs w:val="24"/>
              </w:rPr>
              <w:t>tis</w:t>
            </w:r>
            <w:r w:rsidR="00D24535">
              <w:rPr>
                <w:rFonts w:ascii="Times New Roman" w:hAnsi="Times New Roman"/>
                <w:sz w:val="24"/>
                <w:szCs w:val="24"/>
              </w:rPr>
              <w:t xml:space="preserve"> </w:t>
            </w:r>
            <w:r w:rsidR="0060232A">
              <w:rPr>
                <w:rFonts w:ascii="Times New Roman" w:hAnsi="Times New Roman"/>
                <w:sz w:val="24"/>
                <w:szCs w:val="24"/>
              </w:rPr>
              <w:t>ieškoti būdų kaip tai padaryti.</w:t>
            </w:r>
            <w:r w:rsidR="000177A1">
              <w:rPr>
                <w:rFonts w:ascii="Times New Roman" w:hAnsi="Times New Roman"/>
                <w:sz w:val="24"/>
                <w:szCs w:val="24"/>
              </w:rPr>
              <w:t xml:space="preserve"> Jeigu</w:t>
            </w:r>
            <w:r w:rsidR="001F03CC">
              <w:rPr>
                <w:rFonts w:ascii="Times New Roman" w:hAnsi="Times New Roman"/>
                <w:sz w:val="24"/>
                <w:szCs w:val="24"/>
              </w:rPr>
              <w:t xml:space="preserve"> yra įgyvendinami Europos Sąjungos, tarptautiniai</w:t>
            </w:r>
            <w:r w:rsidR="00BF19C0">
              <w:rPr>
                <w:rFonts w:ascii="Times New Roman" w:hAnsi="Times New Roman"/>
                <w:sz w:val="24"/>
                <w:szCs w:val="24"/>
              </w:rPr>
              <w:t>s</w:t>
            </w:r>
            <w:r w:rsidR="001F03CC">
              <w:rPr>
                <w:rFonts w:ascii="Times New Roman" w:hAnsi="Times New Roman"/>
                <w:sz w:val="24"/>
                <w:szCs w:val="24"/>
              </w:rPr>
              <w:t xml:space="preserve"> teisės aktai</w:t>
            </w:r>
            <w:r w:rsidR="00294060">
              <w:rPr>
                <w:rFonts w:ascii="Times New Roman" w:hAnsi="Times New Roman"/>
                <w:sz w:val="24"/>
                <w:szCs w:val="24"/>
              </w:rPr>
              <w:t>s</w:t>
            </w:r>
            <w:r w:rsidR="001F03CC">
              <w:rPr>
                <w:rFonts w:ascii="Times New Roman" w:hAnsi="Times New Roman"/>
                <w:sz w:val="24"/>
                <w:szCs w:val="24"/>
              </w:rPr>
              <w:t xml:space="preserve"> </w:t>
            </w:r>
            <w:r w:rsidR="00382429">
              <w:rPr>
                <w:rFonts w:ascii="Times New Roman" w:hAnsi="Times New Roman"/>
                <w:sz w:val="24"/>
                <w:szCs w:val="24"/>
              </w:rPr>
              <w:t>sukeliamos prisitaikymo prie reguliavimo išlaidos</w:t>
            </w:r>
            <w:r w:rsidR="00C625E6">
              <w:rPr>
                <w:rFonts w:ascii="Times New Roman" w:hAnsi="Times New Roman"/>
                <w:sz w:val="24"/>
                <w:szCs w:val="24"/>
              </w:rPr>
              <w:t xml:space="preserve"> ir jos yra did</w:t>
            </w:r>
            <w:r w:rsidR="00361F50">
              <w:rPr>
                <w:rFonts w:ascii="Times New Roman" w:hAnsi="Times New Roman"/>
                <w:sz w:val="24"/>
                <w:szCs w:val="24"/>
              </w:rPr>
              <w:t>ėjančios</w:t>
            </w:r>
            <w:r w:rsidR="00B26E32">
              <w:rPr>
                <w:rFonts w:ascii="Times New Roman" w:hAnsi="Times New Roman"/>
                <w:sz w:val="24"/>
                <w:szCs w:val="24"/>
              </w:rPr>
              <w:t>, tokiu atveju ministerija turi ieškoti kitų būdų kaip toje ar kitose ministerijos kompetencijos srityse sumažinti prisitaikymo prie reguliavimo išlaidas ūkio subjektams.</w:t>
            </w:r>
          </w:p>
        </w:tc>
      </w:tr>
      <w:tr w:rsidR="008D36FF" w:rsidRPr="0009474E" w14:paraId="2104CAC1" w14:textId="77777777" w:rsidTr="00A1568F">
        <w:trPr>
          <w:trHeight w:val="397"/>
        </w:trPr>
        <w:tc>
          <w:tcPr>
            <w:tcW w:w="182" w:type="pct"/>
            <w:vMerge w:val="restart"/>
            <w:tcBorders>
              <w:left w:val="single" w:sz="4" w:space="0" w:color="auto"/>
              <w:right w:val="single" w:sz="4" w:space="0" w:color="auto"/>
            </w:tcBorders>
            <w:shd w:val="clear" w:color="auto" w:fill="FFFFFF" w:themeFill="background1"/>
          </w:tcPr>
          <w:p w14:paraId="52954E24" w14:textId="0A93AFF4" w:rsidR="008D36FF" w:rsidRDefault="0088281C" w:rsidP="00442D6A">
            <w:pPr>
              <w:pStyle w:val="Sraopastraipa"/>
              <w:tabs>
                <w:tab w:val="left" w:pos="360"/>
              </w:tabs>
              <w:autoSpaceDE w:val="0"/>
              <w:autoSpaceDN w:val="0"/>
              <w:adjustRightInd w:val="0"/>
              <w:spacing w:after="0"/>
              <w:ind w:left="0"/>
              <w:rPr>
                <w:rFonts w:ascii="Times New Roman" w:hAnsi="Times New Roman"/>
                <w:color w:val="000000"/>
                <w:sz w:val="24"/>
                <w:szCs w:val="24"/>
              </w:rPr>
            </w:pPr>
            <w:r>
              <w:rPr>
                <w:rFonts w:ascii="Times New Roman" w:hAnsi="Times New Roman"/>
                <w:color w:val="000000"/>
                <w:sz w:val="24"/>
                <w:szCs w:val="24"/>
              </w:rPr>
              <w:lastRenderedPageBreak/>
              <w:t>7</w:t>
            </w:r>
            <w:r w:rsidR="00604DB3">
              <w:rPr>
                <w:rFonts w:ascii="Times New Roman" w:hAnsi="Times New Roman"/>
                <w:color w:val="000000"/>
                <w:sz w:val="24"/>
                <w:szCs w:val="24"/>
              </w:rPr>
              <w:t>.</w:t>
            </w:r>
          </w:p>
        </w:tc>
        <w:tc>
          <w:tcPr>
            <w:tcW w:w="628" w:type="pct"/>
            <w:vMerge w:val="restart"/>
            <w:tcBorders>
              <w:left w:val="single" w:sz="4" w:space="0" w:color="auto"/>
              <w:right w:val="single" w:sz="4" w:space="0" w:color="auto"/>
            </w:tcBorders>
            <w:shd w:val="clear" w:color="auto" w:fill="FFFFFF" w:themeFill="background1"/>
          </w:tcPr>
          <w:p w14:paraId="46C19756" w14:textId="77777777" w:rsidR="008D36FF" w:rsidRDefault="008D36FF" w:rsidP="00442D6A">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Lietuvos statistikos departamento </w:t>
            </w:r>
            <w:r w:rsidRPr="00F02C73">
              <w:rPr>
                <w:rFonts w:ascii="Times New Roman" w:hAnsi="Times New Roman"/>
                <w:color w:val="000000"/>
                <w:sz w:val="24"/>
                <w:szCs w:val="24"/>
              </w:rPr>
              <w:t xml:space="preserve">2021 m. birželio </w:t>
            </w:r>
            <w:r>
              <w:rPr>
                <w:rFonts w:ascii="Times New Roman" w:hAnsi="Times New Roman"/>
                <w:color w:val="000000"/>
                <w:sz w:val="24"/>
                <w:szCs w:val="24"/>
              </w:rPr>
              <w:t>7</w:t>
            </w:r>
            <w:r w:rsidRPr="00F02C73">
              <w:rPr>
                <w:rFonts w:ascii="Times New Roman" w:hAnsi="Times New Roman"/>
                <w:color w:val="000000"/>
                <w:sz w:val="24"/>
                <w:szCs w:val="24"/>
              </w:rPr>
              <w:t xml:space="preserve"> d. raštas Nr. </w:t>
            </w:r>
            <w:r w:rsidRPr="00E85ABF">
              <w:rPr>
                <w:rFonts w:ascii="Times New Roman" w:hAnsi="Times New Roman"/>
                <w:color w:val="000000"/>
                <w:sz w:val="24"/>
                <w:szCs w:val="24"/>
              </w:rPr>
              <w:t>SD-497</w:t>
            </w:r>
          </w:p>
          <w:p w14:paraId="6ABB3ABC" w14:textId="77777777" w:rsidR="008D36FF" w:rsidRDefault="008D36FF" w:rsidP="00442D6A">
            <w:pPr>
              <w:autoSpaceDE w:val="0"/>
              <w:autoSpaceDN w:val="0"/>
              <w:adjustRightInd w:val="0"/>
              <w:spacing w:after="0" w:line="240" w:lineRule="auto"/>
              <w:rPr>
                <w:rFonts w:ascii="Times New Roman" w:hAnsi="Times New Roman"/>
                <w:color w:val="000000"/>
                <w:sz w:val="24"/>
                <w:szCs w:val="24"/>
              </w:rPr>
            </w:pPr>
          </w:p>
          <w:p w14:paraId="44E38E79" w14:textId="62594D04" w:rsidR="008D36FF" w:rsidRDefault="008D36FF" w:rsidP="00442D6A">
            <w:pPr>
              <w:autoSpaceDE w:val="0"/>
              <w:autoSpaceDN w:val="0"/>
              <w:adjustRightInd w:val="0"/>
              <w:spacing w:after="0" w:line="240" w:lineRule="auto"/>
              <w:rPr>
                <w:rFonts w:ascii="Times New Roman" w:hAnsi="Times New Roman"/>
                <w:color w:val="000000"/>
                <w:sz w:val="24"/>
                <w:szCs w:val="24"/>
              </w:rPr>
            </w:pPr>
          </w:p>
        </w:tc>
        <w:tc>
          <w:tcPr>
            <w:tcW w:w="2054" w:type="pct"/>
            <w:tcBorders>
              <w:top w:val="single" w:sz="4" w:space="0" w:color="auto"/>
              <w:left w:val="single" w:sz="4" w:space="0" w:color="auto"/>
              <w:bottom w:val="single" w:sz="4" w:space="0" w:color="auto"/>
              <w:right w:val="single" w:sz="4" w:space="0" w:color="auto"/>
            </w:tcBorders>
            <w:shd w:val="clear" w:color="auto" w:fill="FFFFFF" w:themeFill="background1"/>
          </w:tcPr>
          <w:p w14:paraId="68DD982A" w14:textId="62CE5198" w:rsidR="008D36FF" w:rsidRDefault="008D36FF" w:rsidP="00442D6A">
            <w:pPr>
              <w:tabs>
                <w:tab w:val="left" w:pos="325"/>
              </w:tabs>
              <w:spacing w:after="0" w:line="240" w:lineRule="auto"/>
              <w:ind w:firstLine="41"/>
              <w:jc w:val="both"/>
              <w:rPr>
                <w:rFonts w:ascii="Times New Roman" w:hAnsi="Times New Roman"/>
                <w:sz w:val="24"/>
                <w:szCs w:val="20"/>
              </w:rPr>
            </w:pPr>
            <w:r w:rsidRPr="00C97B4C">
              <w:rPr>
                <w:rFonts w:ascii="Times New Roman" w:hAnsi="Times New Roman"/>
                <w:sz w:val="24"/>
                <w:szCs w:val="20"/>
              </w:rPr>
              <w:t>1.</w:t>
            </w:r>
            <w:r w:rsidRPr="00C97B4C">
              <w:rPr>
                <w:rFonts w:ascii="Times New Roman" w:hAnsi="Times New Roman"/>
                <w:sz w:val="24"/>
                <w:szCs w:val="20"/>
              </w:rPr>
              <w:tab/>
              <w:t>Siūlome patikslinti Nutarimo projekto 3.2 papunktį jį papildant žodžiais „</w:t>
            </w:r>
            <w:r w:rsidRPr="004278FD">
              <w:rPr>
                <w:rFonts w:ascii="Times New Roman" w:hAnsi="Times New Roman"/>
                <w:i/>
                <w:iCs/>
                <w:sz w:val="24"/>
                <w:szCs w:val="20"/>
              </w:rPr>
              <w:t>palyginti su ankstesniais metais</w:t>
            </w:r>
            <w:r w:rsidRPr="00C97B4C">
              <w:rPr>
                <w:rFonts w:ascii="Times New Roman" w:hAnsi="Times New Roman"/>
                <w:sz w:val="24"/>
                <w:szCs w:val="20"/>
              </w:rPr>
              <w:t>,“ ir formuluojant: „3.2. kiekvienai institucijai prisitaikymo prie reguliavimo išlaidų ūkio subjektams mažinimo tikslą – bendras prisitaikymo prie reguliavimo išlaidų, kurias sukelia ūkio subjektams institucijos kompetencijos srityje inicijuotas teisinis reguliavimas, lygis per kalendorinius metus</w:t>
            </w:r>
            <w:r w:rsidRPr="004278FD">
              <w:rPr>
                <w:rFonts w:ascii="Times New Roman" w:hAnsi="Times New Roman"/>
                <w:i/>
                <w:iCs/>
                <w:sz w:val="24"/>
                <w:szCs w:val="20"/>
              </w:rPr>
              <w:t>, palyginti su ankstesniais metais</w:t>
            </w:r>
            <w:r w:rsidRPr="00C97B4C">
              <w:rPr>
                <w:rFonts w:ascii="Times New Roman" w:hAnsi="Times New Roman"/>
                <w:sz w:val="24"/>
                <w:szCs w:val="20"/>
              </w:rPr>
              <w:t>, turi išlikti nepakitęs arba mažėti“. Dabartinė formuluotė nėra tiksli ir korektiška, nes per kalendorinius metus patirtos prisitaikymo prie reguliavimo išlaidos (toliau – prisitaikymo išlaidos) mažėti negali (jos jau yra patirtos).</w:t>
            </w:r>
          </w:p>
        </w:tc>
        <w:tc>
          <w:tcPr>
            <w:tcW w:w="2136" w:type="pct"/>
            <w:tcBorders>
              <w:top w:val="single" w:sz="4" w:space="0" w:color="auto"/>
              <w:left w:val="single" w:sz="4" w:space="0" w:color="auto"/>
              <w:bottom w:val="single" w:sz="4" w:space="0" w:color="auto"/>
              <w:right w:val="single" w:sz="4" w:space="0" w:color="auto"/>
            </w:tcBorders>
            <w:shd w:val="clear" w:color="auto" w:fill="FFFFFF" w:themeFill="background1"/>
          </w:tcPr>
          <w:p w14:paraId="601D1264" w14:textId="4AFF1C9D" w:rsidR="008D36FF" w:rsidRDefault="00AC01F4" w:rsidP="00442D6A">
            <w:pPr>
              <w:spacing w:after="0" w:line="240" w:lineRule="auto"/>
              <w:jc w:val="both"/>
              <w:rPr>
                <w:rFonts w:ascii="Times New Roman" w:hAnsi="Times New Roman"/>
                <w:b/>
                <w:bCs/>
                <w:sz w:val="24"/>
                <w:szCs w:val="24"/>
              </w:rPr>
            </w:pPr>
            <w:r>
              <w:rPr>
                <w:rFonts w:ascii="Times New Roman" w:hAnsi="Times New Roman"/>
                <w:b/>
                <w:bCs/>
                <w:sz w:val="24"/>
                <w:szCs w:val="24"/>
              </w:rPr>
              <w:t>Nea</w:t>
            </w:r>
            <w:r w:rsidR="004C6464">
              <w:rPr>
                <w:rFonts w:ascii="Times New Roman" w:hAnsi="Times New Roman"/>
                <w:b/>
                <w:bCs/>
                <w:sz w:val="24"/>
                <w:szCs w:val="24"/>
              </w:rPr>
              <w:t>tsižvelgta.</w:t>
            </w:r>
          </w:p>
          <w:p w14:paraId="43B3A8AC" w14:textId="6E365B19" w:rsidR="00B20885" w:rsidRDefault="00FB72EB" w:rsidP="00442D6A">
            <w:pPr>
              <w:spacing w:after="0" w:line="240" w:lineRule="auto"/>
              <w:jc w:val="both"/>
              <w:rPr>
                <w:rFonts w:ascii="Times New Roman" w:hAnsi="Times New Roman"/>
                <w:sz w:val="24"/>
                <w:szCs w:val="20"/>
              </w:rPr>
            </w:pPr>
            <w:r>
              <w:rPr>
                <w:rFonts w:ascii="Times New Roman" w:hAnsi="Times New Roman"/>
                <w:sz w:val="24"/>
                <w:szCs w:val="24"/>
              </w:rPr>
              <w:t>Ekonomikos ir inovacijų ministerijos n</w:t>
            </w:r>
            <w:r w:rsidR="00B15F96">
              <w:rPr>
                <w:rFonts w:ascii="Times New Roman" w:hAnsi="Times New Roman"/>
                <w:sz w:val="24"/>
                <w:szCs w:val="24"/>
              </w:rPr>
              <w:t>uomone, Jūsų siūlym</w:t>
            </w:r>
            <w:r w:rsidR="00141586">
              <w:rPr>
                <w:rFonts w:ascii="Times New Roman" w:hAnsi="Times New Roman"/>
                <w:sz w:val="24"/>
                <w:szCs w:val="24"/>
              </w:rPr>
              <w:t>u</w:t>
            </w:r>
            <w:r w:rsidR="00B15F96">
              <w:rPr>
                <w:rFonts w:ascii="Times New Roman" w:hAnsi="Times New Roman"/>
                <w:sz w:val="24"/>
                <w:szCs w:val="24"/>
              </w:rPr>
              <w:t xml:space="preserve"> </w:t>
            </w:r>
            <w:r w:rsidR="00141586">
              <w:rPr>
                <w:rFonts w:ascii="Times New Roman" w:hAnsi="Times New Roman"/>
                <w:sz w:val="24"/>
                <w:szCs w:val="24"/>
              </w:rPr>
              <w:t xml:space="preserve">taip patikslinus </w:t>
            </w:r>
            <w:r w:rsidR="00141586" w:rsidRPr="00C97B4C">
              <w:rPr>
                <w:rFonts w:ascii="Times New Roman" w:hAnsi="Times New Roman"/>
                <w:sz w:val="24"/>
                <w:szCs w:val="20"/>
              </w:rPr>
              <w:t xml:space="preserve">Nutarimo projekto </w:t>
            </w:r>
            <w:r w:rsidR="00321173">
              <w:rPr>
                <w:rFonts w:ascii="Times New Roman" w:hAnsi="Times New Roman"/>
                <w:sz w:val="24"/>
                <w:szCs w:val="20"/>
                <w:lang w:val="en-US"/>
              </w:rPr>
              <w:t>2.2.</w:t>
            </w:r>
            <w:r w:rsidR="00141586" w:rsidRPr="00C97B4C">
              <w:rPr>
                <w:rFonts w:ascii="Times New Roman" w:hAnsi="Times New Roman"/>
                <w:sz w:val="24"/>
                <w:szCs w:val="20"/>
              </w:rPr>
              <w:t>3</w:t>
            </w:r>
            <w:r w:rsidR="00321173">
              <w:rPr>
                <w:rFonts w:ascii="Times New Roman" w:hAnsi="Times New Roman"/>
                <w:sz w:val="24"/>
                <w:szCs w:val="20"/>
              </w:rPr>
              <w:t xml:space="preserve"> papunk</w:t>
            </w:r>
            <w:r w:rsidR="00CC312E">
              <w:rPr>
                <w:rFonts w:ascii="Times New Roman" w:hAnsi="Times New Roman"/>
                <w:sz w:val="24"/>
                <w:szCs w:val="20"/>
              </w:rPr>
              <w:t>čiu</w:t>
            </w:r>
            <w:r w:rsidR="00321173">
              <w:rPr>
                <w:rFonts w:ascii="Times New Roman" w:hAnsi="Times New Roman"/>
                <w:sz w:val="24"/>
                <w:szCs w:val="20"/>
              </w:rPr>
              <w:t xml:space="preserve"> nuo </w:t>
            </w:r>
            <w:r w:rsidR="00321173">
              <w:rPr>
                <w:rFonts w:ascii="Times New Roman" w:hAnsi="Times New Roman"/>
                <w:sz w:val="24"/>
                <w:szCs w:val="20"/>
                <w:lang w:val="en-US"/>
              </w:rPr>
              <w:t>2023</w:t>
            </w:r>
            <w:r w:rsidR="00321173">
              <w:rPr>
                <w:rFonts w:ascii="Times New Roman" w:hAnsi="Times New Roman"/>
                <w:sz w:val="24"/>
                <w:szCs w:val="20"/>
              </w:rPr>
              <w:t xml:space="preserve"> m. sausio </w:t>
            </w:r>
            <w:r w:rsidR="00321173">
              <w:rPr>
                <w:rFonts w:ascii="Times New Roman" w:hAnsi="Times New Roman"/>
                <w:sz w:val="24"/>
                <w:szCs w:val="20"/>
                <w:lang w:val="en-US"/>
              </w:rPr>
              <w:t>1</w:t>
            </w:r>
            <w:r w:rsidR="00321173">
              <w:rPr>
                <w:rFonts w:ascii="Times New Roman" w:hAnsi="Times New Roman"/>
                <w:sz w:val="24"/>
                <w:szCs w:val="20"/>
              </w:rPr>
              <w:t xml:space="preserve"> d.</w:t>
            </w:r>
            <w:r w:rsidR="00D625DB">
              <w:rPr>
                <w:rFonts w:ascii="Times New Roman" w:hAnsi="Times New Roman"/>
                <w:sz w:val="24"/>
                <w:szCs w:val="20"/>
              </w:rPr>
              <w:t xml:space="preserve"> siūlomą</w:t>
            </w:r>
            <w:r w:rsidR="00CC312E">
              <w:rPr>
                <w:rFonts w:ascii="Times New Roman" w:hAnsi="Times New Roman"/>
                <w:sz w:val="24"/>
                <w:szCs w:val="20"/>
              </w:rPr>
              <w:t xml:space="preserve"> dėstyti</w:t>
            </w:r>
            <w:r w:rsidR="00D625DB">
              <w:rPr>
                <w:rFonts w:ascii="Times New Roman" w:hAnsi="Times New Roman"/>
                <w:sz w:val="24"/>
                <w:szCs w:val="20"/>
              </w:rPr>
              <w:t xml:space="preserve"> </w:t>
            </w:r>
            <w:r w:rsidR="00321173" w:rsidRPr="00321173">
              <w:rPr>
                <w:rFonts w:ascii="Times New Roman" w:hAnsi="Times New Roman"/>
                <w:sz w:val="24"/>
                <w:szCs w:val="20"/>
              </w:rPr>
              <w:t xml:space="preserve">nutarimo 1 punkte nauja redakcija išdėstyto </w:t>
            </w:r>
            <w:r w:rsidR="00D625DB">
              <w:rPr>
                <w:rFonts w:ascii="Times New Roman" w:hAnsi="Times New Roman"/>
                <w:sz w:val="24"/>
                <w:szCs w:val="20"/>
              </w:rPr>
              <w:t>nutarimo 3.1 papunktį</w:t>
            </w:r>
            <w:r w:rsidR="00CC312E">
              <w:rPr>
                <w:rFonts w:ascii="Times New Roman" w:hAnsi="Times New Roman"/>
                <w:sz w:val="24"/>
                <w:szCs w:val="20"/>
              </w:rPr>
              <w:t>,</w:t>
            </w:r>
            <w:r w:rsidR="00141586">
              <w:rPr>
                <w:rFonts w:ascii="Times New Roman" w:hAnsi="Times New Roman"/>
                <w:sz w:val="24"/>
                <w:szCs w:val="20"/>
              </w:rPr>
              <w:t xml:space="preserve"> </w:t>
            </w:r>
            <w:r w:rsidR="003052FE">
              <w:rPr>
                <w:rFonts w:ascii="Times New Roman" w:hAnsi="Times New Roman"/>
                <w:sz w:val="24"/>
                <w:szCs w:val="20"/>
              </w:rPr>
              <w:t xml:space="preserve">reikštų, kad </w:t>
            </w:r>
            <w:r w:rsidR="00E61226">
              <w:rPr>
                <w:rFonts w:ascii="Times New Roman" w:hAnsi="Times New Roman"/>
                <w:sz w:val="24"/>
                <w:szCs w:val="20"/>
              </w:rPr>
              <w:t>metinis prisitaikymo prie reguliavimo išlaidų</w:t>
            </w:r>
            <w:r w:rsidR="003419D1">
              <w:rPr>
                <w:rFonts w:ascii="Times New Roman" w:hAnsi="Times New Roman"/>
                <w:sz w:val="24"/>
                <w:szCs w:val="20"/>
              </w:rPr>
              <w:t xml:space="preserve"> lygis turėtų būti lyginamas su praėjusių metų lygiu. T. y. jeigu</w:t>
            </w:r>
            <w:r w:rsidR="008F78FC">
              <w:rPr>
                <w:rFonts w:ascii="Times New Roman" w:hAnsi="Times New Roman"/>
                <w:sz w:val="24"/>
                <w:szCs w:val="20"/>
              </w:rPr>
              <w:t xml:space="preserve">, pavyzdžiui, praėjusiais metais prisitaikymo prie reguliavimo išlaidų lygis </w:t>
            </w:r>
            <w:r w:rsidR="0009033B">
              <w:rPr>
                <w:rFonts w:ascii="Times New Roman" w:hAnsi="Times New Roman"/>
                <w:sz w:val="24"/>
                <w:szCs w:val="20"/>
              </w:rPr>
              <w:t xml:space="preserve">buvo </w:t>
            </w:r>
            <w:r w:rsidR="009234DD">
              <w:rPr>
                <w:rFonts w:ascii="Times New Roman" w:hAnsi="Times New Roman"/>
                <w:sz w:val="24"/>
                <w:szCs w:val="20"/>
              </w:rPr>
              <w:t xml:space="preserve">– </w:t>
            </w:r>
            <w:r w:rsidR="009234DD" w:rsidRPr="008C0397">
              <w:rPr>
                <w:rFonts w:ascii="Times New Roman" w:hAnsi="Times New Roman"/>
                <w:sz w:val="24"/>
                <w:szCs w:val="20"/>
              </w:rPr>
              <w:t>2 mln. eurų, vadinasi einamaisiais metais prisitaikymo prie reguliavimo išlaidų lygis turi būti toks pats</w:t>
            </w:r>
            <w:r w:rsidR="008C0397" w:rsidRPr="008C0397">
              <w:rPr>
                <w:rFonts w:ascii="Times New Roman" w:hAnsi="Times New Roman"/>
                <w:sz w:val="24"/>
                <w:szCs w:val="20"/>
              </w:rPr>
              <w:t xml:space="preserve"> (– 2 mln. eurų)</w:t>
            </w:r>
            <w:r w:rsidR="008C0397">
              <w:rPr>
                <w:rFonts w:ascii="Times New Roman" w:hAnsi="Times New Roman"/>
                <w:sz w:val="24"/>
                <w:szCs w:val="20"/>
              </w:rPr>
              <w:t xml:space="preserve"> arba dar mažesnis. Tokiu būdu nebus pasiektas norimas reguliavimo tikslas. </w:t>
            </w:r>
          </w:p>
          <w:p w14:paraId="182365CB" w14:textId="018A44BF" w:rsidR="00F84B0F" w:rsidRPr="00153C22" w:rsidRDefault="00F84B0F" w:rsidP="00442D6A">
            <w:pPr>
              <w:spacing w:after="0" w:line="240" w:lineRule="auto"/>
              <w:jc w:val="both"/>
              <w:rPr>
                <w:rFonts w:ascii="Times New Roman" w:hAnsi="Times New Roman"/>
                <w:sz w:val="24"/>
                <w:szCs w:val="24"/>
              </w:rPr>
            </w:pPr>
          </w:p>
        </w:tc>
      </w:tr>
      <w:tr w:rsidR="008D36FF" w:rsidRPr="0009474E" w14:paraId="00CA9E2F" w14:textId="77777777" w:rsidTr="00A1568F">
        <w:trPr>
          <w:trHeight w:val="397"/>
        </w:trPr>
        <w:tc>
          <w:tcPr>
            <w:tcW w:w="182" w:type="pct"/>
            <w:vMerge/>
            <w:tcBorders>
              <w:left w:val="single" w:sz="4" w:space="0" w:color="auto"/>
              <w:right w:val="single" w:sz="4" w:space="0" w:color="auto"/>
            </w:tcBorders>
            <w:shd w:val="clear" w:color="auto" w:fill="FFFFFF" w:themeFill="background1"/>
          </w:tcPr>
          <w:p w14:paraId="67C8CB01" w14:textId="77777777" w:rsidR="008D36FF" w:rsidRDefault="008D36FF" w:rsidP="00442D6A">
            <w:pPr>
              <w:pStyle w:val="Sraopastraipa"/>
              <w:numPr>
                <w:ilvl w:val="0"/>
                <w:numId w:val="6"/>
              </w:numPr>
              <w:tabs>
                <w:tab w:val="left" w:pos="360"/>
              </w:tabs>
              <w:autoSpaceDE w:val="0"/>
              <w:autoSpaceDN w:val="0"/>
              <w:adjustRightInd w:val="0"/>
              <w:spacing w:after="0"/>
              <w:ind w:left="0"/>
              <w:rPr>
                <w:rFonts w:ascii="Times New Roman" w:hAnsi="Times New Roman"/>
                <w:color w:val="000000"/>
                <w:sz w:val="24"/>
                <w:szCs w:val="24"/>
              </w:rPr>
            </w:pPr>
          </w:p>
        </w:tc>
        <w:tc>
          <w:tcPr>
            <w:tcW w:w="628" w:type="pct"/>
            <w:vMerge/>
            <w:tcBorders>
              <w:left w:val="single" w:sz="4" w:space="0" w:color="auto"/>
              <w:right w:val="single" w:sz="4" w:space="0" w:color="auto"/>
            </w:tcBorders>
            <w:shd w:val="clear" w:color="auto" w:fill="FFFFFF" w:themeFill="background1"/>
          </w:tcPr>
          <w:p w14:paraId="1D20D948" w14:textId="77777777" w:rsidR="008D36FF" w:rsidRDefault="008D36FF" w:rsidP="00442D6A">
            <w:pPr>
              <w:autoSpaceDE w:val="0"/>
              <w:autoSpaceDN w:val="0"/>
              <w:adjustRightInd w:val="0"/>
              <w:spacing w:after="0" w:line="240" w:lineRule="auto"/>
              <w:rPr>
                <w:rFonts w:ascii="Times New Roman" w:hAnsi="Times New Roman"/>
                <w:color w:val="000000"/>
                <w:sz w:val="24"/>
                <w:szCs w:val="24"/>
              </w:rPr>
            </w:pPr>
          </w:p>
        </w:tc>
        <w:tc>
          <w:tcPr>
            <w:tcW w:w="2054" w:type="pct"/>
            <w:tcBorders>
              <w:top w:val="single" w:sz="4" w:space="0" w:color="auto"/>
              <w:left w:val="single" w:sz="4" w:space="0" w:color="auto"/>
              <w:bottom w:val="single" w:sz="4" w:space="0" w:color="auto"/>
              <w:right w:val="single" w:sz="4" w:space="0" w:color="auto"/>
            </w:tcBorders>
            <w:shd w:val="clear" w:color="auto" w:fill="FFFFFF" w:themeFill="background1"/>
          </w:tcPr>
          <w:p w14:paraId="103C528F" w14:textId="3BE8DAFE" w:rsidR="008D36FF" w:rsidRPr="006F67F3" w:rsidRDefault="008D36FF" w:rsidP="00442D6A">
            <w:pPr>
              <w:spacing w:after="0" w:line="240" w:lineRule="auto"/>
              <w:jc w:val="both"/>
              <w:rPr>
                <w:rFonts w:ascii="Times New Roman" w:hAnsi="Times New Roman"/>
                <w:sz w:val="24"/>
                <w:szCs w:val="20"/>
              </w:rPr>
            </w:pPr>
            <w:r>
              <w:rPr>
                <w:rFonts w:ascii="Times New Roman" w:hAnsi="Times New Roman"/>
                <w:sz w:val="24"/>
                <w:szCs w:val="20"/>
              </w:rPr>
              <w:t>3.</w:t>
            </w:r>
            <w:r w:rsidR="001A6916">
              <w:rPr>
                <w:rFonts w:ascii="Times New Roman" w:hAnsi="Times New Roman"/>
                <w:sz w:val="24"/>
                <w:szCs w:val="20"/>
              </w:rPr>
              <w:t xml:space="preserve"> </w:t>
            </w:r>
            <w:r w:rsidRPr="006F67F3">
              <w:rPr>
                <w:rFonts w:ascii="Times New Roman" w:hAnsi="Times New Roman"/>
                <w:sz w:val="24"/>
                <w:szCs w:val="20"/>
              </w:rPr>
              <w:t xml:space="preserve">Metodikos 6 punktas nustato, kad prisitaikymo išlaidos turi būti vertinamos pagal 5 kategorijas. Kadangi situacija įmonėse yra labai skirtinga ir prisitaikymo išlaidos gali reikšmingai skirtis, norint gauti bent kiek patikimesnį prisitaikymo išlaidų įvertį, turėtų būti apklausiama pakankamai daug įmonių. Todėl siekdami užtikrinti, kad prisitaikymo išlaidų nustatymo našta būtų racionali, pagrįsta ir neperteklinė, manytume, jog </w:t>
            </w:r>
            <w:r w:rsidRPr="00295DF7">
              <w:rPr>
                <w:rFonts w:ascii="Times New Roman" w:hAnsi="Times New Roman"/>
                <w:sz w:val="24"/>
                <w:szCs w:val="20"/>
              </w:rPr>
              <w:t>būtina tiksliau apibrėžti metodologinius reikalavimus, nustatant šio pobūdžio naštą, įvardyti potencialius duomenų gavimo šaltinius, būdus ir sąlygas</w:t>
            </w:r>
            <w:r w:rsidRPr="006F67F3">
              <w:rPr>
                <w:rFonts w:ascii="Times New Roman" w:hAnsi="Times New Roman"/>
                <w:sz w:val="24"/>
                <w:szCs w:val="20"/>
              </w:rPr>
              <w:t>.</w:t>
            </w:r>
          </w:p>
        </w:tc>
        <w:tc>
          <w:tcPr>
            <w:tcW w:w="2136" w:type="pct"/>
            <w:tcBorders>
              <w:top w:val="single" w:sz="4" w:space="0" w:color="auto"/>
              <w:left w:val="single" w:sz="4" w:space="0" w:color="auto"/>
              <w:bottom w:val="single" w:sz="4" w:space="0" w:color="auto"/>
              <w:right w:val="single" w:sz="4" w:space="0" w:color="auto"/>
            </w:tcBorders>
            <w:shd w:val="clear" w:color="auto" w:fill="FFFFFF" w:themeFill="background1"/>
          </w:tcPr>
          <w:p w14:paraId="311CA064" w14:textId="37780456" w:rsidR="00D66DBA" w:rsidRPr="004F3D15" w:rsidRDefault="00B4311F" w:rsidP="00442D6A">
            <w:pPr>
              <w:spacing w:after="0" w:line="240" w:lineRule="auto"/>
              <w:jc w:val="both"/>
              <w:rPr>
                <w:rFonts w:ascii="Times New Roman" w:hAnsi="Times New Roman"/>
                <w:b/>
                <w:bCs/>
                <w:sz w:val="24"/>
                <w:szCs w:val="24"/>
              </w:rPr>
            </w:pPr>
            <w:r w:rsidRPr="00B4311F">
              <w:rPr>
                <w:rFonts w:ascii="Times New Roman" w:hAnsi="Times New Roman"/>
                <w:b/>
                <w:bCs/>
                <w:sz w:val="24"/>
                <w:szCs w:val="24"/>
              </w:rPr>
              <w:t>Neatsižvelgta.</w:t>
            </w:r>
          </w:p>
          <w:p w14:paraId="109E3DFE" w14:textId="77777777" w:rsidR="00750D38" w:rsidRDefault="001A11C3" w:rsidP="00442D6A">
            <w:pPr>
              <w:spacing w:after="0" w:line="240" w:lineRule="auto"/>
              <w:jc w:val="both"/>
              <w:rPr>
                <w:rFonts w:ascii="Times New Roman" w:hAnsi="Times New Roman"/>
                <w:sz w:val="24"/>
                <w:szCs w:val="24"/>
              </w:rPr>
            </w:pPr>
            <w:r w:rsidRPr="001A11C3">
              <w:rPr>
                <w:rFonts w:ascii="Times New Roman" w:hAnsi="Times New Roman"/>
                <w:sz w:val="24"/>
                <w:szCs w:val="24"/>
              </w:rPr>
              <w:t>Teisės akto projekto rengėjas rengiant prisitaikymo prie reguliavimo išlaidų apskaičiavimo ataskaitą gali naudotis visais oficialiais duomenų šaltiniais</w:t>
            </w:r>
            <w:r w:rsidR="00750D38">
              <w:rPr>
                <w:rFonts w:ascii="Times New Roman" w:hAnsi="Times New Roman"/>
                <w:sz w:val="24"/>
                <w:szCs w:val="24"/>
              </w:rPr>
              <w:t>:</w:t>
            </w:r>
          </w:p>
          <w:p w14:paraId="49A2010A" w14:textId="77777777" w:rsidR="00750D38" w:rsidRPr="00750D38" w:rsidRDefault="00750D38" w:rsidP="00442D6A">
            <w:pPr>
              <w:tabs>
                <w:tab w:val="left" w:pos="459"/>
              </w:tabs>
              <w:spacing w:after="0" w:line="240" w:lineRule="auto"/>
              <w:jc w:val="both"/>
              <w:rPr>
                <w:rFonts w:ascii="Times New Roman" w:hAnsi="Times New Roman"/>
                <w:sz w:val="24"/>
                <w:szCs w:val="24"/>
              </w:rPr>
            </w:pPr>
            <w:r w:rsidRPr="00750D38">
              <w:rPr>
                <w:rFonts w:ascii="Times New Roman" w:hAnsi="Times New Roman"/>
                <w:sz w:val="24"/>
                <w:szCs w:val="24"/>
              </w:rPr>
              <w:t>1.</w:t>
            </w:r>
            <w:r w:rsidRPr="00750D38">
              <w:rPr>
                <w:rFonts w:ascii="Times New Roman" w:hAnsi="Times New Roman"/>
                <w:sz w:val="24"/>
                <w:szCs w:val="24"/>
              </w:rPr>
              <w:tab/>
              <w:t xml:space="preserve">Statistikos duomenys – LSD, </w:t>
            </w:r>
            <w:proofErr w:type="spellStart"/>
            <w:r w:rsidRPr="00750D38">
              <w:rPr>
                <w:rFonts w:ascii="Times New Roman" w:hAnsi="Times New Roman"/>
                <w:sz w:val="24"/>
                <w:szCs w:val="24"/>
              </w:rPr>
              <w:t>Eurostat</w:t>
            </w:r>
            <w:proofErr w:type="spellEnd"/>
            <w:r w:rsidRPr="00750D38">
              <w:rPr>
                <w:rFonts w:ascii="Times New Roman" w:hAnsi="Times New Roman"/>
                <w:sz w:val="24"/>
                <w:szCs w:val="24"/>
              </w:rPr>
              <w:t>, FAO, OECD, WTO, kitos žinybinės duomenų bazės ir statistika;</w:t>
            </w:r>
          </w:p>
          <w:p w14:paraId="670EAD41" w14:textId="77777777" w:rsidR="00750D38" w:rsidRPr="00750D38" w:rsidRDefault="00750D38" w:rsidP="00442D6A">
            <w:pPr>
              <w:tabs>
                <w:tab w:val="left" w:pos="459"/>
              </w:tabs>
              <w:spacing w:after="0" w:line="240" w:lineRule="auto"/>
              <w:jc w:val="both"/>
              <w:rPr>
                <w:rFonts w:ascii="Times New Roman" w:hAnsi="Times New Roman"/>
                <w:sz w:val="24"/>
                <w:szCs w:val="24"/>
              </w:rPr>
            </w:pPr>
            <w:r w:rsidRPr="00750D38">
              <w:rPr>
                <w:rFonts w:ascii="Times New Roman" w:hAnsi="Times New Roman"/>
                <w:sz w:val="24"/>
                <w:szCs w:val="24"/>
              </w:rPr>
              <w:t>2.</w:t>
            </w:r>
            <w:r w:rsidRPr="00750D38">
              <w:rPr>
                <w:rFonts w:ascii="Times New Roman" w:hAnsi="Times New Roman"/>
                <w:sz w:val="24"/>
                <w:szCs w:val="24"/>
              </w:rPr>
              <w:tab/>
              <w:t>Teisinio reguliavimo sritį kuruojančių institucijų interneto tinklapiai, duomenų bazės, registrai, informacinės sistemos, metinės veiklos ataskaitos;</w:t>
            </w:r>
          </w:p>
          <w:p w14:paraId="39198189" w14:textId="77777777" w:rsidR="00750D38" w:rsidRPr="00750D38" w:rsidRDefault="00750D38" w:rsidP="00442D6A">
            <w:pPr>
              <w:tabs>
                <w:tab w:val="left" w:pos="459"/>
              </w:tabs>
              <w:spacing w:after="0" w:line="240" w:lineRule="auto"/>
              <w:jc w:val="both"/>
              <w:rPr>
                <w:rFonts w:ascii="Times New Roman" w:hAnsi="Times New Roman"/>
                <w:sz w:val="24"/>
                <w:szCs w:val="24"/>
              </w:rPr>
            </w:pPr>
            <w:r w:rsidRPr="00750D38">
              <w:rPr>
                <w:rFonts w:ascii="Times New Roman" w:hAnsi="Times New Roman"/>
                <w:sz w:val="24"/>
                <w:szCs w:val="24"/>
              </w:rPr>
              <w:t>3.</w:t>
            </w:r>
            <w:r w:rsidRPr="00750D38">
              <w:rPr>
                <w:rFonts w:ascii="Times New Roman" w:hAnsi="Times New Roman"/>
                <w:sz w:val="24"/>
                <w:szCs w:val="24"/>
              </w:rPr>
              <w:tab/>
              <w:t>Kiti atlikti vertinimai, tyrimai, studijos;</w:t>
            </w:r>
          </w:p>
          <w:p w14:paraId="228B4654" w14:textId="77777777" w:rsidR="00750D38" w:rsidRPr="00750D38" w:rsidRDefault="00750D38" w:rsidP="00442D6A">
            <w:pPr>
              <w:tabs>
                <w:tab w:val="left" w:pos="459"/>
              </w:tabs>
              <w:spacing w:after="0" w:line="240" w:lineRule="auto"/>
              <w:jc w:val="both"/>
              <w:rPr>
                <w:rFonts w:ascii="Times New Roman" w:hAnsi="Times New Roman"/>
                <w:sz w:val="24"/>
                <w:szCs w:val="24"/>
              </w:rPr>
            </w:pPr>
            <w:r w:rsidRPr="00750D38">
              <w:rPr>
                <w:rFonts w:ascii="Times New Roman" w:hAnsi="Times New Roman"/>
                <w:sz w:val="24"/>
                <w:szCs w:val="24"/>
              </w:rPr>
              <w:t>4.</w:t>
            </w:r>
            <w:r w:rsidRPr="00750D38">
              <w:rPr>
                <w:rFonts w:ascii="Times New Roman" w:hAnsi="Times New Roman"/>
                <w:sz w:val="24"/>
                <w:szCs w:val="24"/>
              </w:rPr>
              <w:tab/>
              <w:t>Viešai prieinama informacija apie rinkos kainas;</w:t>
            </w:r>
          </w:p>
          <w:p w14:paraId="5415CB06" w14:textId="77777777" w:rsidR="00750D38" w:rsidRPr="00750D38" w:rsidRDefault="00750D38" w:rsidP="00442D6A">
            <w:pPr>
              <w:tabs>
                <w:tab w:val="left" w:pos="459"/>
              </w:tabs>
              <w:spacing w:after="0" w:line="240" w:lineRule="auto"/>
              <w:jc w:val="both"/>
              <w:rPr>
                <w:rFonts w:ascii="Times New Roman" w:hAnsi="Times New Roman"/>
                <w:sz w:val="24"/>
                <w:szCs w:val="24"/>
              </w:rPr>
            </w:pPr>
            <w:r w:rsidRPr="00750D38">
              <w:rPr>
                <w:rFonts w:ascii="Times New Roman" w:hAnsi="Times New Roman"/>
                <w:sz w:val="24"/>
                <w:szCs w:val="24"/>
              </w:rPr>
              <w:t>5.</w:t>
            </w:r>
            <w:r w:rsidRPr="00750D38">
              <w:rPr>
                <w:rFonts w:ascii="Times New Roman" w:hAnsi="Times New Roman"/>
                <w:sz w:val="24"/>
                <w:szCs w:val="24"/>
              </w:rPr>
              <w:tab/>
              <w:t>Verslo asociacijų, organizacijų duomenys;</w:t>
            </w:r>
          </w:p>
          <w:p w14:paraId="631A7C18" w14:textId="77777777" w:rsidR="00750D38" w:rsidRPr="00750D38" w:rsidRDefault="00750D38" w:rsidP="00442D6A">
            <w:pPr>
              <w:tabs>
                <w:tab w:val="left" w:pos="459"/>
              </w:tabs>
              <w:spacing w:after="0" w:line="240" w:lineRule="auto"/>
              <w:jc w:val="both"/>
              <w:rPr>
                <w:rFonts w:ascii="Times New Roman" w:hAnsi="Times New Roman"/>
                <w:sz w:val="24"/>
                <w:szCs w:val="24"/>
              </w:rPr>
            </w:pPr>
            <w:r w:rsidRPr="00750D38">
              <w:rPr>
                <w:rFonts w:ascii="Times New Roman" w:hAnsi="Times New Roman"/>
                <w:sz w:val="24"/>
                <w:szCs w:val="24"/>
              </w:rPr>
              <w:lastRenderedPageBreak/>
              <w:t>6.</w:t>
            </w:r>
            <w:r w:rsidRPr="00750D38">
              <w:rPr>
                <w:rFonts w:ascii="Times New Roman" w:hAnsi="Times New Roman"/>
                <w:sz w:val="24"/>
                <w:szCs w:val="24"/>
              </w:rPr>
              <w:tab/>
              <w:t>Institucijų vidinės duomenų bazės (kaupiami duomenys apie pateikusias ataskaitas įmones, išduotus leidimus, licencijas, atestatus, pažymėjimus, nustatyti pažeidimai ir pan.);</w:t>
            </w:r>
          </w:p>
          <w:p w14:paraId="0A179989" w14:textId="656C66CA" w:rsidR="00750D38" w:rsidRDefault="00750D38" w:rsidP="00442D6A">
            <w:pPr>
              <w:tabs>
                <w:tab w:val="left" w:pos="459"/>
              </w:tabs>
              <w:spacing w:after="0" w:line="240" w:lineRule="auto"/>
              <w:jc w:val="both"/>
              <w:rPr>
                <w:rFonts w:ascii="Times New Roman" w:hAnsi="Times New Roman"/>
                <w:sz w:val="24"/>
                <w:szCs w:val="24"/>
              </w:rPr>
            </w:pPr>
            <w:r w:rsidRPr="00750D38">
              <w:rPr>
                <w:rFonts w:ascii="Times New Roman" w:hAnsi="Times New Roman"/>
                <w:sz w:val="24"/>
                <w:szCs w:val="24"/>
              </w:rPr>
              <w:t>7.</w:t>
            </w:r>
            <w:r w:rsidRPr="00750D38">
              <w:rPr>
                <w:rFonts w:ascii="Times New Roman" w:hAnsi="Times New Roman"/>
                <w:sz w:val="24"/>
                <w:szCs w:val="24"/>
              </w:rPr>
              <w:tab/>
            </w:r>
            <w:proofErr w:type="spellStart"/>
            <w:r w:rsidRPr="00750D38">
              <w:rPr>
                <w:rFonts w:ascii="Times New Roman" w:hAnsi="Times New Roman"/>
                <w:sz w:val="24"/>
                <w:szCs w:val="24"/>
              </w:rPr>
              <w:t>Tarpinstitucinis</w:t>
            </w:r>
            <w:proofErr w:type="spellEnd"/>
            <w:r w:rsidRPr="00750D38">
              <w:rPr>
                <w:rFonts w:ascii="Times New Roman" w:hAnsi="Times New Roman"/>
                <w:sz w:val="24"/>
                <w:szCs w:val="24"/>
              </w:rPr>
              <w:t xml:space="preserve"> bendradarbiavimas (kontaktuoti su kompetentingais asmenimis tose institucijose – el. paštu, tel., darbo grupių, susitikimų metu ir pan.);</w:t>
            </w:r>
          </w:p>
          <w:p w14:paraId="0A905812" w14:textId="2E3893A6" w:rsidR="00750D38" w:rsidRDefault="00750D38" w:rsidP="00442D6A">
            <w:pPr>
              <w:tabs>
                <w:tab w:val="left" w:pos="459"/>
              </w:tabs>
              <w:spacing w:after="0" w:line="240" w:lineRule="auto"/>
              <w:jc w:val="both"/>
              <w:rPr>
                <w:rFonts w:ascii="Times New Roman" w:hAnsi="Times New Roman"/>
                <w:sz w:val="24"/>
                <w:szCs w:val="24"/>
              </w:rPr>
            </w:pPr>
            <w:r>
              <w:rPr>
                <w:rFonts w:ascii="Times New Roman" w:hAnsi="Times New Roman"/>
                <w:sz w:val="24"/>
                <w:szCs w:val="24"/>
              </w:rPr>
              <w:t xml:space="preserve">8. </w:t>
            </w:r>
            <w:r w:rsidRPr="00750D38">
              <w:rPr>
                <w:rFonts w:ascii="Times New Roman" w:hAnsi="Times New Roman"/>
                <w:sz w:val="24"/>
                <w:szCs w:val="24"/>
              </w:rPr>
              <w:t>Ūkio subjektų apklausos, interviu.</w:t>
            </w:r>
          </w:p>
          <w:p w14:paraId="5335ED28" w14:textId="77777777" w:rsidR="00750D38" w:rsidRDefault="00750D38" w:rsidP="00442D6A">
            <w:pPr>
              <w:spacing w:after="0" w:line="240" w:lineRule="auto"/>
              <w:jc w:val="both"/>
              <w:rPr>
                <w:rFonts w:ascii="Times New Roman" w:hAnsi="Times New Roman"/>
                <w:sz w:val="24"/>
                <w:szCs w:val="24"/>
              </w:rPr>
            </w:pPr>
          </w:p>
          <w:p w14:paraId="6AD1C671" w14:textId="741BB14B" w:rsidR="0025796C" w:rsidRPr="005C7D6B" w:rsidRDefault="001A11C3" w:rsidP="00442D6A">
            <w:pPr>
              <w:spacing w:after="0" w:line="240" w:lineRule="auto"/>
              <w:jc w:val="both"/>
              <w:rPr>
                <w:rFonts w:ascii="Times New Roman" w:hAnsi="Times New Roman"/>
                <w:sz w:val="24"/>
                <w:szCs w:val="24"/>
              </w:rPr>
            </w:pPr>
            <w:r w:rsidRPr="001A11C3">
              <w:rPr>
                <w:rFonts w:ascii="Times New Roman" w:hAnsi="Times New Roman"/>
                <w:sz w:val="24"/>
                <w:szCs w:val="24"/>
              </w:rPr>
              <w:t xml:space="preserve"> </w:t>
            </w:r>
            <w:r w:rsidR="0025796C" w:rsidRPr="005C7D6B">
              <w:rPr>
                <w:rFonts w:ascii="Times New Roman" w:hAnsi="Times New Roman"/>
                <w:sz w:val="24"/>
                <w:szCs w:val="24"/>
              </w:rPr>
              <w:t xml:space="preserve">Atkreipiame dėmesį, kad Ekonomikos ir inovacijų ministerija vykdė ES lėšomis finansuojamą projektą „Teisinio reguliavimo tinkamumo patikros“, kurio metu buvo parengta pirminė metodika, </w:t>
            </w:r>
            <w:r w:rsidR="00D5165A" w:rsidRPr="005C7D6B">
              <w:rPr>
                <w:rFonts w:ascii="Times New Roman" w:hAnsi="Times New Roman"/>
                <w:sz w:val="24"/>
                <w:szCs w:val="24"/>
              </w:rPr>
              <w:t>taip pat</w:t>
            </w:r>
            <w:r w:rsidR="0025796C" w:rsidRPr="005C7D6B">
              <w:rPr>
                <w:rFonts w:ascii="Times New Roman" w:hAnsi="Times New Roman"/>
                <w:sz w:val="24"/>
                <w:szCs w:val="24"/>
              </w:rPr>
              <w:t xml:space="preserve"> šios metodikos taikymo gairės. Minėta metodika ir gairės buvo labai sudėtingos ir didelės apimties. Ekonomikos ir inovacijų ministerija metodiką supaprastinto, buvo atsisakyta tam tikrų perteklinių išlaidų kategorijų ir vertinimo žingsnių, taip pat metodikoje nebeliko smulkių detalių. Metodikoje nustatytos pagrindinės taisyklės, o jos bus paaiškinamos ir pateikti Metodikos taikymo pavyzdžiai Gairėse. Gairės bus parengtos kaip rekomendacinis gerąją praktiką plėtojantis vadovas, kuris turėtų būti nuolat tobulinamas atsižvelgiant į praktikoje kylančius klausimus, problemas, neaiškumus ir pan. Tačiau toks keitimas neturėtų būti atsitiktinis. Siekiant sistemiškai</w:t>
            </w:r>
            <w:r w:rsidR="00D5165A">
              <w:rPr>
                <w:rFonts w:ascii="Times New Roman" w:hAnsi="Times New Roman"/>
                <w:sz w:val="24"/>
                <w:szCs w:val="24"/>
              </w:rPr>
              <w:t xml:space="preserve"> </w:t>
            </w:r>
            <w:proofErr w:type="gramStart"/>
            <w:r w:rsidR="00D5165A">
              <w:rPr>
                <w:rFonts w:ascii="Times New Roman" w:hAnsi="Times New Roman"/>
                <w:sz w:val="24"/>
                <w:szCs w:val="24"/>
              </w:rPr>
              <w:t>ir</w:t>
            </w:r>
            <w:r w:rsidR="0025796C" w:rsidRPr="005C7D6B">
              <w:rPr>
                <w:rFonts w:ascii="Times New Roman" w:hAnsi="Times New Roman"/>
                <w:sz w:val="24"/>
                <w:szCs w:val="24"/>
              </w:rPr>
              <w:t xml:space="preserve"> nuosekliai vystyti ir plėtoti</w:t>
            </w:r>
            <w:proofErr w:type="gramEnd"/>
            <w:r w:rsidR="0025796C" w:rsidRPr="005C7D6B">
              <w:rPr>
                <w:rFonts w:ascii="Times New Roman" w:hAnsi="Times New Roman"/>
                <w:sz w:val="24"/>
                <w:szCs w:val="24"/>
              </w:rPr>
              <w:t xml:space="preserve"> prisitaikymo prie reguliavimo išlaidų skaičiavimo praktiką, būtina nuolat analizuoti atliktus prisitaikymo prie reguliavimo išlaidų skaičiavimus (pvz., tokią analizę atliekant kiekvienais metais atliktų prisitaikymo prie reguliavimo išlaidų skaičiavimų) ir atlikti jų apibendrinimą, identifikuoti sisteminius trūkumus, problemas, neaiškumus ir tik tuomet keisti arba Gaires, arba ir pačią Metodiką. </w:t>
            </w:r>
          </w:p>
          <w:p w14:paraId="0CB6C894" w14:textId="77777777" w:rsidR="0025796C" w:rsidRPr="005C7D6B" w:rsidRDefault="0025796C" w:rsidP="00442D6A">
            <w:pPr>
              <w:spacing w:after="0" w:line="240" w:lineRule="auto"/>
              <w:jc w:val="both"/>
              <w:rPr>
                <w:rFonts w:ascii="Times New Roman" w:hAnsi="Times New Roman"/>
                <w:sz w:val="24"/>
                <w:szCs w:val="24"/>
              </w:rPr>
            </w:pPr>
            <w:r w:rsidRPr="005C7D6B">
              <w:rPr>
                <w:rFonts w:ascii="Times New Roman" w:hAnsi="Times New Roman"/>
                <w:sz w:val="24"/>
                <w:szCs w:val="24"/>
              </w:rPr>
              <w:t xml:space="preserve">Pažymime, kad Gairėse bus įtraukta ūkio subjektų apklausos forma bei kiti informacijos šaltiniai, kuriais bus siūloma naudotis, gaunant informaciją prisitaikymo prie reguliavimo išlaidų skaičiavimams. Norime atkreipti dėmesį, kad ūkio </w:t>
            </w:r>
            <w:r w:rsidRPr="005C7D6B">
              <w:rPr>
                <w:rFonts w:ascii="Times New Roman" w:hAnsi="Times New Roman"/>
                <w:sz w:val="24"/>
                <w:szCs w:val="24"/>
              </w:rPr>
              <w:lastRenderedPageBreak/>
              <w:t>subjektų apklausa turėtų būti vykdoma tik tuomet, kai neįmanoma duomenų gauti iš kitų šaltinių.</w:t>
            </w:r>
          </w:p>
          <w:p w14:paraId="3669C160" w14:textId="5A169B12" w:rsidR="00F671D4" w:rsidRDefault="0025796C" w:rsidP="00442D6A">
            <w:pPr>
              <w:spacing w:after="0" w:line="240" w:lineRule="auto"/>
              <w:jc w:val="both"/>
              <w:rPr>
                <w:rFonts w:ascii="Times New Roman" w:hAnsi="Times New Roman"/>
                <w:sz w:val="24"/>
                <w:szCs w:val="24"/>
              </w:rPr>
            </w:pPr>
            <w:r w:rsidRPr="005C7D6B">
              <w:rPr>
                <w:rFonts w:ascii="Times New Roman" w:hAnsi="Times New Roman"/>
                <w:sz w:val="24"/>
                <w:szCs w:val="24"/>
              </w:rPr>
              <w:t xml:space="preserve">Tiekėjas, vykdydamas projektą ir vertindamas prisitaikymo išlaidas pastebėjo, jog, nors buvo atlikti interviu bei internetinės apklausos, šis būdas nesuteikė pakankamai ir pakankamai patikimų duomenų, reikalingų vertinimui. Todėl buvo pasitelkti duomenys iš Lietuvos statistikos departamento (pvz., vidutinis valandinis darbo užmokestis, tikslinės grupės dydis), duomenys iš specializuotų registrų ar informacinių sistemų (pvz., AIVIKS, ŽŪMPRIS, PTAKIS, LIS), kontroliuojančių institucijų nustatytų pažeidimų skaičius arba veiklos ataskaitos </w:t>
            </w:r>
            <w:proofErr w:type="gramStart"/>
            <w:r w:rsidRPr="005C7D6B">
              <w:rPr>
                <w:rFonts w:ascii="Times New Roman" w:hAnsi="Times New Roman"/>
                <w:sz w:val="24"/>
                <w:szCs w:val="24"/>
              </w:rPr>
              <w:t>(</w:t>
            </w:r>
            <w:proofErr w:type="gramEnd"/>
            <w:r w:rsidRPr="005C7D6B">
              <w:rPr>
                <w:rFonts w:ascii="Times New Roman" w:hAnsi="Times New Roman"/>
                <w:sz w:val="24"/>
                <w:szCs w:val="24"/>
              </w:rPr>
              <w:t>PAGD, AAA), kitų institucijų, verslo asociacijų ar atskirų įmonių (dažniausiai valstybės valdomų) viešai skelbiamos veiklos ir finansinės ataskaitos. Šie duomenys statistiškai yra patikimi, o jų surinkimas nereikalauja daug laiko ir žmogiškųjų išteklių, todėl siūloma pirmiausiai naudotis šiomis duomenų bazėmis ir informacijos šaltiniais ir tik nesant duomenų atlikti interviu</w:t>
            </w:r>
            <w:r w:rsidR="00103D1C">
              <w:rPr>
                <w:rFonts w:ascii="Times New Roman" w:hAnsi="Times New Roman"/>
                <w:sz w:val="24"/>
                <w:szCs w:val="24"/>
              </w:rPr>
              <w:t>.</w:t>
            </w:r>
            <w:r w:rsidR="00201BC6">
              <w:rPr>
                <w:rFonts w:ascii="Times New Roman" w:hAnsi="Times New Roman"/>
                <w:sz w:val="24"/>
                <w:szCs w:val="24"/>
              </w:rPr>
              <w:t xml:space="preserve"> </w:t>
            </w:r>
          </w:p>
          <w:p w14:paraId="4766F696" w14:textId="182E96DD" w:rsidR="00F671D4" w:rsidRDefault="00F671D4" w:rsidP="00442D6A">
            <w:pPr>
              <w:spacing w:after="0" w:line="240" w:lineRule="auto"/>
              <w:jc w:val="both"/>
              <w:rPr>
                <w:rFonts w:ascii="Times New Roman" w:hAnsi="Times New Roman"/>
                <w:sz w:val="24"/>
                <w:szCs w:val="24"/>
              </w:rPr>
            </w:pPr>
            <w:r w:rsidRPr="00F671D4">
              <w:rPr>
                <w:rFonts w:ascii="Times New Roman" w:hAnsi="Times New Roman"/>
                <w:sz w:val="24"/>
                <w:szCs w:val="24"/>
              </w:rPr>
              <w:t>Šiuo metu Ekonomikos ir inovacijų ministerijos interneto svetainėje yra skelbiami rekomenduojami vidiniai valandiniai tarifų dydžiai pagal skirtingas profesijas, kuriais galima naudotis, jeigu teisės akto projekto rengėjai neturi informacijos apie konkrečioje srityje veikiančių ūkio subjektų darbuotojų darbo užmokesčio dydį. Taip pat skelbiama prisitaikymo išlaidų vertinimo Excel skaičiuoklė, kuri yra pagalbinis įrankis skaičiavimuose.</w:t>
            </w:r>
          </w:p>
          <w:p w14:paraId="753802A6" w14:textId="6ED5694E" w:rsidR="008D36FF" w:rsidRDefault="00B121EB" w:rsidP="00442D6A">
            <w:pPr>
              <w:spacing w:after="0" w:line="240" w:lineRule="auto"/>
              <w:jc w:val="both"/>
              <w:rPr>
                <w:rFonts w:ascii="Times New Roman" w:hAnsi="Times New Roman"/>
                <w:b/>
                <w:bCs/>
                <w:sz w:val="24"/>
                <w:szCs w:val="24"/>
              </w:rPr>
            </w:pPr>
            <w:r w:rsidRPr="00F671D4">
              <w:rPr>
                <w:rFonts w:ascii="Times New Roman" w:hAnsi="Times New Roman"/>
                <w:sz w:val="24"/>
                <w:szCs w:val="24"/>
              </w:rPr>
              <w:t>Manytina, kad ateityje, kai tiek institucijos, tiek Ekonomikos ir inovacijų ministerija įgys patirties prisitaikymo prie reguliavimo išlaidų vertinime (pvz., praėjus 2</w:t>
            </w:r>
            <w:proofErr w:type="gramStart"/>
            <w:r w:rsidRPr="00F671D4">
              <w:rPr>
                <w:rFonts w:ascii="Times New Roman" w:hAnsi="Times New Roman"/>
                <w:sz w:val="24"/>
                <w:szCs w:val="24"/>
              </w:rPr>
              <w:t>-</w:t>
            </w:r>
            <w:proofErr w:type="gramEnd"/>
            <w:r w:rsidRPr="00F671D4">
              <w:rPr>
                <w:rFonts w:ascii="Times New Roman" w:hAnsi="Times New Roman"/>
                <w:sz w:val="24"/>
                <w:szCs w:val="24"/>
              </w:rPr>
              <w:t>3 metams), bus galima iš naujo peržiūrėti Metodiką ir identifikuoti procesų automatizavimo, supaprastinimo galimybes.</w:t>
            </w:r>
          </w:p>
        </w:tc>
      </w:tr>
      <w:tr w:rsidR="008D36FF" w:rsidRPr="0009474E" w14:paraId="5B522753" w14:textId="77777777" w:rsidTr="00A1568F">
        <w:trPr>
          <w:trHeight w:val="397"/>
        </w:trPr>
        <w:tc>
          <w:tcPr>
            <w:tcW w:w="182" w:type="pct"/>
            <w:vMerge/>
            <w:tcBorders>
              <w:left w:val="single" w:sz="4" w:space="0" w:color="auto"/>
              <w:right w:val="single" w:sz="4" w:space="0" w:color="auto"/>
            </w:tcBorders>
            <w:shd w:val="clear" w:color="auto" w:fill="FFFFFF" w:themeFill="background1"/>
          </w:tcPr>
          <w:p w14:paraId="10DDE9C4" w14:textId="77777777" w:rsidR="008D36FF" w:rsidRDefault="008D36FF" w:rsidP="00442D6A">
            <w:pPr>
              <w:pStyle w:val="Sraopastraipa"/>
              <w:numPr>
                <w:ilvl w:val="0"/>
                <w:numId w:val="20"/>
              </w:numPr>
              <w:tabs>
                <w:tab w:val="left" w:pos="360"/>
              </w:tabs>
              <w:autoSpaceDE w:val="0"/>
              <w:autoSpaceDN w:val="0"/>
              <w:adjustRightInd w:val="0"/>
              <w:spacing w:after="0"/>
              <w:ind w:left="0"/>
              <w:rPr>
                <w:rFonts w:ascii="Times New Roman" w:hAnsi="Times New Roman"/>
                <w:color w:val="000000"/>
                <w:sz w:val="24"/>
                <w:szCs w:val="24"/>
              </w:rPr>
            </w:pPr>
          </w:p>
        </w:tc>
        <w:tc>
          <w:tcPr>
            <w:tcW w:w="628" w:type="pct"/>
            <w:vMerge/>
            <w:tcBorders>
              <w:left w:val="single" w:sz="4" w:space="0" w:color="auto"/>
              <w:right w:val="single" w:sz="4" w:space="0" w:color="auto"/>
            </w:tcBorders>
            <w:shd w:val="clear" w:color="auto" w:fill="FFFFFF" w:themeFill="background1"/>
          </w:tcPr>
          <w:p w14:paraId="2C5DCB63" w14:textId="77777777" w:rsidR="008D36FF" w:rsidRDefault="008D36FF" w:rsidP="00442D6A">
            <w:pPr>
              <w:autoSpaceDE w:val="0"/>
              <w:autoSpaceDN w:val="0"/>
              <w:adjustRightInd w:val="0"/>
              <w:spacing w:after="0" w:line="240" w:lineRule="auto"/>
              <w:rPr>
                <w:rFonts w:ascii="Times New Roman" w:hAnsi="Times New Roman"/>
                <w:color w:val="000000"/>
                <w:sz w:val="24"/>
                <w:szCs w:val="24"/>
              </w:rPr>
            </w:pPr>
          </w:p>
        </w:tc>
        <w:tc>
          <w:tcPr>
            <w:tcW w:w="2054" w:type="pct"/>
            <w:tcBorders>
              <w:top w:val="single" w:sz="4" w:space="0" w:color="auto"/>
              <w:left w:val="single" w:sz="4" w:space="0" w:color="auto"/>
              <w:bottom w:val="single" w:sz="4" w:space="0" w:color="auto"/>
              <w:right w:val="single" w:sz="4" w:space="0" w:color="auto"/>
            </w:tcBorders>
            <w:shd w:val="clear" w:color="auto" w:fill="FFFFFF" w:themeFill="background1"/>
          </w:tcPr>
          <w:p w14:paraId="25505DDF" w14:textId="4E7BBD66" w:rsidR="008D36FF" w:rsidRPr="006428C0" w:rsidRDefault="008D36FF" w:rsidP="00442D6A">
            <w:pPr>
              <w:tabs>
                <w:tab w:val="left" w:pos="325"/>
              </w:tabs>
              <w:spacing w:after="0" w:line="240" w:lineRule="auto"/>
              <w:ind w:firstLine="41"/>
              <w:jc w:val="both"/>
              <w:rPr>
                <w:rFonts w:ascii="Times New Roman" w:hAnsi="Times New Roman"/>
                <w:sz w:val="24"/>
                <w:szCs w:val="20"/>
                <w:lang w:val="en-US"/>
              </w:rPr>
            </w:pPr>
            <w:r w:rsidRPr="003F606F">
              <w:rPr>
                <w:rFonts w:ascii="Times New Roman" w:hAnsi="Times New Roman"/>
                <w:sz w:val="24"/>
                <w:szCs w:val="20"/>
              </w:rPr>
              <w:t>4.</w:t>
            </w:r>
            <w:r w:rsidRPr="003F606F">
              <w:rPr>
                <w:rFonts w:ascii="Times New Roman" w:hAnsi="Times New Roman"/>
                <w:sz w:val="24"/>
                <w:szCs w:val="20"/>
              </w:rPr>
              <w:tab/>
              <w:t xml:space="preserve">Atkreiptinas dėmesys, kad iš Metodikos 1 priede pateiktos lentelės matyti, kad reikia vertinti ir tiriamo (šiuo metu galiojančio) teisės akto, kurį numatoma keisti / naikinti, prisitaikymo išlaidas (PIG), ir teisės akto projekto, kuriuo </w:t>
            </w:r>
            <w:r w:rsidRPr="003F606F">
              <w:rPr>
                <w:rFonts w:ascii="Times New Roman" w:hAnsi="Times New Roman"/>
                <w:sz w:val="24"/>
                <w:szCs w:val="20"/>
              </w:rPr>
              <w:lastRenderedPageBreak/>
              <w:t xml:space="preserve">numatoma keisti pirmiau įvardytą teisės aktą </w:t>
            </w:r>
            <w:proofErr w:type="gramStart"/>
            <w:r w:rsidRPr="003F606F">
              <w:rPr>
                <w:rFonts w:ascii="Times New Roman" w:hAnsi="Times New Roman"/>
                <w:sz w:val="24"/>
                <w:szCs w:val="20"/>
              </w:rPr>
              <w:t>(</w:t>
            </w:r>
            <w:proofErr w:type="gramEnd"/>
            <w:r w:rsidRPr="003F606F">
              <w:rPr>
                <w:rFonts w:ascii="Times New Roman" w:hAnsi="Times New Roman"/>
                <w:sz w:val="24"/>
                <w:szCs w:val="20"/>
              </w:rPr>
              <w:t>PIB), prisitaikymo išlaidas. Manytina, kad pirmasis elementas yra perteklinis, nes prieš kelerius metus patirtas prisitaikymo išlaidas gali būti neįmanoma objektyviai įvertinti, be to, nustatant naštą yra aktualios tik teisės akto projekto sukuriamos išlaidos – jos neturėtų būti lyginamos su jau patvirtinto teisės akto prisitaikymo išlaidomis ir pagal jas koreguojamos.</w:t>
            </w:r>
          </w:p>
        </w:tc>
        <w:tc>
          <w:tcPr>
            <w:tcW w:w="2136" w:type="pct"/>
            <w:tcBorders>
              <w:top w:val="single" w:sz="4" w:space="0" w:color="auto"/>
              <w:left w:val="single" w:sz="4" w:space="0" w:color="auto"/>
              <w:bottom w:val="single" w:sz="4" w:space="0" w:color="auto"/>
              <w:right w:val="single" w:sz="4" w:space="0" w:color="auto"/>
            </w:tcBorders>
            <w:shd w:val="clear" w:color="auto" w:fill="FFFFFF" w:themeFill="background1"/>
          </w:tcPr>
          <w:p w14:paraId="615E644F" w14:textId="77777777" w:rsidR="008D36FF" w:rsidRDefault="00E00CFF" w:rsidP="00442D6A">
            <w:pPr>
              <w:spacing w:after="0" w:line="240" w:lineRule="auto"/>
              <w:jc w:val="both"/>
              <w:rPr>
                <w:rFonts w:ascii="Times New Roman" w:hAnsi="Times New Roman"/>
                <w:b/>
                <w:bCs/>
                <w:sz w:val="24"/>
                <w:szCs w:val="24"/>
              </w:rPr>
            </w:pPr>
            <w:r>
              <w:rPr>
                <w:rFonts w:ascii="Times New Roman" w:hAnsi="Times New Roman"/>
                <w:b/>
                <w:bCs/>
                <w:sz w:val="24"/>
                <w:szCs w:val="24"/>
              </w:rPr>
              <w:lastRenderedPageBreak/>
              <w:t>Neatsižvelgta.</w:t>
            </w:r>
          </w:p>
          <w:p w14:paraId="172E03BD" w14:textId="4CCE8997" w:rsidR="00E00CFF" w:rsidRPr="00E00CFF" w:rsidRDefault="00E00CFF" w:rsidP="00442D6A">
            <w:pPr>
              <w:spacing w:after="0" w:line="240" w:lineRule="auto"/>
              <w:jc w:val="both"/>
              <w:rPr>
                <w:rFonts w:ascii="Times New Roman" w:hAnsi="Times New Roman"/>
                <w:sz w:val="24"/>
                <w:szCs w:val="24"/>
              </w:rPr>
            </w:pPr>
            <w:r w:rsidRPr="00E00CFF">
              <w:rPr>
                <w:rFonts w:ascii="Times New Roman" w:hAnsi="Times New Roman"/>
                <w:sz w:val="24"/>
                <w:szCs w:val="24"/>
              </w:rPr>
              <w:t xml:space="preserve">Nesutinkame su Jūsų teiginiu, kad </w:t>
            </w:r>
            <w:r w:rsidR="008641F5">
              <w:rPr>
                <w:rFonts w:ascii="Times New Roman" w:hAnsi="Times New Roman"/>
                <w:sz w:val="24"/>
                <w:szCs w:val="24"/>
              </w:rPr>
              <w:t>šiuo metu galiojančio teisės akto, kurį numatoma keisi/naikinti, prisitaikymo prie reguliavimo išlaidų</w:t>
            </w:r>
            <w:r w:rsidR="00990DD2">
              <w:rPr>
                <w:rFonts w:ascii="Times New Roman" w:hAnsi="Times New Roman"/>
                <w:sz w:val="24"/>
                <w:szCs w:val="24"/>
              </w:rPr>
              <w:t xml:space="preserve"> vertinimas yra perteklinis</w:t>
            </w:r>
            <w:r w:rsidR="00F16A14">
              <w:rPr>
                <w:rFonts w:ascii="Times New Roman" w:hAnsi="Times New Roman"/>
                <w:sz w:val="24"/>
                <w:szCs w:val="24"/>
              </w:rPr>
              <w:t>, kadangi</w:t>
            </w:r>
            <w:r w:rsidR="009A22CB">
              <w:rPr>
                <w:rFonts w:ascii="Times New Roman" w:hAnsi="Times New Roman"/>
                <w:sz w:val="24"/>
                <w:szCs w:val="24"/>
              </w:rPr>
              <w:t xml:space="preserve"> </w:t>
            </w:r>
            <w:r w:rsidR="009A22CB">
              <w:rPr>
                <w:rFonts w:ascii="Times New Roman" w:hAnsi="Times New Roman"/>
                <w:sz w:val="24"/>
                <w:szCs w:val="24"/>
              </w:rPr>
              <w:lastRenderedPageBreak/>
              <w:t>neįvertinus dabar galiojančiame teisės akte nustatytų įpareigojim</w:t>
            </w:r>
            <w:r w:rsidR="004921BD">
              <w:rPr>
                <w:rFonts w:ascii="Times New Roman" w:hAnsi="Times New Roman"/>
                <w:sz w:val="24"/>
                <w:szCs w:val="24"/>
              </w:rPr>
              <w:t>ų</w:t>
            </w:r>
            <w:r w:rsidR="009A22CB">
              <w:rPr>
                <w:rFonts w:ascii="Times New Roman" w:hAnsi="Times New Roman"/>
                <w:sz w:val="24"/>
                <w:szCs w:val="24"/>
              </w:rPr>
              <w:t xml:space="preserve"> sukeliamų prisitaikymo prie reguliavimo išlaidų, nebus įmanoma jų palyginti su teisės akto projekte nustatytų įpareigojimų sukeliamomis prisitaikymo prie reguliavimo išlaidomis</w:t>
            </w:r>
            <w:r w:rsidR="00295BBC">
              <w:rPr>
                <w:rFonts w:ascii="Times New Roman" w:hAnsi="Times New Roman"/>
                <w:sz w:val="24"/>
                <w:szCs w:val="24"/>
              </w:rPr>
              <w:t xml:space="preserve">, kad būtų gaunamas pokytis. Be to, </w:t>
            </w:r>
            <w:r w:rsidR="00416535">
              <w:rPr>
                <w:rFonts w:ascii="Times New Roman" w:hAnsi="Times New Roman"/>
                <w:sz w:val="24"/>
                <w:szCs w:val="24"/>
              </w:rPr>
              <w:t xml:space="preserve">dabar galiojančio teisės akto įpareigojimai vertinami tik tie, kurie yra naikinami arba keičiami, nereikia vertinti visų galiojančiame teisės akte nustatytų įpareigojimų sukeliamų prisitaikymo prie reguliavimo išlaidų. </w:t>
            </w:r>
            <w:r w:rsidR="00166AEA">
              <w:rPr>
                <w:rFonts w:ascii="Times New Roman" w:hAnsi="Times New Roman"/>
                <w:sz w:val="24"/>
                <w:szCs w:val="24"/>
              </w:rPr>
              <w:t>Praeityje patirtų prisitaikymo prie reguliavimo išlaidų</w:t>
            </w:r>
            <w:r w:rsidR="00D4561A">
              <w:rPr>
                <w:rFonts w:ascii="Times New Roman" w:hAnsi="Times New Roman"/>
                <w:sz w:val="24"/>
                <w:szCs w:val="24"/>
              </w:rPr>
              <w:t xml:space="preserve"> nereikia koreguoti, pagal jas yra tik lyginamos teisės akto projektu galimos sukelti prisitaikymo prie reguliavimo išlaidos. Todėl manome, kad </w:t>
            </w:r>
            <w:r w:rsidR="00521E2F">
              <w:rPr>
                <w:rFonts w:ascii="Times New Roman" w:hAnsi="Times New Roman"/>
                <w:sz w:val="24"/>
                <w:szCs w:val="24"/>
              </w:rPr>
              <w:t>Metodikoje nustatytas prisitaikymo prie reguliavimo išlaidų pokyčio vertinimo mechanizmas, kuris yra iš esmės identiškas dabar galiojančiam administracinės naštos pokyčio ūkio subjektams mechanizmui</w:t>
            </w:r>
            <w:r w:rsidR="00C20EB5">
              <w:rPr>
                <w:rFonts w:ascii="Times New Roman" w:hAnsi="Times New Roman"/>
                <w:sz w:val="24"/>
                <w:szCs w:val="24"/>
              </w:rPr>
              <w:t xml:space="preserve">, yra tinkamiausias šių išlaidų įvertinimui. Jeigu būtų </w:t>
            </w:r>
            <w:r w:rsidR="000C7005">
              <w:rPr>
                <w:rFonts w:ascii="Times New Roman" w:hAnsi="Times New Roman"/>
                <w:sz w:val="24"/>
                <w:szCs w:val="24"/>
              </w:rPr>
              <w:t>skaičiuojamos</w:t>
            </w:r>
            <w:r w:rsidR="00C20EB5">
              <w:rPr>
                <w:rFonts w:ascii="Times New Roman" w:hAnsi="Times New Roman"/>
                <w:sz w:val="24"/>
                <w:szCs w:val="24"/>
              </w:rPr>
              <w:t xml:space="preserve"> tik teisės akto projektu sukeliamos prisitaikymo prie reguliavimo išlaidos, būtų sunku įvertinti</w:t>
            </w:r>
            <w:r w:rsidR="00206D24">
              <w:rPr>
                <w:rFonts w:ascii="Times New Roman" w:hAnsi="Times New Roman"/>
                <w:sz w:val="24"/>
                <w:szCs w:val="24"/>
              </w:rPr>
              <w:t>, ar šios išlaidos yra visai naujos, ar kažkiek padidėjo, ar sumažėjo ir pan., t. y. nebūtų įvertintas pokytis.</w:t>
            </w:r>
            <w:r w:rsidR="009A22CB">
              <w:rPr>
                <w:rFonts w:ascii="Times New Roman" w:hAnsi="Times New Roman"/>
                <w:sz w:val="24"/>
                <w:szCs w:val="24"/>
              </w:rPr>
              <w:t xml:space="preserve"> </w:t>
            </w:r>
          </w:p>
        </w:tc>
      </w:tr>
      <w:tr w:rsidR="008D36FF" w:rsidRPr="0009474E" w14:paraId="3D7066ED" w14:textId="77777777" w:rsidTr="00A1568F">
        <w:trPr>
          <w:trHeight w:val="397"/>
        </w:trPr>
        <w:tc>
          <w:tcPr>
            <w:tcW w:w="182" w:type="pct"/>
            <w:tcBorders>
              <w:left w:val="single" w:sz="4" w:space="0" w:color="auto"/>
              <w:right w:val="single" w:sz="4" w:space="0" w:color="auto"/>
            </w:tcBorders>
            <w:shd w:val="clear" w:color="auto" w:fill="FFFFFF" w:themeFill="background1"/>
          </w:tcPr>
          <w:p w14:paraId="19EB36F6" w14:textId="74BFE52C" w:rsidR="008D36FF" w:rsidRDefault="006872B0" w:rsidP="00442D6A">
            <w:pPr>
              <w:pStyle w:val="Sraopastraipa"/>
              <w:numPr>
                <w:ilvl w:val="0"/>
                <w:numId w:val="20"/>
              </w:numPr>
              <w:tabs>
                <w:tab w:val="left" w:pos="360"/>
              </w:tabs>
              <w:autoSpaceDE w:val="0"/>
              <w:autoSpaceDN w:val="0"/>
              <w:adjustRightInd w:val="0"/>
              <w:spacing w:after="0"/>
              <w:ind w:left="0"/>
              <w:rPr>
                <w:rFonts w:ascii="Times New Roman" w:hAnsi="Times New Roman"/>
                <w:color w:val="000000"/>
                <w:sz w:val="24"/>
                <w:szCs w:val="24"/>
              </w:rPr>
            </w:pPr>
            <w:r>
              <w:rPr>
                <w:rFonts w:ascii="Times New Roman" w:hAnsi="Times New Roman"/>
                <w:color w:val="000000"/>
                <w:sz w:val="24"/>
                <w:szCs w:val="24"/>
              </w:rPr>
              <w:lastRenderedPageBreak/>
              <w:t>8</w:t>
            </w:r>
            <w:r w:rsidR="00F75992">
              <w:rPr>
                <w:rFonts w:ascii="Times New Roman" w:hAnsi="Times New Roman"/>
                <w:color w:val="000000"/>
                <w:sz w:val="24"/>
                <w:szCs w:val="24"/>
              </w:rPr>
              <w:t>.</w:t>
            </w:r>
          </w:p>
        </w:tc>
        <w:tc>
          <w:tcPr>
            <w:tcW w:w="628" w:type="pct"/>
            <w:tcBorders>
              <w:left w:val="single" w:sz="4" w:space="0" w:color="auto"/>
              <w:right w:val="single" w:sz="4" w:space="0" w:color="auto"/>
            </w:tcBorders>
            <w:shd w:val="clear" w:color="auto" w:fill="FFFFFF" w:themeFill="background1"/>
          </w:tcPr>
          <w:p w14:paraId="6FA83536" w14:textId="01758AEF" w:rsidR="008D36FF" w:rsidRDefault="008D36FF" w:rsidP="00442D6A">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Valstybinė</w:t>
            </w:r>
            <w:r w:rsidR="00B93B58">
              <w:rPr>
                <w:rFonts w:ascii="Times New Roman" w:hAnsi="Times New Roman"/>
                <w:color w:val="000000"/>
                <w:sz w:val="24"/>
                <w:szCs w:val="24"/>
              </w:rPr>
              <w:t>s</w:t>
            </w:r>
            <w:r>
              <w:rPr>
                <w:rFonts w:ascii="Times New Roman" w:hAnsi="Times New Roman"/>
                <w:color w:val="000000"/>
                <w:sz w:val="24"/>
                <w:szCs w:val="24"/>
              </w:rPr>
              <w:t xml:space="preserve"> akreditavimo sveikatos priežiūros veikl</w:t>
            </w:r>
            <w:r w:rsidR="00213189">
              <w:rPr>
                <w:rFonts w:ascii="Times New Roman" w:hAnsi="Times New Roman"/>
                <w:color w:val="000000"/>
                <w:sz w:val="24"/>
                <w:szCs w:val="24"/>
              </w:rPr>
              <w:t>ai</w:t>
            </w:r>
            <w:r>
              <w:rPr>
                <w:rFonts w:ascii="Times New Roman" w:hAnsi="Times New Roman"/>
                <w:color w:val="000000"/>
                <w:sz w:val="24"/>
                <w:szCs w:val="24"/>
              </w:rPr>
              <w:t xml:space="preserve"> tarnybos </w:t>
            </w:r>
            <w:r>
              <w:rPr>
                <w:rFonts w:ascii="Times New Roman" w:hAnsi="Times New Roman"/>
                <w:color w:val="000000"/>
                <w:sz w:val="24"/>
                <w:szCs w:val="24"/>
                <w:lang w:val="en-US"/>
              </w:rPr>
              <w:t xml:space="preserve">2021 m. </w:t>
            </w:r>
            <w:r>
              <w:rPr>
                <w:rFonts w:ascii="Times New Roman" w:hAnsi="Times New Roman"/>
                <w:color w:val="000000"/>
                <w:sz w:val="24"/>
                <w:szCs w:val="24"/>
              </w:rPr>
              <w:t xml:space="preserve">gegužės </w:t>
            </w:r>
            <w:r w:rsidRPr="008878FB">
              <w:rPr>
                <w:rFonts w:ascii="Times New Roman" w:hAnsi="Times New Roman"/>
                <w:color w:val="000000"/>
                <w:sz w:val="24"/>
                <w:szCs w:val="24"/>
              </w:rPr>
              <w:t>26 d. raštas Nr. D2-7563-(1.13.)</w:t>
            </w:r>
          </w:p>
        </w:tc>
        <w:tc>
          <w:tcPr>
            <w:tcW w:w="2054" w:type="pct"/>
            <w:tcBorders>
              <w:top w:val="single" w:sz="4" w:space="0" w:color="auto"/>
              <w:left w:val="single" w:sz="4" w:space="0" w:color="auto"/>
              <w:bottom w:val="single" w:sz="4" w:space="0" w:color="auto"/>
              <w:right w:val="single" w:sz="4" w:space="0" w:color="auto"/>
            </w:tcBorders>
            <w:shd w:val="clear" w:color="auto" w:fill="FFFFFF" w:themeFill="background1"/>
          </w:tcPr>
          <w:p w14:paraId="230E3B26" w14:textId="155FACE6" w:rsidR="00405F27" w:rsidRPr="00405F27" w:rsidRDefault="008D36FF" w:rsidP="00370C8F">
            <w:pPr>
              <w:tabs>
                <w:tab w:val="left" w:pos="466"/>
              </w:tabs>
              <w:spacing w:line="240" w:lineRule="auto"/>
              <w:jc w:val="both"/>
              <w:rPr>
                <w:rFonts w:ascii="Times New Roman" w:hAnsi="Times New Roman"/>
                <w:sz w:val="24"/>
                <w:szCs w:val="24"/>
              </w:rPr>
            </w:pPr>
            <w:r w:rsidRPr="007A3998">
              <w:rPr>
                <w:rFonts w:ascii="Times New Roman" w:hAnsi="Times New Roman"/>
                <w:sz w:val="24"/>
                <w:szCs w:val="24"/>
              </w:rPr>
              <w:t>1. Metodikoje reikia numatyti išimtį, kad jos reikalavimai neturi būti taikomi kuomet į nacionalinius teisės aktus perkeliamos Europos Sąjungos teisės aktų nuostatos, nes šiuo atveju jie nepriklauso nuo teisės aktą rengiančios ir priimančios institucijos, o reikalavimas, kad ir šiuo atveju bendras prisitaikymo išlaidų dydis mažėtų arba liktų nepakitęs, šiuo atveju yra dirbtinis, nes įpareigoja mažinti ūkio subjektų išlaidas, neatsižvelgiant į teisės aktais saugomas vertybes, t.</w:t>
            </w:r>
            <w:r w:rsidR="00E568F6">
              <w:rPr>
                <w:rFonts w:ascii="Times New Roman" w:hAnsi="Times New Roman"/>
                <w:sz w:val="24"/>
                <w:szCs w:val="24"/>
              </w:rPr>
              <w:t xml:space="preserve"> </w:t>
            </w:r>
            <w:r w:rsidRPr="007A3998">
              <w:rPr>
                <w:rFonts w:ascii="Times New Roman" w:hAnsi="Times New Roman"/>
                <w:sz w:val="24"/>
                <w:szCs w:val="24"/>
              </w:rPr>
              <w:t>y. neatsižvelgiant į tai ar tai nepakenks saugomų vertybių apsaugai.</w:t>
            </w:r>
            <w:r w:rsidR="00405F27">
              <w:rPr>
                <w:rFonts w:ascii="Times New Roman" w:hAnsi="Times New Roman"/>
                <w:sz w:val="24"/>
                <w:szCs w:val="24"/>
              </w:rPr>
              <w:tab/>
            </w:r>
          </w:p>
        </w:tc>
        <w:tc>
          <w:tcPr>
            <w:tcW w:w="2136" w:type="pct"/>
            <w:tcBorders>
              <w:top w:val="single" w:sz="4" w:space="0" w:color="auto"/>
              <w:left w:val="single" w:sz="4" w:space="0" w:color="auto"/>
              <w:bottom w:val="single" w:sz="4" w:space="0" w:color="auto"/>
              <w:right w:val="single" w:sz="4" w:space="0" w:color="auto"/>
            </w:tcBorders>
            <w:shd w:val="clear" w:color="auto" w:fill="FFFFFF" w:themeFill="background1"/>
          </w:tcPr>
          <w:p w14:paraId="69FA5D86" w14:textId="77777777" w:rsidR="008D36FF" w:rsidRDefault="00BC6E2A" w:rsidP="00442D6A">
            <w:pPr>
              <w:spacing w:after="0" w:line="240" w:lineRule="auto"/>
              <w:jc w:val="both"/>
              <w:rPr>
                <w:rFonts w:ascii="Times New Roman" w:hAnsi="Times New Roman"/>
                <w:b/>
                <w:bCs/>
                <w:sz w:val="24"/>
                <w:szCs w:val="24"/>
              </w:rPr>
            </w:pPr>
            <w:r>
              <w:rPr>
                <w:rFonts w:ascii="Times New Roman" w:hAnsi="Times New Roman"/>
                <w:b/>
                <w:bCs/>
                <w:sz w:val="24"/>
                <w:szCs w:val="24"/>
              </w:rPr>
              <w:t>Neatsižvelgta.</w:t>
            </w:r>
          </w:p>
          <w:p w14:paraId="6400800B" w14:textId="77777777" w:rsidR="00BC6E2A" w:rsidRDefault="00BC6E2A" w:rsidP="00442D6A">
            <w:pPr>
              <w:spacing w:after="0" w:line="240" w:lineRule="auto"/>
              <w:jc w:val="both"/>
              <w:rPr>
                <w:rFonts w:ascii="Times New Roman" w:hAnsi="Times New Roman"/>
                <w:sz w:val="24"/>
                <w:szCs w:val="24"/>
              </w:rPr>
            </w:pPr>
            <w:r w:rsidRPr="00BC6E2A">
              <w:rPr>
                <w:rFonts w:ascii="Times New Roman" w:hAnsi="Times New Roman"/>
                <w:sz w:val="24"/>
                <w:szCs w:val="24"/>
              </w:rPr>
              <w:t xml:space="preserve">Žr. argumentus, nurodytus prie Aplinkos apsaugos agentūros </w:t>
            </w:r>
            <w:r w:rsidRPr="00BC6E2A">
              <w:rPr>
                <w:rFonts w:ascii="Times New Roman" w:hAnsi="Times New Roman"/>
                <w:sz w:val="24"/>
                <w:szCs w:val="24"/>
                <w:lang w:val="en-US"/>
              </w:rPr>
              <w:t>1</w:t>
            </w:r>
            <w:r w:rsidRPr="00BC6E2A">
              <w:rPr>
                <w:rFonts w:ascii="Times New Roman" w:hAnsi="Times New Roman"/>
                <w:sz w:val="24"/>
                <w:szCs w:val="24"/>
              </w:rPr>
              <w:t xml:space="preserve"> pastabos.</w:t>
            </w:r>
          </w:p>
          <w:p w14:paraId="73FFF53F" w14:textId="32EDB333" w:rsidR="00510501" w:rsidRPr="00BC6E2A" w:rsidRDefault="00510501" w:rsidP="00442D6A">
            <w:pPr>
              <w:spacing w:after="0" w:line="240" w:lineRule="auto"/>
              <w:jc w:val="both"/>
              <w:rPr>
                <w:rFonts w:ascii="Times New Roman" w:hAnsi="Times New Roman"/>
                <w:sz w:val="24"/>
                <w:szCs w:val="24"/>
              </w:rPr>
            </w:pPr>
          </w:p>
        </w:tc>
      </w:tr>
    </w:tbl>
    <w:p w14:paraId="4FDEA7F7" w14:textId="2195D49C" w:rsidR="00154C54" w:rsidRPr="0009474E" w:rsidRDefault="00442D6A" w:rsidP="0009474E">
      <w:pPr>
        <w:spacing w:after="0"/>
        <w:jc w:val="center"/>
        <w:rPr>
          <w:rFonts w:ascii="Times New Roman" w:hAnsi="Times New Roman"/>
          <w:sz w:val="24"/>
          <w:szCs w:val="24"/>
          <w:u w:val="single"/>
        </w:rPr>
      </w:pPr>
      <w:bookmarkStart w:id="0" w:name="_GoBack"/>
      <w:bookmarkEnd w:id="0"/>
      <w:r>
        <w:rPr>
          <w:rFonts w:ascii="Times New Roman" w:hAnsi="Times New Roman"/>
          <w:sz w:val="24"/>
          <w:szCs w:val="24"/>
        </w:rPr>
        <w:br w:type="textWrapping" w:clear="all"/>
      </w:r>
      <w:r w:rsidR="00154C54" w:rsidRPr="006B22EA">
        <w:rPr>
          <w:rFonts w:ascii="Times New Roman" w:hAnsi="Times New Roman"/>
          <w:sz w:val="24"/>
          <w:szCs w:val="24"/>
        </w:rPr>
        <w:t>__________________</w:t>
      </w:r>
    </w:p>
    <w:sectPr w:rsidR="00154C54" w:rsidRPr="0009474E" w:rsidSect="0032061D">
      <w:headerReference w:type="default" r:id="rId12"/>
      <w:pgSz w:w="16838" w:h="11906" w:orient="landscape"/>
      <w:pgMar w:top="1701" w:right="1134" w:bottom="567" w:left="1134" w:header="567" w:footer="567" w:gutter="0"/>
      <w:pgNumType w:start="1"/>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A6DD6C1" w16cid:durableId="2541F7F8"/>
  <w16cid:commentId w16cid:paraId="4314D110" w16cid:durableId="2546782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46EC6" w14:textId="77777777" w:rsidR="001C3912" w:rsidRDefault="001C3912" w:rsidP="003315C2">
      <w:pPr>
        <w:spacing w:after="0" w:line="240" w:lineRule="auto"/>
      </w:pPr>
      <w:r>
        <w:separator/>
      </w:r>
    </w:p>
  </w:endnote>
  <w:endnote w:type="continuationSeparator" w:id="0">
    <w:p w14:paraId="5083446D" w14:textId="77777777" w:rsidR="001C3912" w:rsidRDefault="001C3912" w:rsidP="00331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66633C" w14:textId="77777777" w:rsidR="001C3912" w:rsidRDefault="001C3912" w:rsidP="003315C2">
      <w:pPr>
        <w:spacing w:after="0" w:line="240" w:lineRule="auto"/>
      </w:pPr>
      <w:r>
        <w:separator/>
      </w:r>
    </w:p>
  </w:footnote>
  <w:footnote w:type="continuationSeparator" w:id="0">
    <w:p w14:paraId="354630C4" w14:textId="77777777" w:rsidR="001C3912" w:rsidRDefault="001C3912" w:rsidP="003315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5EA18" w14:textId="083882C2" w:rsidR="009149A6" w:rsidRPr="00231C71" w:rsidRDefault="009149A6">
    <w:pPr>
      <w:pStyle w:val="Antrats"/>
      <w:jc w:val="center"/>
      <w:rPr>
        <w:rFonts w:ascii="Times New Roman" w:hAnsi="Times New Roman"/>
        <w:sz w:val="24"/>
        <w:szCs w:val="24"/>
      </w:rPr>
    </w:pPr>
    <w:r w:rsidRPr="00231C71">
      <w:rPr>
        <w:rFonts w:ascii="Times New Roman" w:hAnsi="Times New Roman"/>
        <w:sz w:val="24"/>
        <w:szCs w:val="24"/>
      </w:rPr>
      <w:fldChar w:fldCharType="begin"/>
    </w:r>
    <w:r w:rsidRPr="00231C71">
      <w:rPr>
        <w:rFonts w:ascii="Times New Roman" w:hAnsi="Times New Roman"/>
        <w:sz w:val="24"/>
        <w:szCs w:val="24"/>
      </w:rPr>
      <w:instrText xml:space="preserve"> PAGE   \* MERGEFORMAT </w:instrText>
    </w:r>
    <w:r w:rsidRPr="00231C71">
      <w:rPr>
        <w:rFonts w:ascii="Times New Roman" w:hAnsi="Times New Roman"/>
        <w:sz w:val="24"/>
        <w:szCs w:val="24"/>
      </w:rPr>
      <w:fldChar w:fldCharType="separate"/>
    </w:r>
    <w:r w:rsidR="00A1568F">
      <w:rPr>
        <w:rFonts w:ascii="Times New Roman" w:hAnsi="Times New Roman"/>
        <w:noProof/>
        <w:sz w:val="24"/>
        <w:szCs w:val="24"/>
      </w:rPr>
      <w:t>16</w:t>
    </w:r>
    <w:r w:rsidRPr="00231C71">
      <w:rPr>
        <w:rFonts w:ascii="Times New Roman" w:hAnsi="Times New Roman"/>
        <w:noProof/>
        <w:sz w:val="24"/>
        <w:szCs w:val="24"/>
      </w:rPr>
      <w:fldChar w:fldCharType="end"/>
    </w:r>
  </w:p>
  <w:p w14:paraId="78727F0B" w14:textId="77777777" w:rsidR="009149A6" w:rsidRDefault="009149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6110"/>
    <w:multiLevelType w:val="multilevel"/>
    <w:tmpl w:val="CC5C64B6"/>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4880F71"/>
    <w:multiLevelType w:val="hybridMultilevel"/>
    <w:tmpl w:val="D5E413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6073FD"/>
    <w:multiLevelType w:val="hybridMultilevel"/>
    <w:tmpl w:val="DAC2CD38"/>
    <w:lvl w:ilvl="0" w:tplc="0718A2C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706146C"/>
    <w:multiLevelType w:val="hybridMultilevel"/>
    <w:tmpl w:val="3EACAD6E"/>
    <w:lvl w:ilvl="0" w:tplc="0427000F">
      <w:start w:val="1"/>
      <w:numFmt w:val="decimal"/>
      <w:lvlText w:val="%1."/>
      <w:lvlJc w:val="left"/>
      <w:pPr>
        <w:tabs>
          <w:tab w:val="num" w:pos="720"/>
        </w:tabs>
        <w:ind w:left="720" w:hanging="360"/>
      </w:pPr>
      <w:rPr>
        <w:rFonts w:hint="default"/>
      </w:rPr>
    </w:lvl>
    <w:lvl w:ilvl="1" w:tplc="8B4C7B6A" w:tentative="1">
      <w:start w:val="1"/>
      <w:numFmt w:val="bullet"/>
      <w:lvlText w:val="•"/>
      <w:lvlJc w:val="left"/>
      <w:pPr>
        <w:tabs>
          <w:tab w:val="num" w:pos="1440"/>
        </w:tabs>
        <w:ind w:left="1440" w:hanging="360"/>
      </w:pPr>
      <w:rPr>
        <w:rFonts w:ascii="Arial" w:hAnsi="Arial" w:hint="default"/>
      </w:rPr>
    </w:lvl>
    <w:lvl w:ilvl="2" w:tplc="07220642" w:tentative="1">
      <w:start w:val="1"/>
      <w:numFmt w:val="bullet"/>
      <w:lvlText w:val="•"/>
      <w:lvlJc w:val="left"/>
      <w:pPr>
        <w:tabs>
          <w:tab w:val="num" w:pos="2160"/>
        </w:tabs>
        <w:ind w:left="2160" w:hanging="360"/>
      </w:pPr>
      <w:rPr>
        <w:rFonts w:ascii="Arial" w:hAnsi="Arial" w:hint="default"/>
      </w:rPr>
    </w:lvl>
    <w:lvl w:ilvl="3" w:tplc="5E183A96" w:tentative="1">
      <w:start w:val="1"/>
      <w:numFmt w:val="bullet"/>
      <w:lvlText w:val="•"/>
      <w:lvlJc w:val="left"/>
      <w:pPr>
        <w:tabs>
          <w:tab w:val="num" w:pos="2880"/>
        </w:tabs>
        <w:ind w:left="2880" w:hanging="360"/>
      </w:pPr>
      <w:rPr>
        <w:rFonts w:ascii="Arial" w:hAnsi="Arial" w:hint="default"/>
      </w:rPr>
    </w:lvl>
    <w:lvl w:ilvl="4" w:tplc="F76A46C8" w:tentative="1">
      <w:start w:val="1"/>
      <w:numFmt w:val="bullet"/>
      <w:lvlText w:val="•"/>
      <w:lvlJc w:val="left"/>
      <w:pPr>
        <w:tabs>
          <w:tab w:val="num" w:pos="3600"/>
        </w:tabs>
        <w:ind w:left="3600" w:hanging="360"/>
      </w:pPr>
      <w:rPr>
        <w:rFonts w:ascii="Arial" w:hAnsi="Arial" w:hint="default"/>
      </w:rPr>
    </w:lvl>
    <w:lvl w:ilvl="5" w:tplc="BEB6E04A" w:tentative="1">
      <w:start w:val="1"/>
      <w:numFmt w:val="bullet"/>
      <w:lvlText w:val="•"/>
      <w:lvlJc w:val="left"/>
      <w:pPr>
        <w:tabs>
          <w:tab w:val="num" w:pos="4320"/>
        </w:tabs>
        <w:ind w:left="4320" w:hanging="360"/>
      </w:pPr>
      <w:rPr>
        <w:rFonts w:ascii="Arial" w:hAnsi="Arial" w:hint="default"/>
      </w:rPr>
    </w:lvl>
    <w:lvl w:ilvl="6" w:tplc="38AEE540" w:tentative="1">
      <w:start w:val="1"/>
      <w:numFmt w:val="bullet"/>
      <w:lvlText w:val="•"/>
      <w:lvlJc w:val="left"/>
      <w:pPr>
        <w:tabs>
          <w:tab w:val="num" w:pos="5040"/>
        </w:tabs>
        <w:ind w:left="5040" w:hanging="360"/>
      </w:pPr>
      <w:rPr>
        <w:rFonts w:ascii="Arial" w:hAnsi="Arial" w:hint="default"/>
      </w:rPr>
    </w:lvl>
    <w:lvl w:ilvl="7" w:tplc="89668F4E" w:tentative="1">
      <w:start w:val="1"/>
      <w:numFmt w:val="bullet"/>
      <w:lvlText w:val="•"/>
      <w:lvlJc w:val="left"/>
      <w:pPr>
        <w:tabs>
          <w:tab w:val="num" w:pos="5760"/>
        </w:tabs>
        <w:ind w:left="5760" w:hanging="360"/>
      </w:pPr>
      <w:rPr>
        <w:rFonts w:ascii="Arial" w:hAnsi="Arial" w:hint="default"/>
      </w:rPr>
    </w:lvl>
    <w:lvl w:ilvl="8" w:tplc="28A8367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F6242E4"/>
    <w:multiLevelType w:val="hybridMultilevel"/>
    <w:tmpl w:val="21B46D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CF819D7"/>
    <w:multiLevelType w:val="hybridMultilevel"/>
    <w:tmpl w:val="0FD838A0"/>
    <w:lvl w:ilvl="0" w:tplc="BF1AEFFC">
      <w:start w:val="1"/>
      <w:numFmt w:val="bullet"/>
      <w:lvlText w:val="•"/>
      <w:lvlJc w:val="left"/>
      <w:pPr>
        <w:tabs>
          <w:tab w:val="num" w:pos="720"/>
        </w:tabs>
        <w:ind w:left="720" w:hanging="360"/>
      </w:pPr>
      <w:rPr>
        <w:rFonts w:ascii="Arial" w:hAnsi="Arial" w:hint="default"/>
      </w:rPr>
    </w:lvl>
    <w:lvl w:ilvl="1" w:tplc="39921F6C" w:tentative="1">
      <w:start w:val="1"/>
      <w:numFmt w:val="bullet"/>
      <w:lvlText w:val="•"/>
      <w:lvlJc w:val="left"/>
      <w:pPr>
        <w:tabs>
          <w:tab w:val="num" w:pos="1440"/>
        </w:tabs>
        <w:ind w:left="1440" w:hanging="360"/>
      </w:pPr>
      <w:rPr>
        <w:rFonts w:ascii="Arial" w:hAnsi="Arial" w:hint="default"/>
      </w:rPr>
    </w:lvl>
    <w:lvl w:ilvl="2" w:tplc="C804B42A" w:tentative="1">
      <w:start w:val="1"/>
      <w:numFmt w:val="bullet"/>
      <w:lvlText w:val="•"/>
      <w:lvlJc w:val="left"/>
      <w:pPr>
        <w:tabs>
          <w:tab w:val="num" w:pos="2160"/>
        </w:tabs>
        <w:ind w:left="2160" w:hanging="360"/>
      </w:pPr>
      <w:rPr>
        <w:rFonts w:ascii="Arial" w:hAnsi="Arial" w:hint="default"/>
      </w:rPr>
    </w:lvl>
    <w:lvl w:ilvl="3" w:tplc="2F449AAE" w:tentative="1">
      <w:start w:val="1"/>
      <w:numFmt w:val="bullet"/>
      <w:lvlText w:val="•"/>
      <w:lvlJc w:val="left"/>
      <w:pPr>
        <w:tabs>
          <w:tab w:val="num" w:pos="2880"/>
        </w:tabs>
        <w:ind w:left="2880" w:hanging="360"/>
      </w:pPr>
      <w:rPr>
        <w:rFonts w:ascii="Arial" w:hAnsi="Arial" w:hint="default"/>
      </w:rPr>
    </w:lvl>
    <w:lvl w:ilvl="4" w:tplc="A18AA084" w:tentative="1">
      <w:start w:val="1"/>
      <w:numFmt w:val="bullet"/>
      <w:lvlText w:val="•"/>
      <w:lvlJc w:val="left"/>
      <w:pPr>
        <w:tabs>
          <w:tab w:val="num" w:pos="3600"/>
        </w:tabs>
        <w:ind w:left="3600" w:hanging="360"/>
      </w:pPr>
      <w:rPr>
        <w:rFonts w:ascii="Arial" w:hAnsi="Arial" w:hint="default"/>
      </w:rPr>
    </w:lvl>
    <w:lvl w:ilvl="5" w:tplc="511C2DAA" w:tentative="1">
      <w:start w:val="1"/>
      <w:numFmt w:val="bullet"/>
      <w:lvlText w:val="•"/>
      <w:lvlJc w:val="left"/>
      <w:pPr>
        <w:tabs>
          <w:tab w:val="num" w:pos="4320"/>
        </w:tabs>
        <w:ind w:left="4320" w:hanging="360"/>
      </w:pPr>
      <w:rPr>
        <w:rFonts w:ascii="Arial" w:hAnsi="Arial" w:hint="default"/>
      </w:rPr>
    </w:lvl>
    <w:lvl w:ilvl="6" w:tplc="5EC88FBE" w:tentative="1">
      <w:start w:val="1"/>
      <w:numFmt w:val="bullet"/>
      <w:lvlText w:val="•"/>
      <w:lvlJc w:val="left"/>
      <w:pPr>
        <w:tabs>
          <w:tab w:val="num" w:pos="5040"/>
        </w:tabs>
        <w:ind w:left="5040" w:hanging="360"/>
      </w:pPr>
      <w:rPr>
        <w:rFonts w:ascii="Arial" w:hAnsi="Arial" w:hint="default"/>
      </w:rPr>
    </w:lvl>
    <w:lvl w:ilvl="7" w:tplc="0EA2C55E" w:tentative="1">
      <w:start w:val="1"/>
      <w:numFmt w:val="bullet"/>
      <w:lvlText w:val="•"/>
      <w:lvlJc w:val="left"/>
      <w:pPr>
        <w:tabs>
          <w:tab w:val="num" w:pos="5760"/>
        </w:tabs>
        <w:ind w:left="5760" w:hanging="360"/>
      </w:pPr>
      <w:rPr>
        <w:rFonts w:ascii="Arial" w:hAnsi="Arial" w:hint="default"/>
      </w:rPr>
    </w:lvl>
    <w:lvl w:ilvl="8" w:tplc="50B0D94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F5E0307"/>
    <w:multiLevelType w:val="hybridMultilevel"/>
    <w:tmpl w:val="F3BAA5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733FA9"/>
    <w:multiLevelType w:val="hybridMultilevel"/>
    <w:tmpl w:val="201053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050425"/>
    <w:multiLevelType w:val="hybridMultilevel"/>
    <w:tmpl w:val="A13AB6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D81627E"/>
    <w:multiLevelType w:val="hybridMultilevel"/>
    <w:tmpl w:val="04F0CC5E"/>
    <w:lvl w:ilvl="0" w:tplc="6C521182">
      <w:start w:val="6"/>
      <w:numFmt w:val="bullet"/>
      <w:lvlText w:val="-"/>
      <w:lvlJc w:val="left"/>
      <w:pPr>
        <w:ind w:left="390" w:hanging="360"/>
      </w:pPr>
      <w:rPr>
        <w:rFonts w:ascii="Calibri" w:eastAsia="Calibri" w:hAnsi="Calibri" w:cs="Times New Roman" w:hint="default"/>
      </w:rPr>
    </w:lvl>
    <w:lvl w:ilvl="1" w:tplc="04270003" w:tentative="1">
      <w:start w:val="1"/>
      <w:numFmt w:val="bullet"/>
      <w:lvlText w:val="o"/>
      <w:lvlJc w:val="left"/>
      <w:pPr>
        <w:ind w:left="1110" w:hanging="360"/>
      </w:pPr>
      <w:rPr>
        <w:rFonts w:ascii="Courier New" w:hAnsi="Courier New" w:cs="Courier New" w:hint="default"/>
      </w:rPr>
    </w:lvl>
    <w:lvl w:ilvl="2" w:tplc="04270005" w:tentative="1">
      <w:start w:val="1"/>
      <w:numFmt w:val="bullet"/>
      <w:lvlText w:val=""/>
      <w:lvlJc w:val="left"/>
      <w:pPr>
        <w:ind w:left="1830" w:hanging="360"/>
      </w:pPr>
      <w:rPr>
        <w:rFonts w:ascii="Wingdings" w:hAnsi="Wingdings" w:hint="default"/>
      </w:rPr>
    </w:lvl>
    <w:lvl w:ilvl="3" w:tplc="04270001" w:tentative="1">
      <w:start w:val="1"/>
      <w:numFmt w:val="bullet"/>
      <w:lvlText w:val=""/>
      <w:lvlJc w:val="left"/>
      <w:pPr>
        <w:ind w:left="2550" w:hanging="360"/>
      </w:pPr>
      <w:rPr>
        <w:rFonts w:ascii="Symbol" w:hAnsi="Symbol" w:hint="default"/>
      </w:rPr>
    </w:lvl>
    <w:lvl w:ilvl="4" w:tplc="04270003" w:tentative="1">
      <w:start w:val="1"/>
      <w:numFmt w:val="bullet"/>
      <w:lvlText w:val="o"/>
      <w:lvlJc w:val="left"/>
      <w:pPr>
        <w:ind w:left="3270" w:hanging="360"/>
      </w:pPr>
      <w:rPr>
        <w:rFonts w:ascii="Courier New" w:hAnsi="Courier New" w:cs="Courier New" w:hint="default"/>
      </w:rPr>
    </w:lvl>
    <w:lvl w:ilvl="5" w:tplc="04270005" w:tentative="1">
      <w:start w:val="1"/>
      <w:numFmt w:val="bullet"/>
      <w:lvlText w:val=""/>
      <w:lvlJc w:val="left"/>
      <w:pPr>
        <w:ind w:left="3990" w:hanging="360"/>
      </w:pPr>
      <w:rPr>
        <w:rFonts w:ascii="Wingdings" w:hAnsi="Wingdings" w:hint="default"/>
      </w:rPr>
    </w:lvl>
    <w:lvl w:ilvl="6" w:tplc="04270001" w:tentative="1">
      <w:start w:val="1"/>
      <w:numFmt w:val="bullet"/>
      <w:lvlText w:val=""/>
      <w:lvlJc w:val="left"/>
      <w:pPr>
        <w:ind w:left="4710" w:hanging="360"/>
      </w:pPr>
      <w:rPr>
        <w:rFonts w:ascii="Symbol" w:hAnsi="Symbol" w:hint="default"/>
      </w:rPr>
    </w:lvl>
    <w:lvl w:ilvl="7" w:tplc="04270003" w:tentative="1">
      <w:start w:val="1"/>
      <w:numFmt w:val="bullet"/>
      <w:lvlText w:val="o"/>
      <w:lvlJc w:val="left"/>
      <w:pPr>
        <w:ind w:left="5430" w:hanging="360"/>
      </w:pPr>
      <w:rPr>
        <w:rFonts w:ascii="Courier New" w:hAnsi="Courier New" w:cs="Courier New" w:hint="default"/>
      </w:rPr>
    </w:lvl>
    <w:lvl w:ilvl="8" w:tplc="04270005" w:tentative="1">
      <w:start w:val="1"/>
      <w:numFmt w:val="bullet"/>
      <w:lvlText w:val=""/>
      <w:lvlJc w:val="left"/>
      <w:pPr>
        <w:ind w:left="6150" w:hanging="360"/>
      </w:pPr>
      <w:rPr>
        <w:rFonts w:ascii="Wingdings" w:hAnsi="Wingdings" w:hint="default"/>
      </w:rPr>
    </w:lvl>
  </w:abstractNum>
  <w:abstractNum w:abstractNumId="10" w15:restartNumberingAfterBreak="0">
    <w:nsid w:val="2DC509FC"/>
    <w:multiLevelType w:val="hybridMultilevel"/>
    <w:tmpl w:val="07F0F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DF83935"/>
    <w:multiLevelType w:val="hybridMultilevel"/>
    <w:tmpl w:val="3B14D55A"/>
    <w:lvl w:ilvl="0" w:tplc="A91868B8">
      <w:start w:val="1"/>
      <w:numFmt w:val="decimal"/>
      <w:lvlText w:val="%1."/>
      <w:lvlJc w:val="left"/>
      <w:pPr>
        <w:ind w:left="1211" w:hanging="360"/>
      </w:pPr>
      <w:rPr>
        <w:rFonts w:hint="default"/>
        <w:i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1500EE9"/>
    <w:multiLevelType w:val="hybridMultilevel"/>
    <w:tmpl w:val="534624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6A63692"/>
    <w:multiLevelType w:val="hybridMultilevel"/>
    <w:tmpl w:val="16D0AC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1145FFF"/>
    <w:multiLevelType w:val="hybridMultilevel"/>
    <w:tmpl w:val="49EAFF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2F61073"/>
    <w:multiLevelType w:val="hybridMultilevel"/>
    <w:tmpl w:val="778E1FBC"/>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34B534F"/>
    <w:multiLevelType w:val="hybridMultilevel"/>
    <w:tmpl w:val="0F662F3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46893001"/>
    <w:multiLevelType w:val="hybridMultilevel"/>
    <w:tmpl w:val="EA2093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71F3790"/>
    <w:multiLevelType w:val="hybridMultilevel"/>
    <w:tmpl w:val="69F8A9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847108F"/>
    <w:multiLevelType w:val="hybridMultilevel"/>
    <w:tmpl w:val="1EC0016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A531731"/>
    <w:multiLevelType w:val="hybridMultilevel"/>
    <w:tmpl w:val="040CB0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F2F0D4A"/>
    <w:multiLevelType w:val="hybridMultilevel"/>
    <w:tmpl w:val="55F03674"/>
    <w:lvl w:ilvl="0" w:tplc="19483966">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2" w15:restartNumberingAfterBreak="0">
    <w:nsid w:val="569855A3"/>
    <w:multiLevelType w:val="hybridMultilevel"/>
    <w:tmpl w:val="82DA688A"/>
    <w:lvl w:ilvl="0" w:tplc="19B47186">
      <w:start w:val="1"/>
      <w:numFmt w:val="decimal"/>
      <w:lvlText w:val="%1."/>
      <w:lvlJc w:val="left"/>
      <w:pPr>
        <w:ind w:left="401" w:hanging="360"/>
      </w:pPr>
      <w:rPr>
        <w:rFonts w:hint="default"/>
      </w:rPr>
    </w:lvl>
    <w:lvl w:ilvl="1" w:tplc="04270019" w:tentative="1">
      <w:start w:val="1"/>
      <w:numFmt w:val="lowerLetter"/>
      <w:lvlText w:val="%2."/>
      <w:lvlJc w:val="left"/>
      <w:pPr>
        <w:ind w:left="1121" w:hanging="360"/>
      </w:pPr>
    </w:lvl>
    <w:lvl w:ilvl="2" w:tplc="0427001B" w:tentative="1">
      <w:start w:val="1"/>
      <w:numFmt w:val="lowerRoman"/>
      <w:lvlText w:val="%3."/>
      <w:lvlJc w:val="right"/>
      <w:pPr>
        <w:ind w:left="1841" w:hanging="180"/>
      </w:pPr>
    </w:lvl>
    <w:lvl w:ilvl="3" w:tplc="0427000F" w:tentative="1">
      <w:start w:val="1"/>
      <w:numFmt w:val="decimal"/>
      <w:lvlText w:val="%4."/>
      <w:lvlJc w:val="left"/>
      <w:pPr>
        <w:ind w:left="2561" w:hanging="360"/>
      </w:pPr>
    </w:lvl>
    <w:lvl w:ilvl="4" w:tplc="04270019" w:tentative="1">
      <w:start w:val="1"/>
      <w:numFmt w:val="lowerLetter"/>
      <w:lvlText w:val="%5."/>
      <w:lvlJc w:val="left"/>
      <w:pPr>
        <w:ind w:left="3281" w:hanging="360"/>
      </w:pPr>
    </w:lvl>
    <w:lvl w:ilvl="5" w:tplc="0427001B" w:tentative="1">
      <w:start w:val="1"/>
      <w:numFmt w:val="lowerRoman"/>
      <w:lvlText w:val="%6."/>
      <w:lvlJc w:val="right"/>
      <w:pPr>
        <w:ind w:left="4001" w:hanging="180"/>
      </w:pPr>
    </w:lvl>
    <w:lvl w:ilvl="6" w:tplc="0427000F" w:tentative="1">
      <w:start w:val="1"/>
      <w:numFmt w:val="decimal"/>
      <w:lvlText w:val="%7."/>
      <w:lvlJc w:val="left"/>
      <w:pPr>
        <w:ind w:left="4721" w:hanging="360"/>
      </w:pPr>
    </w:lvl>
    <w:lvl w:ilvl="7" w:tplc="04270019" w:tentative="1">
      <w:start w:val="1"/>
      <w:numFmt w:val="lowerLetter"/>
      <w:lvlText w:val="%8."/>
      <w:lvlJc w:val="left"/>
      <w:pPr>
        <w:ind w:left="5441" w:hanging="360"/>
      </w:pPr>
    </w:lvl>
    <w:lvl w:ilvl="8" w:tplc="0427001B" w:tentative="1">
      <w:start w:val="1"/>
      <w:numFmt w:val="lowerRoman"/>
      <w:lvlText w:val="%9."/>
      <w:lvlJc w:val="right"/>
      <w:pPr>
        <w:ind w:left="6161" w:hanging="180"/>
      </w:pPr>
    </w:lvl>
  </w:abstractNum>
  <w:abstractNum w:abstractNumId="23" w15:restartNumberingAfterBreak="0">
    <w:nsid w:val="5EF936AF"/>
    <w:multiLevelType w:val="hybridMultilevel"/>
    <w:tmpl w:val="36E6A052"/>
    <w:lvl w:ilvl="0" w:tplc="F2D45904">
      <w:start w:val="1"/>
      <w:numFmt w:val="bullet"/>
      <w:lvlText w:val="•"/>
      <w:lvlJc w:val="left"/>
      <w:pPr>
        <w:tabs>
          <w:tab w:val="num" w:pos="720"/>
        </w:tabs>
        <w:ind w:left="720" w:hanging="360"/>
      </w:pPr>
      <w:rPr>
        <w:rFonts w:ascii="Arial" w:hAnsi="Arial" w:hint="default"/>
      </w:rPr>
    </w:lvl>
    <w:lvl w:ilvl="1" w:tplc="8B4C7B6A" w:tentative="1">
      <w:start w:val="1"/>
      <w:numFmt w:val="bullet"/>
      <w:lvlText w:val="•"/>
      <w:lvlJc w:val="left"/>
      <w:pPr>
        <w:tabs>
          <w:tab w:val="num" w:pos="1440"/>
        </w:tabs>
        <w:ind w:left="1440" w:hanging="360"/>
      </w:pPr>
      <w:rPr>
        <w:rFonts w:ascii="Arial" w:hAnsi="Arial" w:hint="default"/>
      </w:rPr>
    </w:lvl>
    <w:lvl w:ilvl="2" w:tplc="07220642" w:tentative="1">
      <w:start w:val="1"/>
      <w:numFmt w:val="bullet"/>
      <w:lvlText w:val="•"/>
      <w:lvlJc w:val="left"/>
      <w:pPr>
        <w:tabs>
          <w:tab w:val="num" w:pos="2160"/>
        </w:tabs>
        <w:ind w:left="2160" w:hanging="360"/>
      </w:pPr>
      <w:rPr>
        <w:rFonts w:ascii="Arial" w:hAnsi="Arial" w:hint="default"/>
      </w:rPr>
    </w:lvl>
    <w:lvl w:ilvl="3" w:tplc="5E183A96" w:tentative="1">
      <w:start w:val="1"/>
      <w:numFmt w:val="bullet"/>
      <w:lvlText w:val="•"/>
      <w:lvlJc w:val="left"/>
      <w:pPr>
        <w:tabs>
          <w:tab w:val="num" w:pos="2880"/>
        </w:tabs>
        <w:ind w:left="2880" w:hanging="360"/>
      </w:pPr>
      <w:rPr>
        <w:rFonts w:ascii="Arial" w:hAnsi="Arial" w:hint="default"/>
      </w:rPr>
    </w:lvl>
    <w:lvl w:ilvl="4" w:tplc="F76A46C8" w:tentative="1">
      <w:start w:val="1"/>
      <w:numFmt w:val="bullet"/>
      <w:lvlText w:val="•"/>
      <w:lvlJc w:val="left"/>
      <w:pPr>
        <w:tabs>
          <w:tab w:val="num" w:pos="3600"/>
        </w:tabs>
        <w:ind w:left="3600" w:hanging="360"/>
      </w:pPr>
      <w:rPr>
        <w:rFonts w:ascii="Arial" w:hAnsi="Arial" w:hint="default"/>
      </w:rPr>
    </w:lvl>
    <w:lvl w:ilvl="5" w:tplc="BEB6E04A" w:tentative="1">
      <w:start w:val="1"/>
      <w:numFmt w:val="bullet"/>
      <w:lvlText w:val="•"/>
      <w:lvlJc w:val="left"/>
      <w:pPr>
        <w:tabs>
          <w:tab w:val="num" w:pos="4320"/>
        </w:tabs>
        <w:ind w:left="4320" w:hanging="360"/>
      </w:pPr>
      <w:rPr>
        <w:rFonts w:ascii="Arial" w:hAnsi="Arial" w:hint="default"/>
      </w:rPr>
    </w:lvl>
    <w:lvl w:ilvl="6" w:tplc="38AEE540" w:tentative="1">
      <w:start w:val="1"/>
      <w:numFmt w:val="bullet"/>
      <w:lvlText w:val="•"/>
      <w:lvlJc w:val="left"/>
      <w:pPr>
        <w:tabs>
          <w:tab w:val="num" w:pos="5040"/>
        </w:tabs>
        <w:ind w:left="5040" w:hanging="360"/>
      </w:pPr>
      <w:rPr>
        <w:rFonts w:ascii="Arial" w:hAnsi="Arial" w:hint="default"/>
      </w:rPr>
    </w:lvl>
    <w:lvl w:ilvl="7" w:tplc="89668F4E" w:tentative="1">
      <w:start w:val="1"/>
      <w:numFmt w:val="bullet"/>
      <w:lvlText w:val="•"/>
      <w:lvlJc w:val="left"/>
      <w:pPr>
        <w:tabs>
          <w:tab w:val="num" w:pos="5760"/>
        </w:tabs>
        <w:ind w:left="5760" w:hanging="360"/>
      </w:pPr>
      <w:rPr>
        <w:rFonts w:ascii="Arial" w:hAnsi="Arial" w:hint="default"/>
      </w:rPr>
    </w:lvl>
    <w:lvl w:ilvl="8" w:tplc="28A8367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6B57F23"/>
    <w:multiLevelType w:val="hybridMultilevel"/>
    <w:tmpl w:val="D0AA81AE"/>
    <w:lvl w:ilvl="0" w:tplc="F5D8FBB4">
      <w:start w:val="6"/>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7736FC8"/>
    <w:multiLevelType w:val="hybridMultilevel"/>
    <w:tmpl w:val="1EC0016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9EA7474"/>
    <w:multiLevelType w:val="hybridMultilevel"/>
    <w:tmpl w:val="56883400"/>
    <w:lvl w:ilvl="0" w:tplc="BB08BE7C">
      <w:start w:val="1"/>
      <w:numFmt w:val="decimal"/>
      <w:lvlText w:val="%1."/>
      <w:lvlJc w:val="left"/>
      <w:pPr>
        <w:ind w:left="416" w:hanging="375"/>
      </w:pPr>
      <w:rPr>
        <w:rFonts w:hint="default"/>
      </w:rPr>
    </w:lvl>
    <w:lvl w:ilvl="1" w:tplc="04270019" w:tentative="1">
      <w:start w:val="1"/>
      <w:numFmt w:val="lowerLetter"/>
      <w:lvlText w:val="%2."/>
      <w:lvlJc w:val="left"/>
      <w:pPr>
        <w:ind w:left="1121" w:hanging="360"/>
      </w:pPr>
    </w:lvl>
    <w:lvl w:ilvl="2" w:tplc="0427001B" w:tentative="1">
      <w:start w:val="1"/>
      <w:numFmt w:val="lowerRoman"/>
      <w:lvlText w:val="%3."/>
      <w:lvlJc w:val="right"/>
      <w:pPr>
        <w:ind w:left="1841" w:hanging="180"/>
      </w:pPr>
    </w:lvl>
    <w:lvl w:ilvl="3" w:tplc="0427000F" w:tentative="1">
      <w:start w:val="1"/>
      <w:numFmt w:val="decimal"/>
      <w:lvlText w:val="%4."/>
      <w:lvlJc w:val="left"/>
      <w:pPr>
        <w:ind w:left="2561" w:hanging="360"/>
      </w:pPr>
    </w:lvl>
    <w:lvl w:ilvl="4" w:tplc="04270019" w:tentative="1">
      <w:start w:val="1"/>
      <w:numFmt w:val="lowerLetter"/>
      <w:lvlText w:val="%5."/>
      <w:lvlJc w:val="left"/>
      <w:pPr>
        <w:ind w:left="3281" w:hanging="360"/>
      </w:pPr>
    </w:lvl>
    <w:lvl w:ilvl="5" w:tplc="0427001B" w:tentative="1">
      <w:start w:val="1"/>
      <w:numFmt w:val="lowerRoman"/>
      <w:lvlText w:val="%6."/>
      <w:lvlJc w:val="right"/>
      <w:pPr>
        <w:ind w:left="4001" w:hanging="180"/>
      </w:pPr>
    </w:lvl>
    <w:lvl w:ilvl="6" w:tplc="0427000F" w:tentative="1">
      <w:start w:val="1"/>
      <w:numFmt w:val="decimal"/>
      <w:lvlText w:val="%7."/>
      <w:lvlJc w:val="left"/>
      <w:pPr>
        <w:ind w:left="4721" w:hanging="360"/>
      </w:pPr>
    </w:lvl>
    <w:lvl w:ilvl="7" w:tplc="04270019" w:tentative="1">
      <w:start w:val="1"/>
      <w:numFmt w:val="lowerLetter"/>
      <w:lvlText w:val="%8."/>
      <w:lvlJc w:val="left"/>
      <w:pPr>
        <w:ind w:left="5441" w:hanging="360"/>
      </w:pPr>
    </w:lvl>
    <w:lvl w:ilvl="8" w:tplc="0427001B" w:tentative="1">
      <w:start w:val="1"/>
      <w:numFmt w:val="lowerRoman"/>
      <w:lvlText w:val="%9."/>
      <w:lvlJc w:val="right"/>
      <w:pPr>
        <w:ind w:left="6161" w:hanging="180"/>
      </w:pPr>
    </w:lvl>
  </w:abstractNum>
  <w:abstractNum w:abstractNumId="27" w15:restartNumberingAfterBreak="0">
    <w:nsid w:val="6E2A1656"/>
    <w:multiLevelType w:val="hybridMultilevel"/>
    <w:tmpl w:val="563A83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0CB7284"/>
    <w:multiLevelType w:val="hybridMultilevel"/>
    <w:tmpl w:val="66646D18"/>
    <w:lvl w:ilvl="0" w:tplc="161C9096">
      <w:start w:val="8"/>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9" w15:restartNumberingAfterBreak="0">
    <w:nsid w:val="733217D1"/>
    <w:multiLevelType w:val="hybridMultilevel"/>
    <w:tmpl w:val="8996B1DA"/>
    <w:lvl w:ilvl="0" w:tplc="51D4C3B4">
      <w:start w:val="1"/>
      <w:numFmt w:val="decimal"/>
      <w:lvlText w:val="%1."/>
      <w:lvlJc w:val="left"/>
      <w:pPr>
        <w:ind w:left="720" w:hanging="360"/>
      </w:pPr>
      <w:rPr>
        <w:rFonts w:hint="default"/>
        <w:color w:val="00000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3AD1054"/>
    <w:multiLevelType w:val="hybridMultilevel"/>
    <w:tmpl w:val="211A5E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C6328A2"/>
    <w:multiLevelType w:val="multilevel"/>
    <w:tmpl w:val="4C20B952"/>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858" w:hanging="432"/>
      </w:pPr>
      <w:rPr>
        <w:rFonts w:ascii="Times New Roman" w:hAnsi="Times New Roman" w:cs="Times New Roman" w:hint="default"/>
        <w:b w:val="0"/>
        <w:strike w:val="0"/>
        <w:color w:val="auto"/>
        <w:sz w:val="24"/>
        <w:szCs w:val="24"/>
      </w:rPr>
    </w:lvl>
    <w:lvl w:ilvl="2">
      <w:start w:val="1"/>
      <w:numFmt w:val="decimal"/>
      <w:lvlText w:val="%1.%2.%3."/>
      <w:lvlJc w:val="left"/>
      <w:pPr>
        <w:ind w:left="1072" w:hanging="504"/>
      </w:pPr>
      <w:rPr>
        <w:i w:val="0"/>
      </w:rPr>
    </w:lvl>
    <w:lvl w:ilvl="3">
      <w:start w:val="1"/>
      <w:numFmt w:val="decimal"/>
      <w:lvlText w:val="%1.%2.%3.%4."/>
      <w:lvlJc w:val="left"/>
      <w:pPr>
        <w:ind w:left="192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9"/>
  </w:num>
  <w:num w:numId="3">
    <w:abstractNumId w:val="30"/>
  </w:num>
  <w:num w:numId="4">
    <w:abstractNumId w:val="30"/>
  </w:num>
  <w:num w:numId="5">
    <w:abstractNumId w:val="7"/>
  </w:num>
  <w:num w:numId="6">
    <w:abstractNumId w:val="12"/>
  </w:num>
  <w:num w:numId="7">
    <w:abstractNumId w:val="2"/>
  </w:num>
  <w:num w:numId="8">
    <w:abstractNumId w:val="0"/>
  </w:num>
  <w:num w:numId="9">
    <w:abstractNumId w:val="6"/>
  </w:num>
  <w:num w:numId="10">
    <w:abstractNumId w:val="11"/>
  </w:num>
  <w:num w:numId="11">
    <w:abstractNumId w:val="21"/>
  </w:num>
  <w:num w:numId="12">
    <w:abstractNumId w:val="28"/>
  </w:num>
  <w:num w:numId="13">
    <w:abstractNumId w:val="19"/>
  </w:num>
  <w:num w:numId="14">
    <w:abstractNumId w:val="10"/>
  </w:num>
  <w:num w:numId="15">
    <w:abstractNumId w:val="25"/>
  </w:num>
  <w:num w:numId="16">
    <w:abstractNumId w:val="22"/>
  </w:num>
  <w:num w:numId="17">
    <w:abstractNumId w:val="20"/>
  </w:num>
  <w:num w:numId="18">
    <w:abstractNumId w:val="4"/>
  </w:num>
  <w:num w:numId="19">
    <w:abstractNumId w:val="13"/>
  </w:num>
  <w:num w:numId="20">
    <w:abstractNumId w:val="8"/>
  </w:num>
  <w:num w:numId="21">
    <w:abstractNumId w:val="27"/>
  </w:num>
  <w:num w:numId="22">
    <w:abstractNumId w:val="14"/>
  </w:num>
  <w:num w:numId="23">
    <w:abstractNumId w:val="18"/>
  </w:num>
  <w:num w:numId="24">
    <w:abstractNumId w:val="1"/>
  </w:num>
  <w:num w:numId="25">
    <w:abstractNumId w:val="29"/>
  </w:num>
  <w:num w:numId="26">
    <w:abstractNumId w:val="31"/>
  </w:num>
  <w:num w:numId="27">
    <w:abstractNumId w:val="23"/>
  </w:num>
  <w:num w:numId="28">
    <w:abstractNumId w:val="3"/>
  </w:num>
  <w:num w:numId="29">
    <w:abstractNumId w:val="5"/>
  </w:num>
  <w:num w:numId="30">
    <w:abstractNumId w:val="15"/>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defaultTabStop w:val="1296"/>
  <w:hyphenationZone w:val="396"/>
  <w:doNotHyphenateCap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C26"/>
    <w:rsid w:val="00000EC2"/>
    <w:rsid w:val="000015C9"/>
    <w:rsid w:val="000020CB"/>
    <w:rsid w:val="00002540"/>
    <w:rsid w:val="000026C8"/>
    <w:rsid w:val="00003284"/>
    <w:rsid w:val="00003493"/>
    <w:rsid w:val="00003B81"/>
    <w:rsid w:val="00003DA1"/>
    <w:rsid w:val="00003DD9"/>
    <w:rsid w:val="000052EC"/>
    <w:rsid w:val="00005601"/>
    <w:rsid w:val="00005BF6"/>
    <w:rsid w:val="000067A7"/>
    <w:rsid w:val="00007244"/>
    <w:rsid w:val="000077A8"/>
    <w:rsid w:val="000114B5"/>
    <w:rsid w:val="00011923"/>
    <w:rsid w:val="00011BB3"/>
    <w:rsid w:val="000127F1"/>
    <w:rsid w:val="00012961"/>
    <w:rsid w:val="00012A07"/>
    <w:rsid w:val="00013E70"/>
    <w:rsid w:val="000157E1"/>
    <w:rsid w:val="0001667B"/>
    <w:rsid w:val="000177A1"/>
    <w:rsid w:val="0001788D"/>
    <w:rsid w:val="00021562"/>
    <w:rsid w:val="00021BC1"/>
    <w:rsid w:val="00022D54"/>
    <w:rsid w:val="00024250"/>
    <w:rsid w:val="000244AA"/>
    <w:rsid w:val="000249B2"/>
    <w:rsid w:val="00025AD1"/>
    <w:rsid w:val="0002732D"/>
    <w:rsid w:val="00027E73"/>
    <w:rsid w:val="000306EC"/>
    <w:rsid w:val="000309EF"/>
    <w:rsid w:val="00031A24"/>
    <w:rsid w:val="000327A5"/>
    <w:rsid w:val="000328BA"/>
    <w:rsid w:val="00033854"/>
    <w:rsid w:val="00035FAE"/>
    <w:rsid w:val="0003744B"/>
    <w:rsid w:val="000375C1"/>
    <w:rsid w:val="00037A81"/>
    <w:rsid w:val="00040D8A"/>
    <w:rsid w:val="00040E0C"/>
    <w:rsid w:val="00041DC1"/>
    <w:rsid w:val="00043625"/>
    <w:rsid w:val="00043AA8"/>
    <w:rsid w:val="00044624"/>
    <w:rsid w:val="000471D2"/>
    <w:rsid w:val="00047A7B"/>
    <w:rsid w:val="0005172A"/>
    <w:rsid w:val="00051882"/>
    <w:rsid w:val="000523FE"/>
    <w:rsid w:val="00053298"/>
    <w:rsid w:val="0005371C"/>
    <w:rsid w:val="00055D04"/>
    <w:rsid w:val="0005631B"/>
    <w:rsid w:val="0005761B"/>
    <w:rsid w:val="000577F0"/>
    <w:rsid w:val="00057E51"/>
    <w:rsid w:val="00060E3A"/>
    <w:rsid w:val="000625AE"/>
    <w:rsid w:val="00062DE8"/>
    <w:rsid w:val="00062EE3"/>
    <w:rsid w:val="000636EB"/>
    <w:rsid w:val="00063D88"/>
    <w:rsid w:val="00064E6E"/>
    <w:rsid w:val="00065700"/>
    <w:rsid w:val="00065CE3"/>
    <w:rsid w:val="00065E5C"/>
    <w:rsid w:val="000660D5"/>
    <w:rsid w:val="00067034"/>
    <w:rsid w:val="00067719"/>
    <w:rsid w:val="000704E7"/>
    <w:rsid w:val="0007138E"/>
    <w:rsid w:val="00071E17"/>
    <w:rsid w:val="00073E63"/>
    <w:rsid w:val="00073F29"/>
    <w:rsid w:val="0007499F"/>
    <w:rsid w:val="00075417"/>
    <w:rsid w:val="00075E1B"/>
    <w:rsid w:val="00075FB5"/>
    <w:rsid w:val="00075FB7"/>
    <w:rsid w:val="00077A79"/>
    <w:rsid w:val="00077EB8"/>
    <w:rsid w:val="00080A7A"/>
    <w:rsid w:val="000811DE"/>
    <w:rsid w:val="00081C8E"/>
    <w:rsid w:val="00082B41"/>
    <w:rsid w:val="00083345"/>
    <w:rsid w:val="00084109"/>
    <w:rsid w:val="00085E8C"/>
    <w:rsid w:val="00085EF9"/>
    <w:rsid w:val="00086E8A"/>
    <w:rsid w:val="000871F9"/>
    <w:rsid w:val="00087606"/>
    <w:rsid w:val="00090224"/>
    <w:rsid w:val="000902AD"/>
    <w:rsid w:val="0009033B"/>
    <w:rsid w:val="0009195D"/>
    <w:rsid w:val="00091F2F"/>
    <w:rsid w:val="00093FB8"/>
    <w:rsid w:val="0009474E"/>
    <w:rsid w:val="00094B32"/>
    <w:rsid w:val="0009509E"/>
    <w:rsid w:val="00095164"/>
    <w:rsid w:val="00096265"/>
    <w:rsid w:val="0009737F"/>
    <w:rsid w:val="000974DF"/>
    <w:rsid w:val="000979CD"/>
    <w:rsid w:val="00097BFD"/>
    <w:rsid w:val="000A0805"/>
    <w:rsid w:val="000A0898"/>
    <w:rsid w:val="000A0EBA"/>
    <w:rsid w:val="000A1D2D"/>
    <w:rsid w:val="000A2B54"/>
    <w:rsid w:val="000A3C26"/>
    <w:rsid w:val="000A4F7A"/>
    <w:rsid w:val="000A69F6"/>
    <w:rsid w:val="000A750A"/>
    <w:rsid w:val="000A7644"/>
    <w:rsid w:val="000B0949"/>
    <w:rsid w:val="000B1365"/>
    <w:rsid w:val="000B1416"/>
    <w:rsid w:val="000B1D7E"/>
    <w:rsid w:val="000B2D16"/>
    <w:rsid w:val="000B4F34"/>
    <w:rsid w:val="000B4F46"/>
    <w:rsid w:val="000B5C66"/>
    <w:rsid w:val="000B5FF5"/>
    <w:rsid w:val="000B60F8"/>
    <w:rsid w:val="000B63A0"/>
    <w:rsid w:val="000B6DA6"/>
    <w:rsid w:val="000B751A"/>
    <w:rsid w:val="000C0BEF"/>
    <w:rsid w:val="000C1D91"/>
    <w:rsid w:val="000C371F"/>
    <w:rsid w:val="000C3808"/>
    <w:rsid w:val="000C7005"/>
    <w:rsid w:val="000D0658"/>
    <w:rsid w:val="000D358C"/>
    <w:rsid w:val="000D4146"/>
    <w:rsid w:val="000D46C5"/>
    <w:rsid w:val="000D4DF5"/>
    <w:rsid w:val="000D55BF"/>
    <w:rsid w:val="000D6D7B"/>
    <w:rsid w:val="000D6F05"/>
    <w:rsid w:val="000E00F9"/>
    <w:rsid w:val="000E06CE"/>
    <w:rsid w:val="000E1278"/>
    <w:rsid w:val="000E1A35"/>
    <w:rsid w:val="000E1CBF"/>
    <w:rsid w:val="000E264E"/>
    <w:rsid w:val="000E2928"/>
    <w:rsid w:val="000E479A"/>
    <w:rsid w:val="000E4A16"/>
    <w:rsid w:val="000E5954"/>
    <w:rsid w:val="000E65A5"/>
    <w:rsid w:val="000E6919"/>
    <w:rsid w:val="000E6F43"/>
    <w:rsid w:val="000E6FBC"/>
    <w:rsid w:val="000E72D4"/>
    <w:rsid w:val="000E7A57"/>
    <w:rsid w:val="000E7D3D"/>
    <w:rsid w:val="000F055E"/>
    <w:rsid w:val="000F06CB"/>
    <w:rsid w:val="000F1EE5"/>
    <w:rsid w:val="000F78B0"/>
    <w:rsid w:val="00100A6E"/>
    <w:rsid w:val="00101CA0"/>
    <w:rsid w:val="00101FD3"/>
    <w:rsid w:val="001020BB"/>
    <w:rsid w:val="001022B3"/>
    <w:rsid w:val="0010281C"/>
    <w:rsid w:val="001039BA"/>
    <w:rsid w:val="00103D1C"/>
    <w:rsid w:val="00105103"/>
    <w:rsid w:val="001056C0"/>
    <w:rsid w:val="001062B9"/>
    <w:rsid w:val="001066D9"/>
    <w:rsid w:val="00107710"/>
    <w:rsid w:val="00107C1E"/>
    <w:rsid w:val="00110ADA"/>
    <w:rsid w:val="00111F8C"/>
    <w:rsid w:val="0011216C"/>
    <w:rsid w:val="00112A22"/>
    <w:rsid w:val="00112BD0"/>
    <w:rsid w:val="001163F1"/>
    <w:rsid w:val="00116615"/>
    <w:rsid w:val="00116E8D"/>
    <w:rsid w:val="00117299"/>
    <w:rsid w:val="00117F8E"/>
    <w:rsid w:val="00120134"/>
    <w:rsid w:val="001202BD"/>
    <w:rsid w:val="00120F21"/>
    <w:rsid w:val="00120FEF"/>
    <w:rsid w:val="00121719"/>
    <w:rsid w:val="00122073"/>
    <w:rsid w:val="00122998"/>
    <w:rsid w:val="00122F79"/>
    <w:rsid w:val="001240F9"/>
    <w:rsid w:val="0012452B"/>
    <w:rsid w:val="0012634A"/>
    <w:rsid w:val="00130086"/>
    <w:rsid w:val="00130BF9"/>
    <w:rsid w:val="00130D65"/>
    <w:rsid w:val="00130E0D"/>
    <w:rsid w:val="00131A8B"/>
    <w:rsid w:val="00132116"/>
    <w:rsid w:val="00132974"/>
    <w:rsid w:val="00132E15"/>
    <w:rsid w:val="00132F0D"/>
    <w:rsid w:val="00133F23"/>
    <w:rsid w:val="001343C2"/>
    <w:rsid w:val="00135073"/>
    <w:rsid w:val="001350BE"/>
    <w:rsid w:val="00135219"/>
    <w:rsid w:val="001362EB"/>
    <w:rsid w:val="00136531"/>
    <w:rsid w:val="00136FBB"/>
    <w:rsid w:val="0013761E"/>
    <w:rsid w:val="0013761F"/>
    <w:rsid w:val="00140008"/>
    <w:rsid w:val="001403D1"/>
    <w:rsid w:val="00140767"/>
    <w:rsid w:val="00141586"/>
    <w:rsid w:val="0014174D"/>
    <w:rsid w:val="00141EC3"/>
    <w:rsid w:val="00142132"/>
    <w:rsid w:val="00142B91"/>
    <w:rsid w:val="00142DC6"/>
    <w:rsid w:val="00143655"/>
    <w:rsid w:val="00143D6F"/>
    <w:rsid w:val="00144B7F"/>
    <w:rsid w:val="00144D61"/>
    <w:rsid w:val="00144F82"/>
    <w:rsid w:val="001454CB"/>
    <w:rsid w:val="00145D60"/>
    <w:rsid w:val="001464A8"/>
    <w:rsid w:val="001464AF"/>
    <w:rsid w:val="001466BA"/>
    <w:rsid w:val="00146FF3"/>
    <w:rsid w:val="001509E1"/>
    <w:rsid w:val="00152797"/>
    <w:rsid w:val="001527CF"/>
    <w:rsid w:val="00152DA4"/>
    <w:rsid w:val="00152EC7"/>
    <w:rsid w:val="00153016"/>
    <w:rsid w:val="00153C22"/>
    <w:rsid w:val="00153D04"/>
    <w:rsid w:val="00153E94"/>
    <w:rsid w:val="00154C54"/>
    <w:rsid w:val="00154D6C"/>
    <w:rsid w:val="00155DAC"/>
    <w:rsid w:val="0015649D"/>
    <w:rsid w:val="00156591"/>
    <w:rsid w:val="0015733E"/>
    <w:rsid w:val="0016038D"/>
    <w:rsid w:val="00160DAC"/>
    <w:rsid w:val="0016165E"/>
    <w:rsid w:val="00161A2F"/>
    <w:rsid w:val="001626A5"/>
    <w:rsid w:val="00162F8D"/>
    <w:rsid w:val="001630CA"/>
    <w:rsid w:val="00163AF1"/>
    <w:rsid w:val="001641EB"/>
    <w:rsid w:val="00164B31"/>
    <w:rsid w:val="00166AEA"/>
    <w:rsid w:val="0016725E"/>
    <w:rsid w:val="0016738A"/>
    <w:rsid w:val="001674D3"/>
    <w:rsid w:val="00167544"/>
    <w:rsid w:val="00167608"/>
    <w:rsid w:val="001676EA"/>
    <w:rsid w:val="00167751"/>
    <w:rsid w:val="00171A7C"/>
    <w:rsid w:val="001728FC"/>
    <w:rsid w:val="001737A1"/>
    <w:rsid w:val="00174696"/>
    <w:rsid w:val="00175669"/>
    <w:rsid w:val="00176939"/>
    <w:rsid w:val="00177131"/>
    <w:rsid w:val="00177C4E"/>
    <w:rsid w:val="00180047"/>
    <w:rsid w:val="001809B3"/>
    <w:rsid w:val="001813E3"/>
    <w:rsid w:val="00181616"/>
    <w:rsid w:val="00181857"/>
    <w:rsid w:val="00181937"/>
    <w:rsid w:val="0018209E"/>
    <w:rsid w:val="00182FE7"/>
    <w:rsid w:val="00183024"/>
    <w:rsid w:val="00183130"/>
    <w:rsid w:val="001834F9"/>
    <w:rsid w:val="00185B6B"/>
    <w:rsid w:val="00185C91"/>
    <w:rsid w:val="00186AA1"/>
    <w:rsid w:val="00187BBE"/>
    <w:rsid w:val="0019022C"/>
    <w:rsid w:val="001905FE"/>
    <w:rsid w:val="00191FA2"/>
    <w:rsid w:val="0019371F"/>
    <w:rsid w:val="00193A30"/>
    <w:rsid w:val="001942AC"/>
    <w:rsid w:val="001958AA"/>
    <w:rsid w:val="00196166"/>
    <w:rsid w:val="00196C34"/>
    <w:rsid w:val="00196E6A"/>
    <w:rsid w:val="00197594"/>
    <w:rsid w:val="001A0170"/>
    <w:rsid w:val="001A0690"/>
    <w:rsid w:val="001A0C45"/>
    <w:rsid w:val="001A0E39"/>
    <w:rsid w:val="001A11C3"/>
    <w:rsid w:val="001A2EC8"/>
    <w:rsid w:val="001A56AD"/>
    <w:rsid w:val="001A5D22"/>
    <w:rsid w:val="001A6091"/>
    <w:rsid w:val="001A6771"/>
    <w:rsid w:val="001A6916"/>
    <w:rsid w:val="001A6ABF"/>
    <w:rsid w:val="001A6D13"/>
    <w:rsid w:val="001A737E"/>
    <w:rsid w:val="001A73BF"/>
    <w:rsid w:val="001B09C3"/>
    <w:rsid w:val="001B1002"/>
    <w:rsid w:val="001B1897"/>
    <w:rsid w:val="001B309A"/>
    <w:rsid w:val="001B3435"/>
    <w:rsid w:val="001B417B"/>
    <w:rsid w:val="001B48A5"/>
    <w:rsid w:val="001B5AD3"/>
    <w:rsid w:val="001B5C0E"/>
    <w:rsid w:val="001B640F"/>
    <w:rsid w:val="001B6B8F"/>
    <w:rsid w:val="001B71E8"/>
    <w:rsid w:val="001B7CAE"/>
    <w:rsid w:val="001C089D"/>
    <w:rsid w:val="001C26D5"/>
    <w:rsid w:val="001C2EA9"/>
    <w:rsid w:val="001C3048"/>
    <w:rsid w:val="001C338F"/>
    <w:rsid w:val="001C3912"/>
    <w:rsid w:val="001C3F0F"/>
    <w:rsid w:val="001C7313"/>
    <w:rsid w:val="001C790C"/>
    <w:rsid w:val="001D0090"/>
    <w:rsid w:val="001D0E89"/>
    <w:rsid w:val="001D12FD"/>
    <w:rsid w:val="001D2C6A"/>
    <w:rsid w:val="001D5526"/>
    <w:rsid w:val="001D6D66"/>
    <w:rsid w:val="001E1C36"/>
    <w:rsid w:val="001E26B2"/>
    <w:rsid w:val="001E315F"/>
    <w:rsid w:val="001E3A03"/>
    <w:rsid w:val="001E4096"/>
    <w:rsid w:val="001E451A"/>
    <w:rsid w:val="001E5E2F"/>
    <w:rsid w:val="001E6027"/>
    <w:rsid w:val="001E6740"/>
    <w:rsid w:val="001E6795"/>
    <w:rsid w:val="001E6D4B"/>
    <w:rsid w:val="001F0217"/>
    <w:rsid w:val="001F03CC"/>
    <w:rsid w:val="001F07CB"/>
    <w:rsid w:val="001F0B30"/>
    <w:rsid w:val="001F17E0"/>
    <w:rsid w:val="001F1C61"/>
    <w:rsid w:val="001F22FC"/>
    <w:rsid w:val="001F493E"/>
    <w:rsid w:val="001F5210"/>
    <w:rsid w:val="001F570B"/>
    <w:rsid w:val="001F7124"/>
    <w:rsid w:val="001F7D68"/>
    <w:rsid w:val="00200AAF"/>
    <w:rsid w:val="00200C71"/>
    <w:rsid w:val="00201571"/>
    <w:rsid w:val="00201BC6"/>
    <w:rsid w:val="00201E5E"/>
    <w:rsid w:val="00202840"/>
    <w:rsid w:val="00202C84"/>
    <w:rsid w:val="002040C4"/>
    <w:rsid w:val="00205516"/>
    <w:rsid w:val="00205F54"/>
    <w:rsid w:val="002069FF"/>
    <w:rsid w:val="00206D24"/>
    <w:rsid w:val="002076BC"/>
    <w:rsid w:val="00207FCC"/>
    <w:rsid w:val="00210067"/>
    <w:rsid w:val="002101FD"/>
    <w:rsid w:val="002106A9"/>
    <w:rsid w:val="0021105C"/>
    <w:rsid w:val="00211DC5"/>
    <w:rsid w:val="00212123"/>
    <w:rsid w:val="00212552"/>
    <w:rsid w:val="00213189"/>
    <w:rsid w:val="002158E4"/>
    <w:rsid w:val="00215F1E"/>
    <w:rsid w:val="00215F57"/>
    <w:rsid w:val="0022039A"/>
    <w:rsid w:val="00220E66"/>
    <w:rsid w:val="00221337"/>
    <w:rsid w:val="002220FE"/>
    <w:rsid w:val="00223C38"/>
    <w:rsid w:val="002254B5"/>
    <w:rsid w:val="00225ACD"/>
    <w:rsid w:val="0022641A"/>
    <w:rsid w:val="00226CF5"/>
    <w:rsid w:val="00227213"/>
    <w:rsid w:val="00227259"/>
    <w:rsid w:val="002275C3"/>
    <w:rsid w:val="00227A0D"/>
    <w:rsid w:val="00230224"/>
    <w:rsid w:val="00231C71"/>
    <w:rsid w:val="00231D42"/>
    <w:rsid w:val="00231ECC"/>
    <w:rsid w:val="00232412"/>
    <w:rsid w:val="00232B53"/>
    <w:rsid w:val="00233526"/>
    <w:rsid w:val="00234311"/>
    <w:rsid w:val="00234BC6"/>
    <w:rsid w:val="002354F0"/>
    <w:rsid w:val="00236A0E"/>
    <w:rsid w:val="00236B39"/>
    <w:rsid w:val="00236B59"/>
    <w:rsid w:val="00236D16"/>
    <w:rsid w:val="00236E4A"/>
    <w:rsid w:val="00237E2D"/>
    <w:rsid w:val="00237FA9"/>
    <w:rsid w:val="002410D7"/>
    <w:rsid w:val="00241203"/>
    <w:rsid w:val="00241D02"/>
    <w:rsid w:val="00243D06"/>
    <w:rsid w:val="00243EA5"/>
    <w:rsid w:val="00244464"/>
    <w:rsid w:val="00244D78"/>
    <w:rsid w:val="002465A7"/>
    <w:rsid w:val="00246FBA"/>
    <w:rsid w:val="00247CBD"/>
    <w:rsid w:val="002510DE"/>
    <w:rsid w:val="002513B8"/>
    <w:rsid w:val="0025193A"/>
    <w:rsid w:val="00252130"/>
    <w:rsid w:val="0025318A"/>
    <w:rsid w:val="0025412B"/>
    <w:rsid w:val="00254EDF"/>
    <w:rsid w:val="00255654"/>
    <w:rsid w:val="00255834"/>
    <w:rsid w:val="00256386"/>
    <w:rsid w:val="00256C42"/>
    <w:rsid w:val="002573C0"/>
    <w:rsid w:val="0025796C"/>
    <w:rsid w:val="00260448"/>
    <w:rsid w:val="002604EF"/>
    <w:rsid w:val="002607C9"/>
    <w:rsid w:val="00261267"/>
    <w:rsid w:val="002614B7"/>
    <w:rsid w:val="0026150D"/>
    <w:rsid w:val="00261887"/>
    <w:rsid w:val="00261A87"/>
    <w:rsid w:val="00261EFE"/>
    <w:rsid w:val="00262156"/>
    <w:rsid w:val="0026299D"/>
    <w:rsid w:val="002652D4"/>
    <w:rsid w:val="00265EFA"/>
    <w:rsid w:val="0026784F"/>
    <w:rsid w:val="00267F1C"/>
    <w:rsid w:val="00270057"/>
    <w:rsid w:val="00272138"/>
    <w:rsid w:val="002727DD"/>
    <w:rsid w:val="00272B7E"/>
    <w:rsid w:val="00274891"/>
    <w:rsid w:val="002749FF"/>
    <w:rsid w:val="00274CDA"/>
    <w:rsid w:val="00275284"/>
    <w:rsid w:val="00275A83"/>
    <w:rsid w:val="002767F2"/>
    <w:rsid w:val="00277DB6"/>
    <w:rsid w:val="002806B4"/>
    <w:rsid w:val="00280905"/>
    <w:rsid w:val="002816C4"/>
    <w:rsid w:val="00282C83"/>
    <w:rsid w:val="002835E8"/>
    <w:rsid w:val="00283EBF"/>
    <w:rsid w:val="002842DC"/>
    <w:rsid w:val="0028587A"/>
    <w:rsid w:val="00286142"/>
    <w:rsid w:val="00286BFC"/>
    <w:rsid w:val="00286D9A"/>
    <w:rsid w:val="00287308"/>
    <w:rsid w:val="002903B8"/>
    <w:rsid w:val="00290F18"/>
    <w:rsid w:val="00291B40"/>
    <w:rsid w:val="00291BE8"/>
    <w:rsid w:val="00292043"/>
    <w:rsid w:val="002931D1"/>
    <w:rsid w:val="00294060"/>
    <w:rsid w:val="002954EE"/>
    <w:rsid w:val="00295BBC"/>
    <w:rsid w:val="00295BFE"/>
    <w:rsid w:val="00295DF7"/>
    <w:rsid w:val="0029799E"/>
    <w:rsid w:val="00297C12"/>
    <w:rsid w:val="002A2253"/>
    <w:rsid w:val="002A314D"/>
    <w:rsid w:val="002A3A05"/>
    <w:rsid w:val="002A4882"/>
    <w:rsid w:val="002A639F"/>
    <w:rsid w:val="002A6D2E"/>
    <w:rsid w:val="002A6E68"/>
    <w:rsid w:val="002A787B"/>
    <w:rsid w:val="002A7F05"/>
    <w:rsid w:val="002B1A97"/>
    <w:rsid w:val="002B1C6F"/>
    <w:rsid w:val="002B1F22"/>
    <w:rsid w:val="002B28DD"/>
    <w:rsid w:val="002B3A31"/>
    <w:rsid w:val="002B3A83"/>
    <w:rsid w:val="002B45EC"/>
    <w:rsid w:val="002B62C7"/>
    <w:rsid w:val="002B63E7"/>
    <w:rsid w:val="002B728B"/>
    <w:rsid w:val="002B754E"/>
    <w:rsid w:val="002B7BB7"/>
    <w:rsid w:val="002C053C"/>
    <w:rsid w:val="002C169D"/>
    <w:rsid w:val="002C1885"/>
    <w:rsid w:val="002C220C"/>
    <w:rsid w:val="002C2C5D"/>
    <w:rsid w:val="002C2CD5"/>
    <w:rsid w:val="002C4497"/>
    <w:rsid w:val="002C4550"/>
    <w:rsid w:val="002C5141"/>
    <w:rsid w:val="002D107B"/>
    <w:rsid w:val="002D52B1"/>
    <w:rsid w:val="002E00C1"/>
    <w:rsid w:val="002E07CA"/>
    <w:rsid w:val="002E0A10"/>
    <w:rsid w:val="002E1017"/>
    <w:rsid w:val="002E1677"/>
    <w:rsid w:val="002E1D72"/>
    <w:rsid w:val="002E212C"/>
    <w:rsid w:val="002E3058"/>
    <w:rsid w:val="002E335B"/>
    <w:rsid w:val="002E5B9F"/>
    <w:rsid w:val="002E5EBA"/>
    <w:rsid w:val="002E6A17"/>
    <w:rsid w:val="002E6E34"/>
    <w:rsid w:val="002E7C33"/>
    <w:rsid w:val="002E7E1F"/>
    <w:rsid w:val="002F11B3"/>
    <w:rsid w:val="002F17CB"/>
    <w:rsid w:val="002F1EDB"/>
    <w:rsid w:val="002F2678"/>
    <w:rsid w:val="002F301A"/>
    <w:rsid w:val="002F39A5"/>
    <w:rsid w:val="002F3C7B"/>
    <w:rsid w:val="002F42A6"/>
    <w:rsid w:val="002F5E95"/>
    <w:rsid w:val="002F5F71"/>
    <w:rsid w:val="002F6C08"/>
    <w:rsid w:val="0030228F"/>
    <w:rsid w:val="0030402C"/>
    <w:rsid w:val="00304E3B"/>
    <w:rsid w:val="003052FE"/>
    <w:rsid w:val="00305344"/>
    <w:rsid w:val="0030536B"/>
    <w:rsid w:val="00305C02"/>
    <w:rsid w:val="00306345"/>
    <w:rsid w:val="00307008"/>
    <w:rsid w:val="00311D3D"/>
    <w:rsid w:val="00312C41"/>
    <w:rsid w:val="00312D62"/>
    <w:rsid w:val="0031309B"/>
    <w:rsid w:val="003131BC"/>
    <w:rsid w:val="00313EA6"/>
    <w:rsid w:val="0031698D"/>
    <w:rsid w:val="00316C49"/>
    <w:rsid w:val="00317BA7"/>
    <w:rsid w:val="0032061D"/>
    <w:rsid w:val="00320662"/>
    <w:rsid w:val="00320B80"/>
    <w:rsid w:val="00320CBE"/>
    <w:rsid w:val="00321173"/>
    <w:rsid w:val="003221BA"/>
    <w:rsid w:val="00322663"/>
    <w:rsid w:val="00322928"/>
    <w:rsid w:val="00325593"/>
    <w:rsid w:val="0033036E"/>
    <w:rsid w:val="00331400"/>
    <w:rsid w:val="003315C2"/>
    <w:rsid w:val="003321FA"/>
    <w:rsid w:val="0033332A"/>
    <w:rsid w:val="00333C05"/>
    <w:rsid w:val="00334021"/>
    <w:rsid w:val="0033438E"/>
    <w:rsid w:val="003343C7"/>
    <w:rsid w:val="003344B5"/>
    <w:rsid w:val="00334CA1"/>
    <w:rsid w:val="00335206"/>
    <w:rsid w:val="0033548D"/>
    <w:rsid w:val="003359ED"/>
    <w:rsid w:val="00335E8A"/>
    <w:rsid w:val="0033670A"/>
    <w:rsid w:val="00336B2E"/>
    <w:rsid w:val="00340673"/>
    <w:rsid w:val="003419D1"/>
    <w:rsid w:val="00342C74"/>
    <w:rsid w:val="00345161"/>
    <w:rsid w:val="00345217"/>
    <w:rsid w:val="00345E82"/>
    <w:rsid w:val="00347CAE"/>
    <w:rsid w:val="00351068"/>
    <w:rsid w:val="00351558"/>
    <w:rsid w:val="003522B5"/>
    <w:rsid w:val="003535E1"/>
    <w:rsid w:val="00353F07"/>
    <w:rsid w:val="00355739"/>
    <w:rsid w:val="00356C75"/>
    <w:rsid w:val="00357C09"/>
    <w:rsid w:val="00360575"/>
    <w:rsid w:val="00360689"/>
    <w:rsid w:val="00361B20"/>
    <w:rsid w:val="00361F50"/>
    <w:rsid w:val="00362EBD"/>
    <w:rsid w:val="0036321B"/>
    <w:rsid w:val="003632A3"/>
    <w:rsid w:val="0036644D"/>
    <w:rsid w:val="003665FE"/>
    <w:rsid w:val="00366C1F"/>
    <w:rsid w:val="0036756A"/>
    <w:rsid w:val="00367C86"/>
    <w:rsid w:val="00370C8F"/>
    <w:rsid w:val="003717B7"/>
    <w:rsid w:val="00371B83"/>
    <w:rsid w:val="00371D94"/>
    <w:rsid w:val="00371EFF"/>
    <w:rsid w:val="00372057"/>
    <w:rsid w:val="00372A61"/>
    <w:rsid w:val="00373635"/>
    <w:rsid w:val="00373A8C"/>
    <w:rsid w:val="003743DB"/>
    <w:rsid w:val="0037474E"/>
    <w:rsid w:val="00375A33"/>
    <w:rsid w:val="00375EC9"/>
    <w:rsid w:val="003778DE"/>
    <w:rsid w:val="00377ED8"/>
    <w:rsid w:val="003814DE"/>
    <w:rsid w:val="00382429"/>
    <w:rsid w:val="00382F01"/>
    <w:rsid w:val="00383457"/>
    <w:rsid w:val="00385B8E"/>
    <w:rsid w:val="00386088"/>
    <w:rsid w:val="00386769"/>
    <w:rsid w:val="0038708F"/>
    <w:rsid w:val="00387AE7"/>
    <w:rsid w:val="00390083"/>
    <w:rsid w:val="00390185"/>
    <w:rsid w:val="00390E91"/>
    <w:rsid w:val="00392036"/>
    <w:rsid w:val="00392C66"/>
    <w:rsid w:val="00394909"/>
    <w:rsid w:val="003950CE"/>
    <w:rsid w:val="00397D43"/>
    <w:rsid w:val="003A0AE4"/>
    <w:rsid w:val="003A12A2"/>
    <w:rsid w:val="003A2DE5"/>
    <w:rsid w:val="003A316F"/>
    <w:rsid w:val="003A42C8"/>
    <w:rsid w:val="003A5F56"/>
    <w:rsid w:val="003A68CF"/>
    <w:rsid w:val="003A7440"/>
    <w:rsid w:val="003A78EF"/>
    <w:rsid w:val="003B0F82"/>
    <w:rsid w:val="003B10E5"/>
    <w:rsid w:val="003B172F"/>
    <w:rsid w:val="003B2970"/>
    <w:rsid w:val="003B330F"/>
    <w:rsid w:val="003B50D1"/>
    <w:rsid w:val="003C05EF"/>
    <w:rsid w:val="003C17E4"/>
    <w:rsid w:val="003C1B05"/>
    <w:rsid w:val="003C24A7"/>
    <w:rsid w:val="003C253E"/>
    <w:rsid w:val="003C2A1F"/>
    <w:rsid w:val="003C2D50"/>
    <w:rsid w:val="003C31C5"/>
    <w:rsid w:val="003C3216"/>
    <w:rsid w:val="003C482B"/>
    <w:rsid w:val="003C6926"/>
    <w:rsid w:val="003C697F"/>
    <w:rsid w:val="003C74FE"/>
    <w:rsid w:val="003C7A37"/>
    <w:rsid w:val="003D0B74"/>
    <w:rsid w:val="003D26AD"/>
    <w:rsid w:val="003D4137"/>
    <w:rsid w:val="003D77CA"/>
    <w:rsid w:val="003D77FB"/>
    <w:rsid w:val="003E0BF2"/>
    <w:rsid w:val="003E1314"/>
    <w:rsid w:val="003E17AA"/>
    <w:rsid w:val="003E1AE8"/>
    <w:rsid w:val="003E1DFA"/>
    <w:rsid w:val="003E3145"/>
    <w:rsid w:val="003E3FAF"/>
    <w:rsid w:val="003E4D05"/>
    <w:rsid w:val="003E5A0E"/>
    <w:rsid w:val="003E5F2A"/>
    <w:rsid w:val="003E6321"/>
    <w:rsid w:val="003E7D9A"/>
    <w:rsid w:val="003F07B2"/>
    <w:rsid w:val="003F0B9C"/>
    <w:rsid w:val="003F232C"/>
    <w:rsid w:val="003F3064"/>
    <w:rsid w:val="003F3811"/>
    <w:rsid w:val="003F38F0"/>
    <w:rsid w:val="003F41FB"/>
    <w:rsid w:val="003F606F"/>
    <w:rsid w:val="0040022E"/>
    <w:rsid w:val="00400883"/>
    <w:rsid w:val="00401511"/>
    <w:rsid w:val="0040154D"/>
    <w:rsid w:val="00401E8E"/>
    <w:rsid w:val="004025B3"/>
    <w:rsid w:val="0040286E"/>
    <w:rsid w:val="00402B8B"/>
    <w:rsid w:val="00403272"/>
    <w:rsid w:val="00403F83"/>
    <w:rsid w:val="0040414C"/>
    <w:rsid w:val="00404F7D"/>
    <w:rsid w:val="00405E77"/>
    <w:rsid w:val="00405F27"/>
    <w:rsid w:val="00406071"/>
    <w:rsid w:val="004067FD"/>
    <w:rsid w:val="00406989"/>
    <w:rsid w:val="00406BB9"/>
    <w:rsid w:val="00407957"/>
    <w:rsid w:val="00412931"/>
    <w:rsid w:val="00413EF0"/>
    <w:rsid w:val="00416535"/>
    <w:rsid w:val="00417A1D"/>
    <w:rsid w:val="00421A81"/>
    <w:rsid w:val="00422E92"/>
    <w:rsid w:val="00424261"/>
    <w:rsid w:val="00424290"/>
    <w:rsid w:val="004250C8"/>
    <w:rsid w:val="00425810"/>
    <w:rsid w:val="004270E9"/>
    <w:rsid w:val="004278FD"/>
    <w:rsid w:val="00427D9A"/>
    <w:rsid w:val="00427DD2"/>
    <w:rsid w:val="00430CA3"/>
    <w:rsid w:val="00433D9C"/>
    <w:rsid w:val="00434CC1"/>
    <w:rsid w:val="00435473"/>
    <w:rsid w:val="00436BCC"/>
    <w:rsid w:val="00437676"/>
    <w:rsid w:val="004407E0"/>
    <w:rsid w:val="00441E05"/>
    <w:rsid w:val="00442931"/>
    <w:rsid w:val="00442D6A"/>
    <w:rsid w:val="00443E8E"/>
    <w:rsid w:val="00445405"/>
    <w:rsid w:val="004455CF"/>
    <w:rsid w:val="00445AC9"/>
    <w:rsid w:val="0044685B"/>
    <w:rsid w:val="00446D53"/>
    <w:rsid w:val="00447F50"/>
    <w:rsid w:val="00451360"/>
    <w:rsid w:val="00451976"/>
    <w:rsid w:val="00451AA9"/>
    <w:rsid w:val="004526AC"/>
    <w:rsid w:val="004532B3"/>
    <w:rsid w:val="00454434"/>
    <w:rsid w:val="00454758"/>
    <w:rsid w:val="00454B52"/>
    <w:rsid w:val="0045550A"/>
    <w:rsid w:val="00455B4D"/>
    <w:rsid w:val="00455FCC"/>
    <w:rsid w:val="00456B69"/>
    <w:rsid w:val="00457B90"/>
    <w:rsid w:val="00460289"/>
    <w:rsid w:val="00460F88"/>
    <w:rsid w:val="00461F3C"/>
    <w:rsid w:val="00461F65"/>
    <w:rsid w:val="004626F6"/>
    <w:rsid w:val="004636BC"/>
    <w:rsid w:val="0046463D"/>
    <w:rsid w:val="0046575F"/>
    <w:rsid w:val="004662B2"/>
    <w:rsid w:val="00466E5B"/>
    <w:rsid w:val="004676BF"/>
    <w:rsid w:val="00467D0B"/>
    <w:rsid w:val="00470230"/>
    <w:rsid w:val="0047035A"/>
    <w:rsid w:val="004707E7"/>
    <w:rsid w:val="00470AAA"/>
    <w:rsid w:val="0047396B"/>
    <w:rsid w:val="00473BFE"/>
    <w:rsid w:val="0047522F"/>
    <w:rsid w:val="004759E4"/>
    <w:rsid w:val="00477638"/>
    <w:rsid w:val="00480BFE"/>
    <w:rsid w:val="00480EF0"/>
    <w:rsid w:val="0048198D"/>
    <w:rsid w:val="00481F75"/>
    <w:rsid w:val="00483D07"/>
    <w:rsid w:val="004840C8"/>
    <w:rsid w:val="0048556F"/>
    <w:rsid w:val="0048676A"/>
    <w:rsid w:val="00486887"/>
    <w:rsid w:val="00486C90"/>
    <w:rsid w:val="00486FC2"/>
    <w:rsid w:val="0048743D"/>
    <w:rsid w:val="00490D5C"/>
    <w:rsid w:val="00491CFD"/>
    <w:rsid w:val="004921A2"/>
    <w:rsid w:val="004921BD"/>
    <w:rsid w:val="00493271"/>
    <w:rsid w:val="00496520"/>
    <w:rsid w:val="00496626"/>
    <w:rsid w:val="00496936"/>
    <w:rsid w:val="004974C8"/>
    <w:rsid w:val="004A034B"/>
    <w:rsid w:val="004A07F2"/>
    <w:rsid w:val="004A097A"/>
    <w:rsid w:val="004A1019"/>
    <w:rsid w:val="004A17E8"/>
    <w:rsid w:val="004A1BC2"/>
    <w:rsid w:val="004A248B"/>
    <w:rsid w:val="004A24A3"/>
    <w:rsid w:val="004A267D"/>
    <w:rsid w:val="004A288F"/>
    <w:rsid w:val="004A3499"/>
    <w:rsid w:val="004A4BFE"/>
    <w:rsid w:val="004A58EF"/>
    <w:rsid w:val="004A615B"/>
    <w:rsid w:val="004B00BA"/>
    <w:rsid w:val="004B0131"/>
    <w:rsid w:val="004B077E"/>
    <w:rsid w:val="004B0A99"/>
    <w:rsid w:val="004B1008"/>
    <w:rsid w:val="004B211E"/>
    <w:rsid w:val="004B3366"/>
    <w:rsid w:val="004B3D13"/>
    <w:rsid w:val="004B441A"/>
    <w:rsid w:val="004B482D"/>
    <w:rsid w:val="004B4D02"/>
    <w:rsid w:val="004B65C4"/>
    <w:rsid w:val="004B736C"/>
    <w:rsid w:val="004B773A"/>
    <w:rsid w:val="004B79BA"/>
    <w:rsid w:val="004B7B60"/>
    <w:rsid w:val="004C0F73"/>
    <w:rsid w:val="004C1149"/>
    <w:rsid w:val="004C1C3C"/>
    <w:rsid w:val="004C3181"/>
    <w:rsid w:val="004C3666"/>
    <w:rsid w:val="004C4288"/>
    <w:rsid w:val="004C546E"/>
    <w:rsid w:val="004C5F01"/>
    <w:rsid w:val="004C6464"/>
    <w:rsid w:val="004C64E3"/>
    <w:rsid w:val="004C6EF7"/>
    <w:rsid w:val="004C757B"/>
    <w:rsid w:val="004C79BD"/>
    <w:rsid w:val="004D00CB"/>
    <w:rsid w:val="004D101D"/>
    <w:rsid w:val="004D1466"/>
    <w:rsid w:val="004D21D2"/>
    <w:rsid w:val="004D22B4"/>
    <w:rsid w:val="004D26FE"/>
    <w:rsid w:val="004D3B00"/>
    <w:rsid w:val="004D4E89"/>
    <w:rsid w:val="004D5A63"/>
    <w:rsid w:val="004D660A"/>
    <w:rsid w:val="004E062C"/>
    <w:rsid w:val="004E2873"/>
    <w:rsid w:val="004E29A7"/>
    <w:rsid w:val="004E2C25"/>
    <w:rsid w:val="004E552B"/>
    <w:rsid w:val="004E6024"/>
    <w:rsid w:val="004F08D1"/>
    <w:rsid w:val="004F0D6C"/>
    <w:rsid w:val="004F1843"/>
    <w:rsid w:val="004F2081"/>
    <w:rsid w:val="004F24B6"/>
    <w:rsid w:val="004F2B47"/>
    <w:rsid w:val="004F3676"/>
    <w:rsid w:val="004F3D15"/>
    <w:rsid w:val="004F4577"/>
    <w:rsid w:val="004F4663"/>
    <w:rsid w:val="004F4ACF"/>
    <w:rsid w:val="004F4DED"/>
    <w:rsid w:val="004F6D8E"/>
    <w:rsid w:val="004F7BC5"/>
    <w:rsid w:val="004F7D7F"/>
    <w:rsid w:val="00500024"/>
    <w:rsid w:val="0050099B"/>
    <w:rsid w:val="00500E43"/>
    <w:rsid w:val="00501114"/>
    <w:rsid w:val="0050217A"/>
    <w:rsid w:val="00502368"/>
    <w:rsid w:val="00502448"/>
    <w:rsid w:val="005028FB"/>
    <w:rsid w:val="005029E1"/>
    <w:rsid w:val="00502A38"/>
    <w:rsid w:val="005041E4"/>
    <w:rsid w:val="0050490F"/>
    <w:rsid w:val="0050497E"/>
    <w:rsid w:val="00505662"/>
    <w:rsid w:val="00505856"/>
    <w:rsid w:val="00505CAE"/>
    <w:rsid w:val="00505D2E"/>
    <w:rsid w:val="005061C5"/>
    <w:rsid w:val="00506DB5"/>
    <w:rsid w:val="00506DB9"/>
    <w:rsid w:val="00506F59"/>
    <w:rsid w:val="00507252"/>
    <w:rsid w:val="00510501"/>
    <w:rsid w:val="005119CA"/>
    <w:rsid w:val="00512685"/>
    <w:rsid w:val="00513AA9"/>
    <w:rsid w:val="00513AC9"/>
    <w:rsid w:val="00514B5C"/>
    <w:rsid w:val="00515BAE"/>
    <w:rsid w:val="00516598"/>
    <w:rsid w:val="0051673B"/>
    <w:rsid w:val="00516D1A"/>
    <w:rsid w:val="00516DCF"/>
    <w:rsid w:val="00517F61"/>
    <w:rsid w:val="00520278"/>
    <w:rsid w:val="005208AF"/>
    <w:rsid w:val="00521A3C"/>
    <w:rsid w:val="00521E2F"/>
    <w:rsid w:val="00523335"/>
    <w:rsid w:val="005256A5"/>
    <w:rsid w:val="0052570C"/>
    <w:rsid w:val="005257E8"/>
    <w:rsid w:val="00525F7F"/>
    <w:rsid w:val="0052647E"/>
    <w:rsid w:val="00527983"/>
    <w:rsid w:val="00530050"/>
    <w:rsid w:val="00530467"/>
    <w:rsid w:val="00530853"/>
    <w:rsid w:val="00531308"/>
    <w:rsid w:val="00531E23"/>
    <w:rsid w:val="005320EA"/>
    <w:rsid w:val="0053248A"/>
    <w:rsid w:val="00532B0F"/>
    <w:rsid w:val="0053395F"/>
    <w:rsid w:val="0053472A"/>
    <w:rsid w:val="0053532B"/>
    <w:rsid w:val="00535E5C"/>
    <w:rsid w:val="00535F4C"/>
    <w:rsid w:val="00536B54"/>
    <w:rsid w:val="00537BAD"/>
    <w:rsid w:val="005400C9"/>
    <w:rsid w:val="00540B1D"/>
    <w:rsid w:val="0054227D"/>
    <w:rsid w:val="005438BB"/>
    <w:rsid w:val="00543D50"/>
    <w:rsid w:val="00543DB8"/>
    <w:rsid w:val="005443FE"/>
    <w:rsid w:val="00544538"/>
    <w:rsid w:val="005450ED"/>
    <w:rsid w:val="00547813"/>
    <w:rsid w:val="00550BB2"/>
    <w:rsid w:val="00551090"/>
    <w:rsid w:val="00551110"/>
    <w:rsid w:val="0055147E"/>
    <w:rsid w:val="0055377D"/>
    <w:rsid w:val="00553EAD"/>
    <w:rsid w:val="005565A5"/>
    <w:rsid w:val="00556AD2"/>
    <w:rsid w:val="00557212"/>
    <w:rsid w:val="005572D6"/>
    <w:rsid w:val="00557885"/>
    <w:rsid w:val="00557903"/>
    <w:rsid w:val="005605DE"/>
    <w:rsid w:val="005605FF"/>
    <w:rsid w:val="005625EA"/>
    <w:rsid w:val="00562B18"/>
    <w:rsid w:val="00565716"/>
    <w:rsid w:val="00566095"/>
    <w:rsid w:val="005662A2"/>
    <w:rsid w:val="00567D32"/>
    <w:rsid w:val="00567E67"/>
    <w:rsid w:val="00567EC4"/>
    <w:rsid w:val="0057119B"/>
    <w:rsid w:val="00571CCA"/>
    <w:rsid w:val="005720E3"/>
    <w:rsid w:val="0057230E"/>
    <w:rsid w:val="005735E6"/>
    <w:rsid w:val="00573D12"/>
    <w:rsid w:val="00573F0C"/>
    <w:rsid w:val="005743CD"/>
    <w:rsid w:val="005747C3"/>
    <w:rsid w:val="00574A58"/>
    <w:rsid w:val="005761FA"/>
    <w:rsid w:val="00576300"/>
    <w:rsid w:val="005771D8"/>
    <w:rsid w:val="005776D7"/>
    <w:rsid w:val="00577F6C"/>
    <w:rsid w:val="005810AF"/>
    <w:rsid w:val="00584110"/>
    <w:rsid w:val="00584D4D"/>
    <w:rsid w:val="00584FE4"/>
    <w:rsid w:val="00585E61"/>
    <w:rsid w:val="0058629D"/>
    <w:rsid w:val="005876A3"/>
    <w:rsid w:val="00587C75"/>
    <w:rsid w:val="00587C7A"/>
    <w:rsid w:val="00587DE7"/>
    <w:rsid w:val="00587DF5"/>
    <w:rsid w:val="00590D4D"/>
    <w:rsid w:val="005936D5"/>
    <w:rsid w:val="00593B26"/>
    <w:rsid w:val="00595C12"/>
    <w:rsid w:val="00595C71"/>
    <w:rsid w:val="00595E79"/>
    <w:rsid w:val="00596167"/>
    <w:rsid w:val="00596AAE"/>
    <w:rsid w:val="005A0DD0"/>
    <w:rsid w:val="005A0FC4"/>
    <w:rsid w:val="005A1BE6"/>
    <w:rsid w:val="005A1F5D"/>
    <w:rsid w:val="005A209D"/>
    <w:rsid w:val="005A229D"/>
    <w:rsid w:val="005A5B3B"/>
    <w:rsid w:val="005A5BD8"/>
    <w:rsid w:val="005A63D3"/>
    <w:rsid w:val="005A6DAE"/>
    <w:rsid w:val="005B26CE"/>
    <w:rsid w:val="005B28B7"/>
    <w:rsid w:val="005B28EE"/>
    <w:rsid w:val="005B2991"/>
    <w:rsid w:val="005B393E"/>
    <w:rsid w:val="005B5A1B"/>
    <w:rsid w:val="005B6301"/>
    <w:rsid w:val="005C0041"/>
    <w:rsid w:val="005C150B"/>
    <w:rsid w:val="005C2B71"/>
    <w:rsid w:val="005C32DF"/>
    <w:rsid w:val="005C3957"/>
    <w:rsid w:val="005C43F2"/>
    <w:rsid w:val="005C485D"/>
    <w:rsid w:val="005C4A51"/>
    <w:rsid w:val="005C4D9F"/>
    <w:rsid w:val="005C52AA"/>
    <w:rsid w:val="005C535B"/>
    <w:rsid w:val="005C6645"/>
    <w:rsid w:val="005C7D6B"/>
    <w:rsid w:val="005D089A"/>
    <w:rsid w:val="005D2A2E"/>
    <w:rsid w:val="005D35FA"/>
    <w:rsid w:val="005D5989"/>
    <w:rsid w:val="005D5D08"/>
    <w:rsid w:val="005D70AF"/>
    <w:rsid w:val="005D7938"/>
    <w:rsid w:val="005E04A2"/>
    <w:rsid w:val="005E1FBB"/>
    <w:rsid w:val="005E2427"/>
    <w:rsid w:val="005E3126"/>
    <w:rsid w:val="005E3BE9"/>
    <w:rsid w:val="005E3C6B"/>
    <w:rsid w:val="005E3FB5"/>
    <w:rsid w:val="005E4C46"/>
    <w:rsid w:val="005E587A"/>
    <w:rsid w:val="005E67E3"/>
    <w:rsid w:val="005E730E"/>
    <w:rsid w:val="005F1359"/>
    <w:rsid w:val="005F15BC"/>
    <w:rsid w:val="005F1F21"/>
    <w:rsid w:val="005F2A05"/>
    <w:rsid w:val="005F3023"/>
    <w:rsid w:val="005F33D5"/>
    <w:rsid w:val="005F34BA"/>
    <w:rsid w:val="005F39EB"/>
    <w:rsid w:val="005F5085"/>
    <w:rsid w:val="005F6841"/>
    <w:rsid w:val="005F6ACC"/>
    <w:rsid w:val="005F6BCC"/>
    <w:rsid w:val="005F7D5E"/>
    <w:rsid w:val="00600F47"/>
    <w:rsid w:val="00601439"/>
    <w:rsid w:val="00601AC7"/>
    <w:rsid w:val="0060232A"/>
    <w:rsid w:val="00602DE2"/>
    <w:rsid w:val="0060333F"/>
    <w:rsid w:val="00603F95"/>
    <w:rsid w:val="006040A4"/>
    <w:rsid w:val="00604DB3"/>
    <w:rsid w:val="00605B2E"/>
    <w:rsid w:val="00605EB1"/>
    <w:rsid w:val="0060606E"/>
    <w:rsid w:val="00606369"/>
    <w:rsid w:val="00606B50"/>
    <w:rsid w:val="00607698"/>
    <w:rsid w:val="00610688"/>
    <w:rsid w:val="00610911"/>
    <w:rsid w:val="0061230D"/>
    <w:rsid w:val="00612C90"/>
    <w:rsid w:val="006135FC"/>
    <w:rsid w:val="006153CF"/>
    <w:rsid w:val="00616106"/>
    <w:rsid w:val="0061666C"/>
    <w:rsid w:val="006166DB"/>
    <w:rsid w:val="006169B0"/>
    <w:rsid w:val="006203EB"/>
    <w:rsid w:val="0062204D"/>
    <w:rsid w:val="00622B0C"/>
    <w:rsid w:val="006242F4"/>
    <w:rsid w:val="00624C95"/>
    <w:rsid w:val="006263AB"/>
    <w:rsid w:val="00626722"/>
    <w:rsid w:val="00626CB2"/>
    <w:rsid w:val="0063037E"/>
    <w:rsid w:val="00630DE1"/>
    <w:rsid w:val="00631A0B"/>
    <w:rsid w:val="00631FE3"/>
    <w:rsid w:val="006334FC"/>
    <w:rsid w:val="00634EC7"/>
    <w:rsid w:val="0063516D"/>
    <w:rsid w:val="00636A41"/>
    <w:rsid w:val="00637341"/>
    <w:rsid w:val="00637DEC"/>
    <w:rsid w:val="00641AD7"/>
    <w:rsid w:val="006423E7"/>
    <w:rsid w:val="006428C0"/>
    <w:rsid w:val="0064337F"/>
    <w:rsid w:val="0064520A"/>
    <w:rsid w:val="0064552D"/>
    <w:rsid w:val="0064580F"/>
    <w:rsid w:val="00645888"/>
    <w:rsid w:val="00646563"/>
    <w:rsid w:val="00646D58"/>
    <w:rsid w:val="006474F4"/>
    <w:rsid w:val="006511E2"/>
    <w:rsid w:val="006513A3"/>
    <w:rsid w:val="00651EA9"/>
    <w:rsid w:val="00652921"/>
    <w:rsid w:val="00652D35"/>
    <w:rsid w:val="00653284"/>
    <w:rsid w:val="00653288"/>
    <w:rsid w:val="00653E2A"/>
    <w:rsid w:val="00654877"/>
    <w:rsid w:val="00656FCA"/>
    <w:rsid w:val="00657275"/>
    <w:rsid w:val="0066047F"/>
    <w:rsid w:val="0066065D"/>
    <w:rsid w:val="00661E6A"/>
    <w:rsid w:val="006627E5"/>
    <w:rsid w:val="00662AA4"/>
    <w:rsid w:val="00662DED"/>
    <w:rsid w:val="00664ABD"/>
    <w:rsid w:val="0066505F"/>
    <w:rsid w:val="00665DF2"/>
    <w:rsid w:val="00666C8E"/>
    <w:rsid w:val="00667388"/>
    <w:rsid w:val="006707DF"/>
    <w:rsid w:val="006709BF"/>
    <w:rsid w:val="006711B9"/>
    <w:rsid w:val="00671AFD"/>
    <w:rsid w:val="00672CFC"/>
    <w:rsid w:val="00674482"/>
    <w:rsid w:val="006758D5"/>
    <w:rsid w:val="006767EC"/>
    <w:rsid w:val="00676F38"/>
    <w:rsid w:val="00677147"/>
    <w:rsid w:val="0067763D"/>
    <w:rsid w:val="00681254"/>
    <w:rsid w:val="00682462"/>
    <w:rsid w:val="00682555"/>
    <w:rsid w:val="00683202"/>
    <w:rsid w:val="0068365E"/>
    <w:rsid w:val="006837DC"/>
    <w:rsid w:val="006840FD"/>
    <w:rsid w:val="00685151"/>
    <w:rsid w:val="00685325"/>
    <w:rsid w:val="00685BD7"/>
    <w:rsid w:val="00685D88"/>
    <w:rsid w:val="006868C7"/>
    <w:rsid w:val="00686D08"/>
    <w:rsid w:val="006872B0"/>
    <w:rsid w:val="00687655"/>
    <w:rsid w:val="00687DE7"/>
    <w:rsid w:val="00690A0A"/>
    <w:rsid w:val="00690DA4"/>
    <w:rsid w:val="006911CA"/>
    <w:rsid w:val="006916F4"/>
    <w:rsid w:val="00691782"/>
    <w:rsid w:val="00691E58"/>
    <w:rsid w:val="00692D9A"/>
    <w:rsid w:val="00693562"/>
    <w:rsid w:val="00693739"/>
    <w:rsid w:val="00693DD9"/>
    <w:rsid w:val="00693E08"/>
    <w:rsid w:val="00693FA0"/>
    <w:rsid w:val="0069623E"/>
    <w:rsid w:val="00696501"/>
    <w:rsid w:val="00696C75"/>
    <w:rsid w:val="00696DCC"/>
    <w:rsid w:val="0069793C"/>
    <w:rsid w:val="006A128F"/>
    <w:rsid w:val="006A23C2"/>
    <w:rsid w:val="006A2543"/>
    <w:rsid w:val="006A2D6B"/>
    <w:rsid w:val="006A2D88"/>
    <w:rsid w:val="006A2F02"/>
    <w:rsid w:val="006A3407"/>
    <w:rsid w:val="006A3867"/>
    <w:rsid w:val="006A4510"/>
    <w:rsid w:val="006A581E"/>
    <w:rsid w:val="006A58FB"/>
    <w:rsid w:val="006A5DA5"/>
    <w:rsid w:val="006A5DEC"/>
    <w:rsid w:val="006A62E2"/>
    <w:rsid w:val="006A6571"/>
    <w:rsid w:val="006A665C"/>
    <w:rsid w:val="006A6CD9"/>
    <w:rsid w:val="006A6ED2"/>
    <w:rsid w:val="006A7CB9"/>
    <w:rsid w:val="006B0BF9"/>
    <w:rsid w:val="006B0C61"/>
    <w:rsid w:val="006B12CF"/>
    <w:rsid w:val="006B1F30"/>
    <w:rsid w:val="006B22EA"/>
    <w:rsid w:val="006B2B62"/>
    <w:rsid w:val="006B32CF"/>
    <w:rsid w:val="006B3429"/>
    <w:rsid w:val="006B44B4"/>
    <w:rsid w:val="006B4832"/>
    <w:rsid w:val="006B53F6"/>
    <w:rsid w:val="006B5A50"/>
    <w:rsid w:val="006B6DC0"/>
    <w:rsid w:val="006B7A35"/>
    <w:rsid w:val="006C0A1F"/>
    <w:rsid w:val="006C311F"/>
    <w:rsid w:val="006C3199"/>
    <w:rsid w:val="006C409B"/>
    <w:rsid w:val="006C4138"/>
    <w:rsid w:val="006C5D37"/>
    <w:rsid w:val="006C5FC7"/>
    <w:rsid w:val="006C6E5E"/>
    <w:rsid w:val="006C777B"/>
    <w:rsid w:val="006C7E18"/>
    <w:rsid w:val="006D0AF2"/>
    <w:rsid w:val="006D1218"/>
    <w:rsid w:val="006D130C"/>
    <w:rsid w:val="006D1706"/>
    <w:rsid w:val="006D18AD"/>
    <w:rsid w:val="006D24B7"/>
    <w:rsid w:val="006D26C0"/>
    <w:rsid w:val="006D2CAB"/>
    <w:rsid w:val="006D30AD"/>
    <w:rsid w:val="006D36AB"/>
    <w:rsid w:val="006D573D"/>
    <w:rsid w:val="006D5996"/>
    <w:rsid w:val="006D5F5A"/>
    <w:rsid w:val="006D6B78"/>
    <w:rsid w:val="006D6CBC"/>
    <w:rsid w:val="006D7119"/>
    <w:rsid w:val="006D714F"/>
    <w:rsid w:val="006D7197"/>
    <w:rsid w:val="006E06FA"/>
    <w:rsid w:val="006E0BA8"/>
    <w:rsid w:val="006E0F07"/>
    <w:rsid w:val="006E1111"/>
    <w:rsid w:val="006E16EF"/>
    <w:rsid w:val="006E20B6"/>
    <w:rsid w:val="006E2C67"/>
    <w:rsid w:val="006E2F89"/>
    <w:rsid w:val="006E36A2"/>
    <w:rsid w:val="006E36B6"/>
    <w:rsid w:val="006E3DC9"/>
    <w:rsid w:val="006E3FB7"/>
    <w:rsid w:val="006E4303"/>
    <w:rsid w:val="006E471B"/>
    <w:rsid w:val="006E475D"/>
    <w:rsid w:val="006E4AB6"/>
    <w:rsid w:val="006E4E28"/>
    <w:rsid w:val="006E5C4F"/>
    <w:rsid w:val="006E61AF"/>
    <w:rsid w:val="006E6B1C"/>
    <w:rsid w:val="006E722C"/>
    <w:rsid w:val="006E7664"/>
    <w:rsid w:val="006E7859"/>
    <w:rsid w:val="006F01DE"/>
    <w:rsid w:val="006F1185"/>
    <w:rsid w:val="006F2646"/>
    <w:rsid w:val="006F2A10"/>
    <w:rsid w:val="006F41D0"/>
    <w:rsid w:val="006F457A"/>
    <w:rsid w:val="006F4937"/>
    <w:rsid w:val="006F4D9C"/>
    <w:rsid w:val="006F5292"/>
    <w:rsid w:val="006F536A"/>
    <w:rsid w:val="006F5F13"/>
    <w:rsid w:val="006F6776"/>
    <w:rsid w:val="006F67F3"/>
    <w:rsid w:val="006F7667"/>
    <w:rsid w:val="006F7809"/>
    <w:rsid w:val="00701244"/>
    <w:rsid w:val="00702B77"/>
    <w:rsid w:val="00702D3E"/>
    <w:rsid w:val="00703293"/>
    <w:rsid w:val="00703C1F"/>
    <w:rsid w:val="00703DA6"/>
    <w:rsid w:val="00703F26"/>
    <w:rsid w:val="007040BE"/>
    <w:rsid w:val="0070441F"/>
    <w:rsid w:val="00704AD1"/>
    <w:rsid w:val="00705678"/>
    <w:rsid w:val="00705BC4"/>
    <w:rsid w:val="0070713F"/>
    <w:rsid w:val="00707B21"/>
    <w:rsid w:val="007116B6"/>
    <w:rsid w:val="007136D5"/>
    <w:rsid w:val="0071650A"/>
    <w:rsid w:val="0071787F"/>
    <w:rsid w:val="00720782"/>
    <w:rsid w:val="00720DEE"/>
    <w:rsid w:val="0072274C"/>
    <w:rsid w:val="00724812"/>
    <w:rsid w:val="007250A2"/>
    <w:rsid w:val="007250DB"/>
    <w:rsid w:val="00725117"/>
    <w:rsid w:val="007255FB"/>
    <w:rsid w:val="00726C5F"/>
    <w:rsid w:val="0073003A"/>
    <w:rsid w:val="007306B8"/>
    <w:rsid w:val="00731707"/>
    <w:rsid w:val="007319E4"/>
    <w:rsid w:val="00731EB4"/>
    <w:rsid w:val="007327E5"/>
    <w:rsid w:val="007338BC"/>
    <w:rsid w:val="00734D70"/>
    <w:rsid w:val="0073549F"/>
    <w:rsid w:val="0073555D"/>
    <w:rsid w:val="00736076"/>
    <w:rsid w:val="00736AA7"/>
    <w:rsid w:val="00740125"/>
    <w:rsid w:val="00741106"/>
    <w:rsid w:val="00741CCF"/>
    <w:rsid w:val="007427DE"/>
    <w:rsid w:val="007428EE"/>
    <w:rsid w:val="00744655"/>
    <w:rsid w:val="00744896"/>
    <w:rsid w:val="007449CD"/>
    <w:rsid w:val="0074548F"/>
    <w:rsid w:val="0074682A"/>
    <w:rsid w:val="00747724"/>
    <w:rsid w:val="00747858"/>
    <w:rsid w:val="00747C97"/>
    <w:rsid w:val="00750D38"/>
    <w:rsid w:val="00751B6C"/>
    <w:rsid w:val="00754290"/>
    <w:rsid w:val="00754EC8"/>
    <w:rsid w:val="0075525B"/>
    <w:rsid w:val="00755875"/>
    <w:rsid w:val="00756112"/>
    <w:rsid w:val="007561FE"/>
    <w:rsid w:val="007566AF"/>
    <w:rsid w:val="00757ACC"/>
    <w:rsid w:val="00760834"/>
    <w:rsid w:val="00760A72"/>
    <w:rsid w:val="0076172C"/>
    <w:rsid w:val="0076183A"/>
    <w:rsid w:val="00762138"/>
    <w:rsid w:val="00762807"/>
    <w:rsid w:val="00764E16"/>
    <w:rsid w:val="0077059C"/>
    <w:rsid w:val="00770ED8"/>
    <w:rsid w:val="00771318"/>
    <w:rsid w:val="007717F5"/>
    <w:rsid w:val="00773533"/>
    <w:rsid w:val="00775200"/>
    <w:rsid w:val="0077538D"/>
    <w:rsid w:val="00775B2A"/>
    <w:rsid w:val="00777167"/>
    <w:rsid w:val="007778EA"/>
    <w:rsid w:val="00780176"/>
    <w:rsid w:val="007822E8"/>
    <w:rsid w:val="007831D7"/>
    <w:rsid w:val="0078344F"/>
    <w:rsid w:val="00783B96"/>
    <w:rsid w:val="00783C21"/>
    <w:rsid w:val="00783FCF"/>
    <w:rsid w:val="00784E71"/>
    <w:rsid w:val="00784ED7"/>
    <w:rsid w:val="00786657"/>
    <w:rsid w:val="00790627"/>
    <w:rsid w:val="00791EF1"/>
    <w:rsid w:val="0079277F"/>
    <w:rsid w:val="00792FD3"/>
    <w:rsid w:val="0079414B"/>
    <w:rsid w:val="00795D96"/>
    <w:rsid w:val="0079635C"/>
    <w:rsid w:val="00797046"/>
    <w:rsid w:val="007974B6"/>
    <w:rsid w:val="007A0570"/>
    <w:rsid w:val="007A1531"/>
    <w:rsid w:val="007A2756"/>
    <w:rsid w:val="007A352E"/>
    <w:rsid w:val="007A3998"/>
    <w:rsid w:val="007A711A"/>
    <w:rsid w:val="007A7254"/>
    <w:rsid w:val="007A7631"/>
    <w:rsid w:val="007A769D"/>
    <w:rsid w:val="007B1023"/>
    <w:rsid w:val="007B1711"/>
    <w:rsid w:val="007B1802"/>
    <w:rsid w:val="007B27F0"/>
    <w:rsid w:val="007B3B44"/>
    <w:rsid w:val="007B4E0B"/>
    <w:rsid w:val="007B50E2"/>
    <w:rsid w:val="007B5626"/>
    <w:rsid w:val="007B5F05"/>
    <w:rsid w:val="007B6E67"/>
    <w:rsid w:val="007B6F8A"/>
    <w:rsid w:val="007B7745"/>
    <w:rsid w:val="007B7A2A"/>
    <w:rsid w:val="007C0FC1"/>
    <w:rsid w:val="007C10CC"/>
    <w:rsid w:val="007C1F57"/>
    <w:rsid w:val="007C204F"/>
    <w:rsid w:val="007C3142"/>
    <w:rsid w:val="007C3212"/>
    <w:rsid w:val="007C32FE"/>
    <w:rsid w:val="007C3BAE"/>
    <w:rsid w:val="007C4720"/>
    <w:rsid w:val="007C4782"/>
    <w:rsid w:val="007C479E"/>
    <w:rsid w:val="007C4D4D"/>
    <w:rsid w:val="007C4DB3"/>
    <w:rsid w:val="007C52AE"/>
    <w:rsid w:val="007C56A3"/>
    <w:rsid w:val="007C666C"/>
    <w:rsid w:val="007C67A4"/>
    <w:rsid w:val="007C6C00"/>
    <w:rsid w:val="007C7778"/>
    <w:rsid w:val="007C7B24"/>
    <w:rsid w:val="007C7E74"/>
    <w:rsid w:val="007D07FC"/>
    <w:rsid w:val="007D0BB5"/>
    <w:rsid w:val="007D13E1"/>
    <w:rsid w:val="007D2159"/>
    <w:rsid w:val="007D2C63"/>
    <w:rsid w:val="007D5512"/>
    <w:rsid w:val="007D616D"/>
    <w:rsid w:val="007D707D"/>
    <w:rsid w:val="007D7445"/>
    <w:rsid w:val="007D7C81"/>
    <w:rsid w:val="007E13BC"/>
    <w:rsid w:val="007E19A2"/>
    <w:rsid w:val="007E2C6E"/>
    <w:rsid w:val="007E3881"/>
    <w:rsid w:val="007E5729"/>
    <w:rsid w:val="007E630E"/>
    <w:rsid w:val="007E6C5A"/>
    <w:rsid w:val="007F0516"/>
    <w:rsid w:val="007F170A"/>
    <w:rsid w:val="007F1C1D"/>
    <w:rsid w:val="007F2266"/>
    <w:rsid w:val="007F4372"/>
    <w:rsid w:val="007F48F8"/>
    <w:rsid w:val="007F53BA"/>
    <w:rsid w:val="007F5799"/>
    <w:rsid w:val="007F5853"/>
    <w:rsid w:val="007F669B"/>
    <w:rsid w:val="0080071B"/>
    <w:rsid w:val="00800A96"/>
    <w:rsid w:val="00800C95"/>
    <w:rsid w:val="00801F82"/>
    <w:rsid w:val="008021FF"/>
    <w:rsid w:val="00802865"/>
    <w:rsid w:val="00802A8C"/>
    <w:rsid w:val="00804F68"/>
    <w:rsid w:val="008060D4"/>
    <w:rsid w:val="008069F7"/>
    <w:rsid w:val="00806A7A"/>
    <w:rsid w:val="00806EF4"/>
    <w:rsid w:val="00810236"/>
    <w:rsid w:val="0081123F"/>
    <w:rsid w:val="008126FA"/>
    <w:rsid w:val="008135A9"/>
    <w:rsid w:val="00814628"/>
    <w:rsid w:val="00814EB4"/>
    <w:rsid w:val="00815247"/>
    <w:rsid w:val="008158A0"/>
    <w:rsid w:val="008161B3"/>
    <w:rsid w:val="00816233"/>
    <w:rsid w:val="0081662B"/>
    <w:rsid w:val="00816BF0"/>
    <w:rsid w:val="00816F03"/>
    <w:rsid w:val="00821155"/>
    <w:rsid w:val="00822F09"/>
    <w:rsid w:val="008236A1"/>
    <w:rsid w:val="00824E2B"/>
    <w:rsid w:val="008258B2"/>
    <w:rsid w:val="00825EA1"/>
    <w:rsid w:val="008276C9"/>
    <w:rsid w:val="00830158"/>
    <w:rsid w:val="0083186F"/>
    <w:rsid w:val="0083207C"/>
    <w:rsid w:val="00832CF0"/>
    <w:rsid w:val="00833BB4"/>
    <w:rsid w:val="00834463"/>
    <w:rsid w:val="008355C3"/>
    <w:rsid w:val="00840ED4"/>
    <w:rsid w:val="008423C3"/>
    <w:rsid w:val="008449B5"/>
    <w:rsid w:val="00844A3C"/>
    <w:rsid w:val="00845283"/>
    <w:rsid w:val="0084532D"/>
    <w:rsid w:val="00845690"/>
    <w:rsid w:val="008459C8"/>
    <w:rsid w:val="00845A40"/>
    <w:rsid w:val="00846077"/>
    <w:rsid w:val="008470CB"/>
    <w:rsid w:val="00850B4E"/>
    <w:rsid w:val="00855AFF"/>
    <w:rsid w:val="00855D18"/>
    <w:rsid w:val="00855FBD"/>
    <w:rsid w:val="00856288"/>
    <w:rsid w:val="0085650D"/>
    <w:rsid w:val="00856792"/>
    <w:rsid w:val="008569BB"/>
    <w:rsid w:val="00857914"/>
    <w:rsid w:val="0086199D"/>
    <w:rsid w:val="00862783"/>
    <w:rsid w:val="00863617"/>
    <w:rsid w:val="00863C81"/>
    <w:rsid w:val="00863CB2"/>
    <w:rsid w:val="008641F5"/>
    <w:rsid w:val="00865491"/>
    <w:rsid w:val="00866152"/>
    <w:rsid w:val="008661E6"/>
    <w:rsid w:val="0086663A"/>
    <w:rsid w:val="0086670D"/>
    <w:rsid w:val="00866B0E"/>
    <w:rsid w:val="008671E7"/>
    <w:rsid w:val="008676BA"/>
    <w:rsid w:val="008708B0"/>
    <w:rsid w:val="008708E1"/>
    <w:rsid w:val="00870C99"/>
    <w:rsid w:val="00871391"/>
    <w:rsid w:val="00871E57"/>
    <w:rsid w:val="00873287"/>
    <w:rsid w:val="0087355A"/>
    <w:rsid w:val="00873CDE"/>
    <w:rsid w:val="00874371"/>
    <w:rsid w:val="008754E1"/>
    <w:rsid w:val="0087551D"/>
    <w:rsid w:val="00876525"/>
    <w:rsid w:val="0088046F"/>
    <w:rsid w:val="00881844"/>
    <w:rsid w:val="00881C96"/>
    <w:rsid w:val="00881E9E"/>
    <w:rsid w:val="00882508"/>
    <w:rsid w:val="0088281C"/>
    <w:rsid w:val="0088417A"/>
    <w:rsid w:val="008856AE"/>
    <w:rsid w:val="00885FE1"/>
    <w:rsid w:val="008862C5"/>
    <w:rsid w:val="008878FB"/>
    <w:rsid w:val="00887A23"/>
    <w:rsid w:val="00887F79"/>
    <w:rsid w:val="00893576"/>
    <w:rsid w:val="00894C85"/>
    <w:rsid w:val="008953C9"/>
    <w:rsid w:val="008954E5"/>
    <w:rsid w:val="00895F87"/>
    <w:rsid w:val="00896FB1"/>
    <w:rsid w:val="00897D7D"/>
    <w:rsid w:val="008A0B49"/>
    <w:rsid w:val="008A0F56"/>
    <w:rsid w:val="008A11D3"/>
    <w:rsid w:val="008A14C1"/>
    <w:rsid w:val="008A21E4"/>
    <w:rsid w:val="008A3F55"/>
    <w:rsid w:val="008A449D"/>
    <w:rsid w:val="008A4EA3"/>
    <w:rsid w:val="008A5AF3"/>
    <w:rsid w:val="008A6212"/>
    <w:rsid w:val="008A6749"/>
    <w:rsid w:val="008A7A8B"/>
    <w:rsid w:val="008A7C12"/>
    <w:rsid w:val="008A7D0B"/>
    <w:rsid w:val="008A7FA7"/>
    <w:rsid w:val="008B07F2"/>
    <w:rsid w:val="008B0925"/>
    <w:rsid w:val="008B12B1"/>
    <w:rsid w:val="008B14C3"/>
    <w:rsid w:val="008B1D0A"/>
    <w:rsid w:val="008B33CB"/>
    <w:rsid w:val="008B3B53"/>
    <w:rsid w:val="008B4D64"/>
    <w:rsid w:val="008B536A"/>
    <w:rsid w:val="008B6849"/>
    <w:rsid w:val="008B79FC"/>
    <w:rsid w:val="008B7ECB"/>
    <w:rsid w:val="008C001E"/>
    <w:rsid w:val="008C0397"/>
    <w:rsid w:val="008C0C50"/>
    <w:rsid w:val="008C2597"/>
    <w:rsid w:val="008C2DD7"/>
    <w:rsid w:val="008C3153"/>
    <w:rsid w:val="008C340C"/>
    <w:rsid w:val="008C3748"/>
    <w:rsid w:val="008C38A1"/>
    <w:rsid w:val="008C3F7B"/>
    <w:rsid w:val="008C4B18"/>
    <w:rsid w:val="008C7329"/>
    <w:rsid w:val="008C73BD"/>
    <w:rsid w:val="008D065D"/>
    <w:rsid w:val="008D0E4D"/>
    <w:rsid w:val="008D1517"/>
    <w:rsid w:val="008D1AF1"/>
    <w:rsid w:val="008D2088"/>
    <w:rsid w:val="008D2372"/>
    <w:rsid w:val="008D36FF"/>
    <w:rsid w:val="008D75DA"/>
    <w:rsid w:val="008D7EB9"/>
    <w:rsid w:val="008D7EC6"/>
    <w:rsid w:val="008E0982"/>
    <w:rsid w:val="008E2F8A"/>
    <w:rsid w:val="008E2FDA"/>
    <w:rsid w:val="008E30FB"/>
    <w:rsid w:val="008E4A28"/>
    <w:rsid w:val="008E7292"/>
    <w:rsid w:val="008E768F"/>
    <w:rsid w:val="008E7E28"/>
    <w:rsid w:val="008F0623"/>
    <w:rsid w:val="008F0938"/>
    <w:rsid w:val="008F0ADE"/>
    <w:rsid w:val="008F15F6"/>
    <w:rsid w:val="008F1B6A"/>
    <w:rsid w:val="008F2EF6"/>
    <w:rsid w:val="008F4A8C"/>
    <w:rsid w:val="008F4C06"/>
    <w:rsid w:val="008F605E"/>
    <w:rsid w:val="008F77CE"/>
    <w:rsid w:val="008F78FC"/>
    <w:rsid w:val="00901087"/>
    <w:rsid w:val="009011B5"/>
    <w:rsid w:val="00901991"/>
    <w:rsid w:val="00903584"/>
    <w:rsid w:val="00903F3E"/>
    <w:rsid w:val="00904B9F"/>
    <w:rsid w:val="00904DA3"/>
    <w:rsid w:val="00905929"/>
    <w:rsid w:val="009064D2"/>
    <w:rsid w:val="00911F83"/>
    <w:rsid w:val="00912E0D"/>
    <w:rsid w:val="00913EF5"/>
    <w:rsid w:val="009141C8"/>
    <w:rsid w:val="009149A6"/>
    <w:rsid w:val="009155DA"/>
    <w:rsid w:val="009157E9"/>
    <w:rsid w:val="00916B90"/>
    <w:rsid w:val="009171CD"/>
    <w:rsid w:val="00917216"/>
    <w:rsid w:val="00920E7E"/>
    <w:rsid w:val="00921489"/>
    <w:rsid w:val="009216A7"/>
    <w:rsid w:val="00921E43"/>
    <w:rsid w:val="00922A92"/>
    <w:rsid w:val="00922D72"/>
    <w:rsid w:val="009234DD"/>
    <w:rsid w:val="00924360"/>
    <w:rsid w:val="009243BB"/>
    <w:rsid w:val="00924591"/>
    <w:rsid w:val="009247CB"/>
    <w:rsid w:val="00924F10"/>
    <w:rsid w:val="00925096"/>
    <w:rsid w:val="00925E15"/>
    <w:rsid w:val="009268EE"/>
    <w:rsid w:val="00926C07"/>
    <w:rsid w:val="00927EDA"/>
    <w:rsid w:val="00930967"/>
    <w:rsid w:val="00931D98"/>
    <w:rsid w:val="0093206A"/>
    <w:rsid w:val="00933D9B"/>
    <w:rsid w:val="00934128"/>
    <w:rsid w:val="009341BB"/>
    <w:rsid w:val="009344E7"/>
    <w:rsid w:val="0093454D"/>
    <w:rsid w:val="00934573"/>
    <w:rsid w:val="00934751"/>
    <w:rsid w:val="0093491B"/>
    <w:rsid w:val="00934D35"/>
    <w:rsid w:val="00935A35"/>
    <w:rsid w:val="00937803"/>
    <w:rsid w:val="00941E6D"/>
    <w:rsid w:val="00942207"/>
    <w:rsid w:val="0094227E"/>
    <w:rsid w:val="009423E4"/>
    <w:rsid w:val="00942843"/>
    <w:rsid w:val="0094385B"/>
    <w:rsid w:val="00943CDB"/>
    <w:rsid w:val="00943F95"/>
    <w:rsid w:val="00946740"/>
    <w:rsid w:val="00947DD0"/>
    <w:rsid w:val="00950A10"/>
    <w:rsid w:val="00950DE2"/>
    <w:rsid w:val="00950E25"/>
    <w:rsid w:val="00951E88"/>
    <w:rsid w:val="00952329"/>
    <w:rsid w:val="009536A7"/>
    <w:rsid w:val="009539F9"/>
    <w:rsid w:val="00953C26"/>
    <w:rsid w:val="00954902"/>
    <w:rsid w:val="009552D0"/>
    <w:rsid w:val="00955794"/>
    <w:rsid w:val="00955C8F"/>
    <w:rsid w:val="00956153"/>
    <w:rsid w:val="00956F23"/>
    <w:rsid w:val="00957696"/>
    <w:rsid w:val="0095771A"/>
    <w:rsid w:val="009578A8"/>
    <w:rsid w:val="00957FBA"/>
    <w:rsid w:val="0096047F"/>
    <w:rsid w:val="0096062C"/>
    <w:rsid w:val="00960C96"/>
    <w:rsid w:val="00961B0B"/>
    <w:rsid w:val="00961D7A"/>
    <w:rsid w:val="00962288"/>
    <w:rsid w:val="009626D6"/>
    <w:rsid w:val="00962EBF"/>
    <w:rsid w:val="0096410C"/>
    <w:rsid w:val="00964CD7"/>
    <w:rsid w:val="00964DA9"/>
    <w:rsid w:val="009652FA"/>
    <w:rsid w:val="009655F8"/>
    <w:rsid w:val="00966D8D"/>
    <w:rsid w:val="00966EE1"/>
    <w:rsid w:val="00967A8F"/>
    <w:rsid w:val="00967B24"/>
    <w:rsid w:val="0097046D"/>
    <w:rsid w:val="009708A1"/>
    <w:rsid w:val="009708A4"/>
    <w:rsid w:val="00971309"/>
    <w:rsid w:val="00971444"/>
    <w:rsid w:val="00971FAD"/>
    <w:rsid w:val="009720EC"/>
    <w:rsid w:val="00973EF1"/>
    <w:rsid w:val="00974023"/>
    <w:rsid w:val="00974827"/>
    <w:rsid w:val="00974A9F"/>
    <w:rsid w:val="00977421"/>
    <w:rsid w:val="009809FF"/>
    <w:rsid w:val="00980F8A"/>
    <w:rsid w:val="0098310C"/>
    <w:rsid w:val="009832A9"/>
    <w:rsid w:val="0098332D"/>
    <w:rsid w:val="0098353D"/>
    <w:rsid w:val="00984825"/>
    <w:rsid w:val="00984D75"/>
    <w:rsid w:val="00984EE7"/>
    <w:rsid w:val="0098537D"/>
    <w:rsid w:val="00986A06"/>
    <w:rsid w:val="00987160"/>
    <w:rsid w:val="009872A1"/>
    <w:rsid w:val="00987564"/>
    <w:rsid w:val="009875D4"/>
    <w:rsid w:val="0099050F"/>
    <w:rsid w:val="00990DD2"/>
    <w:rsid w:val="00991B90"/>
    <w:rsid w:val="00991C7D"/>
    <w:rsid w:val="00991F33"/>
    <w:rsid w:val="00995850"/>
    <w:rsid w:val="009965F3"/>
    <w:rsid w:val="00996AFF"/>
    <w:rsid w:val="00997061"/>
    <w:rsid w:val="0099786A"/>
    <w:rsid w:val="00997BF4"/>
    <w:rsid w:val="009A068E"/>
    <w:rsid w:val="009A08CE"/>
    <w:rsid w:val="009A0F3D"/>
    <w:rsid w:val="009A12B5"/>
    <w:rsid w:val="009A22CB"/>
    <w:rsid w:val="009A3562"/>
    <w:rsid w:val="009A4175"/>
    <w:rsid w:val="009A60C2"/>
    <w:rsid w:val="009A7385"/>
    <w:rsid w:val="009A7BE1"/>
    <w:rsid w:val="009B1992"/>
    <w:rsid w:val="009B1CA7"/>
    <w:rsid w:val="009B1DBF"/>
    <w:rsid w:val="009B2B06"/>
    <w:rsid w:val="009B3314"/>
    <w:rsid w:val="009B437F"/>
    <w:rsid w:val="009B5524"/>
    <w:rsid w:val="009B58A8"/>
    <w:rsid w:val="009B5F94"/>
    <w:rsid w:val="009B66E7"/>
    <w:rsid w:val="009B6BCF"/>
    <w:rsid w:val="009B7041"/>
    <w:rsid w:val="009B77CB"/>
    <w:rsid w:val="009C0004"/>
    <w:rsid w:val="009C0772"/>
    <w:rsid w:val="009C147E"/>
    <w:rsid w:val="009C2361"/>
    <w:rsid w:val="009C2BCB"/>
    <w:rsid w:val="009C40B1"/>
    <w:rsid w:val="009C4268"/>
    <w:rsid w:val="009C5499"/>
    <w:rsid w:val="009C5E2C"/>
    <w:rsid w:val="009C6117"/>
    <w:rsid w:val="009C6B59"/>
    <w:rsid w:val="009C750A"/>
    <w:rsid w:val="009C78C4"/>
    <w:rsid w:val="009D10A6"/>
    <w:rsid w:val="009D11D1"/>
    <w:rsid w:val="009D155C"/>
    <w:rsid w:val="009D205F"/>
    <w:rsid w:val="009D24B8"/>
    <w:rsid w:val="009D32ED"/>
    <w:rsid w:val="009D34F3"/>
    <w:rsid w:val="009D35DC"/>
    <w:rsid w:val="009D3C71"/>
    <w:rsid w:val="009D44A2"/>
    <w:rsid w:val="009D4650"/>
    <w:rsid w:val="009D5031"/>
    <w:rsid w:val="009D565C"/>
    <w:rsid w:val="009D59E1"/>
    <w:rsid w:val="009D5C4F"/>
    <w:rsid w:val="009D6136"/>
    <w:rsid w:val="009E12FA"/>
    <w:rsid w:val="009E614F"/>
    <w:rsid w:val="009E66AA"/>
    <w:rsid w:val="009E73F6"/>
    <w:rsid w:val="009E779B"/>
    <w:rsid w:val="009F0A42"/>
    <w:rsid w:val="009F18F4"/>
    <w:rsid w:val="009F26E4"/>
    <w:rsid w:val="009F286A"/>
    <w:rsid w:val="009F43CE"/>
    <w:rsid w:val="009F4B9F"/>
    <w:rsid w:val="009F51CA"/>
    <w:rsid w:val="009F559F"/>
    <w:rsid w:val="009F5A4A"/>
    <w:rsid w:val="009F6485"/>
    <w:rsid w:val="009F6C7A"/>
    <w:rsid w:val="009F7E33"/>
    <w:rsid w:val="00A00AC6"/>
    <w:rsid w:val="00A01348"/>
    <w:rsid w:val="00A0205F"/>
    <w:rsid w:val="00A022AA"/>
    <w:rsid w:val="00A028F8"/>
    <w:rsid w:val="00A03C1C"/>
    <w:rsid w:val="00A04212"/>
    <w:rsid w:val="00A0550D"/>
    <w:rsid w:val="00A06207"/>
    <w:rsid w:val="00A062E0"/>
    <w:rsid w:val="00A07AD8"/>
    <w:rsid w:val="00A07CF1"/>
    <w:rsid w:val="00A10012"/>
    <w:rsid w:val="00A114B8"/>
    <w:rsid w:val="00A1217E"/>
    <w:rsid w:val="00A12B16"/>
    <w:rsid w:val="00A1330A"/>
    <w:rsid w:val="00A1497D"/>
    <w:rsid w:val="00A1568F"/>
    <w:rsid w:val="00A1571E"/>
    <w:rsid w:val="00A16523"/>
    <w:rsid w:val="00A17286"/>
    <w:rsid w:val="00A20235"/>
    <w:rsid w:val="00A202C8"/>
    <w:rsid w:val="00A21600"/>
    <w:rsid w:val="00A233A0"/>
    <w:rsid w:val="00A26802"/>
    <w:rsid w:val="00A26A7E"/>
    <w:rsid w:val="00A2734D"/>
    <w:rsid w:val="00A275D8"/>
    <w:rsid w:val="00A27CBE"/>
    <w:rsid w:val="00A27F3B"/>
    <w:rsid w:val="00A30751"/>
    <w:rsid w:val="00A30966"/>
    <w:rsid w:val="00A30DFB"/>
    <w:rsid w:val="00A30ECA"/>
    <w:rsid w:val="00A316A0"/>
    <w:rsid w:val="00A322A8"/>
    <w:rsid w:val="00A3291A"/>
    <w:rsid w:val="00A32F73"/>
    <w:rsid w:val="00A3381B"/>
    <w:rsid w:val="00A34758"/>
    <w:rsid w:val="00A347F8"/>
    <w:rsid w:val="00A34A15"/>
    <w:rsid w:val="00A34E05"/>
    <w:rsid w:val="00A352B7"/>
    <w:rsid w:val="00A3551C"/>
    <w:rsid w:val="00A376D0"/>
    <w:rsid w:val="00A37ACF"/>
    <w:rsid w:val="00A37C7D"/>
    <w:rsid w:val="00A401D8"/>
    <w:rsid w:val="00A40310"/>
    <w:rsid w:val="00A4047E"/>
    <w:rsid w:val="00A4071F"/>
    <w:rsid w:val="00A4089D"/>
    <w:rsid w:val="00A412B8"/>
    <w:rsid w:val="00A4166F"/>
    <w:rsid w:val="00A426CD"/>
    <w:rsid w:val="00A43754"/>
    <w:rsid w:val="00A43C43"/>
    <w:rsid w:val="00A43E93"/>
    <w:rsid w:val="00A45772"/>
    <w:rsid w:val="00A45D22"/>
    <w:rsid w:val="00A4699A"/>
    <w:rsid w:val="00A46A84"/>
    <w:rsid w:val="00A46D9E"/>
    <w:rsid w:val="00A470F0"/>
    <w:rsid w:val="00A47928"/>
    <w:rsid w:val="00A51434"/>
    <w:rsid w:val="00A5234C"/>
    <w:rsid w:val="00A525E1"/>
    <w:rsid w:val="00A52757"/>
    <w:rsid w:val="00A53D27"/>
    <w:rsid w:val="00A53F37"/>
    <w:rsid w:val="00A54775"/>
    <w:rsid w:val="00A5526D"/>
    <w:rsid w:val="00A556DC"/>
    <w:rsid w:val="00A56343"/>
    <w:rsid w:val="00A563EE"/>
    <w:rsid w:val="00A56B27"/>
    <w:rsid w:val="00A56B86"/>
    <w:rsid w:val="00A57165"/>
    <w:rsid w:val="00A57AF0"/>
    <w:rsid w:val="00A60335"/>
    <w:rsid w:val="00A60B51"/>
    <w:rsid w:val="00A61967"/>
    <w:rsid w:val="00A62A70"/>
    <w:rsid w:val="00A63380"/>
    <w:rsid w:val="00A63E97"/>
    <w:rsid w:val="00A643BC"/>
    <w:rsid w:val="00A6464E"/>
    <w:rsid w:val="00A64B86"/>
    <w:rsid w:val="00A65237"/>
    <w:rsid w:val="00A66104"/>
    <w:rsid w:val="00A70034"/>
    <w:rsid w:val="00A700F8"/>
    <w:rsid w:val="00A71CD1"/>
    <w:rsid w:val="00A7203A"/>
    <w:rsid w:val="00A73FAC"/>
    <w:rsid w:val="00A7449C"/>
    <w:rsid w:val="00A7491A"/>
    <w:rsid w:val="00A749B7"/>
    <w:rsid w:val="00A75C62"/>
    <w:rsid w:val="00A77970"/>
    <w:rsid w:val="00A804CC"/>
    <w:rsid w:val="00A806A0"/>
    <w:rsid w:val="00A80ADE"/>
    <w:rsid w:val="00A80C4B"/>
    <w:rsid w:val="00A81661"/>
    <w:rsid w:val="00A823D2"/>
    <w:rsid w:val="00A82498"/>
    <w:rsid w:val="00A82561"/>
    <w:rsid w:val="00A8276F"/>
    <w:rsid w:val="00A82CF6"/>
    <w:rsid w:val="00A83015"/>
    <w:rsid w:val="00A83204"/>
    <w:rsid w:val="00A87707"/>
    <w:rsid w:val="00A900BE"/>
    <w:rsid w:val="00A904E5"/>
    <w:rsid w:val="00A90BFE"/>
    <w:rsid w:val="00A913AD"/>
    <w:rsid w:val="00A919AD"/>
    <w:rsid w:val="00A93B4D"/>
    <w:rsid w:val="00A93D05"/>
    <w:rsid w:val="00A94D61"/>
    <w:rsid w:val="00A94F9E"/>
    <w:rsid w:val="00A957C3"/>
    <w:rsid w:val="00A96126"/>
    <w:rsid w:val="00A962A5"/>
    <w:rsid w:val="00A96DAD"/>
    <w:rsid w:val="00A96F37"/>
    <w:rsid w:val="00A97C34"/>
    <w:rsid w:val="00AA0856"/>
    <w:rsid w:val="00AA0B5F"/>
    <w:rsid w:val="00AA0D53"/>
    <w:rsid w:val="00AA158D"/>
    <w:rsid w:val="00AA16BD"/>
    <w:rsid w:val="00AA2B3A"/>
    <w:rsid w:val="00AA4128"/>
    <w:rsid w:val="00AA4C27"/>
    <w:rsid w:val="00AA6AEB"/>
    <w:rsid w:val="00AB03D4"/>
    <w:rsid w:val="00AB0AC8"/>
    <w:rsid w:val="00AB1170"/>
    <w:rsid w:val="00AB16BF"/>
    <w:rsid w:val="00AB2D49"/>
    <w:rsid w:val="00AB315C"/>
    <w:rsid w:val="00AB35DF"/>
    <w:rsid w:val="00AB559F"/>
    <w:rsid w:val="00AB602E"/>
    <w:rsid w:val="00AB7442"/>
    <w:rsid w:val="00AB7F71"/>
    <w:rsid w:val="00AC01F4"/>
    <w:rsid w:val="00AC02D7"/>
    <w:rsid w:val="00AC27BB"/>
    <w:rsid w:val="00AC380B"/>
    <w:rsid w:val="00AC3C95"/>
    <w:rsid w:val="00AC450F"/>
    <w:rsid w:val="00AC51AC"/>
    <w:rsid w:val="00AC5259"/>
    <w:rsid w:val="00AC5867"/>
    <w:rsid w:val="00AC60E8"/>
    <w:rsid w:val="00AC617A"/>
    <w:rsid w:val="00AC6C98"/>
    <w:rsid w:val="00AC6EF5"/>
    <w:rsid w:val="00AC6F1C"/>
    <w:rsid w:val="00AC76E8"/>
    <w:rsid w:val="00AD0539"/>
    <w:rsid w:val="00AD1762"/>
    <w:rsid w:val="00AD22B5"/>
    <w:rsid w:val="00AD2F4C"/>
    <w:rsid w:val="00AD3813"/>
    <w:rsid w:val="00AD6A39"/>
    <w:rsid w:val="00AD709E"/>
    <w:rsid w:val="00AE1D55"/>
    <w:rsid w:val="00AE3AA6"/>
    <w:rsid w:val="00AE450F"/>
    <w:rsid w:val="00AE5484"/>
    <w:rsid w:val="00AE65F5"/>
    <w:rsid w:val="00AE679F"/>
    <w:rsid w:val="00AE6DA4"/>
    <w:rsid w:val="00AE6E64"/>
    <w:rsid w:val="00AE77E1"/>
    <w:rsid w:val="00AF0298"/>
    <w:rsid w:val="00AF1B0B"/>
    <w:rsid w:val="00AF2737"/>
    <w:rsid w:val="00AF33B3"/>
    <w:rsid w:val="00AF379D"/>
    <w:rsid w:val="00AF42EC"/>
    <w:rsid w:val="00AF50C5"/>
    <w:rsid w:val="00AF525B"/>
    <w:rsid w:val="00AF58FD"/>
    <w:rsid w:val="00AF617C"/>
    <w:rsid w:val="00AF6797"/>
    <w:rsid w:val="00AF7FA0"/>
    <w:rsid w:val="00B00A6B"/>
    <w:rsid w:val="00B00E68"/>
    <w:rsid w:val="00B0131F"/>
    <w:rsid w:val="00B01784"/>
    <w:rsid w:val="00B02D9B"/>
    <w:rsid w:val="00B02E19"/>
    <w:rsid w:val="00B03F1E"/>
    <w:rsid w:val="00B0443E"/>
    <w:rsid w:val="00B0505D"/>
    <w:rsid w:val="00B0658F"/>
    <w:rsid w:val="00B065C3"/>
    <w:rsid w:val="00B07858"/>
    <w:rsid w:val="00B10C17"/>
    <w:rsid w:val="00B10D36"/>
    <w:rsid w:val="00B1153F"/>
    <w:rsid w:val="00B121EB"/>
    <w:rsid w:val="00B12E87"/>
    <w:rsid w:val="00B136BF"/>
    <w:rsid w:val="00B13E48"/>
    <w:rsid w:val="00B158FB"/>
    <w:rsid w:val="00B159D1"/>
    <w:rsid w:val="00B15F96"/>
    <w:rsid w:val="00B161E4"/>
    <w:rsid w:val="00B16214"/>
    <w:rsid w:val="00B17482"/>
    <w:rsid w:val="00B17D23"/>
    <w:rsid w:val="00B20885"/>
    <w:rsid w:val="00B21140"/>
    <w:rsid w:val="00B2227A"/>
    <w:rsid w:val="00B22CF8"/>
    <w:rsid w:val="00B22D0C"/>
    <w:rsid w:val="00B22F6E"/>
    <w:rsid w:val="00B235EE"/>
    <w:rsid w:val="00B2496F"/>
    <w:rsid w:val="00B250E4"/>
    <w:rsid w:val="00B26E32"/>
    <w:rsid w:val="00B26F7F"/>
    <w:rsid w:val="00B27DEC"/>
    <w:rsid w:val="00B3030A"/>
    <w:rsid w:val="00B3037F"/>
    <w:rsid w:val="00B318D1"/>
    <w:rsid w:val="00B32E31"/>
    <w:rsid w:val="00B332BA"/>
    <w:rsid w:val="00B371C8"/>
    <w:rsid w:val="00B41049"/>
    <w:rsid w:val="00B41223"/>
    <w:rsid w:val="00B41D48"/>
    <w:rsid w:val="00B42532"/>
    <w:rsid w:val="00B4311F"/>
    <w:rsid w:val="00B431D2"/>
    <w:rsid w:val="00B4477B"/>
    <w:rsid w:val="00B45768"/>
    <w:rsid w:val="00B45775"/>
    <w:rsid w:val="00B45AAC"/>
    <w:rsid w:val="00B46D8E"/>
    <w:rsid w:val="00B47477"/>
    <w:rsid w:val="00B51101"/>
    <w:rsid w:val="00B5195A"/>
    <w:rsid w:val="00B51A97"/>
    <w:rsid w:val="00B51FBC"/>
    <w:rsid w:val="00B524A2"/>
    <w:rsid w:val="00B532B3"/>
    <w:rsid w:val="00B53392"/>
    <w:rsid w:val="00B5343C"/>
    <w:rsid w:val="00B53563"/>
    <w:rsid w:val="00B53760"/>
    <w:rsid w:val="00B537E7"/>
    <w:rsid w:val="00B53DE2"/>
    <w:rsid w:val="00B54BC1"/>
    <w:rsid w:val="00B55033"/>
    <w:rsid w:val="00B55EB6"/>
    <w:rsid w:val="00B5624E"/>
    <w:rsid w:val="00B56DDB"/>
    <w:rsid w:val="00B57A92"/>
    <w:rsid w:val="00B57D3C"/>
    <w:rsid w:val="00B57F45"/>
    <w:rsid w:val="00B60032"/>
    <w:rsid w:val="00B60F21"/>
    <w:rsid w:val="00B61BE0"/>
    <w:rsid w:val="00B6200F"/>
    <w:rsid w:val="00B62CFD"/>
    <w:rsid w:val="00B6308F"/>
    <w:rsid w:val="00B637B6"/>
    <w:rsid w:val="00B63EA8"/>
    <w:rsid w:val="00B6404B"/>
    <w:rsid w:val="00B64E52"/>
    <w:rsid w:val="00B6520C"/>
    <w:rsid w:val="00B655BB"/>
    <w:rsid w:val="00B65EBB"/>
    <w:rsid w:val="00B66F05"/>
    <w:rsid w:val="00B67DD1"/>
    <w:rsid w:val="00B71D87"/>
    <w:rsid w:val="00B71F9F"/>
    <w:rsid w:val="00B71FA1"/>
    <w:rsid w:val="00B72201"/>
    <w:rsid w:val="00B73381"/>
    <w:rsid w:val="00B743B5"/>
    <w:rsid w:val="00B74A4F"/>
    <w:rsid w:val="00B76B85"/>
    <w:rsid w:val="00B77F67"/>
    <w:rsid w:val="00B80FB6"/>
    <w:rsid w:val="00B81901"/>
    <w:rsid w:val="00B81C23"/>
    <w:rsid w:val="00B83035"/>
    <w:rsid w:val="00B83741"/>
    <w:rsid w:val="00B8380B"/>
    <w:rsid w:val="00B8385C"/>
    <w:rsid w:val="00B83A25"/>
    <w:rsid w:val="00B85818"/>
    <w:rsid w:val="00B85C48"/>
    <w:rsid w:val="00B85D8F"/>
    <w:rsid w:val="00B86439"/>
    <w:rsid w:val="00B8766B"/>
    <w:rsid w:val="00B91768"/>
    <w:rsid w:val="00B9268E"/>
    <w:rsid w:val="00B93223"/>
    <w:rsid w:val="00B93B58"/>
    <w:rsid w:val="00B93E44"/>
    <w:rsid w:val="00B9423B"/>
    <w:rsid w:val="00B94EDA"/>
    <w:rsid w:val="00B94F54"/>
    <w:rsid w:val="00B9661F"/>
    <w:rsid w:val="00B96621"/>
    <w:rsid w:val="00B9748C"/>
    <w:rsid w:val="00B975D3"/>
    <w:rsid w:val="00B97FB8"/>
    <w:rsid w:val="00BA07FD"/>
    <w:rsid w:val="00BA0AC3"/>
    <w:rsid w:val="00BA2052"/>
    <w:rsid w:val="00BA21CC"/>
    <w:rsid w:val="00BA2627"/>
    <w:rsid w:val="00BA3019"/>
    <w:rsid w:val="00BA3208"/>
    <w:rsid w:val="00BA336B"/>
    <w:rsid w:val="00BA34BD"/>
    <w:rsid w:val="00BA567D"/>
    <w:rsid w:val="00BA5898"/>
    <w:rsid w:val="00BA5CC0"/>
    <w:rsid w:val="00BB04A8"/>
    <w:rsid w:val="00BB080F"/>
    <w:rsid w:val="00BB2E3F"/>
    <w:rsid w:val="00BB3886"/>
    <w:rsid w:val="00BB5A28"/>
    <w:rsid w:val="00BB5C81"/>
    <w:rsid w:val="00BB61D3"/>
    <w:rsid w:val="00BB697C"/>
    <w:rsid w:val="00BB6B80"/>
    <w:rsid w:val="00BB6F98"/>
    <w:rsid w:val="00BB70FF"/>
    <w:rsid w:val="00BB7155"/>
    <w:rsid w:val="00BB75CD"/>
    <w:rsid w:val="00BC1CD9"/>
    <w:rsid w:val="00BC22CF"/>
    <w:rsid w:val="00BC24AB"/>
    <w:rsid w:val="00BC52C4"/>
    <w:rsid w:val="00BC5D1D"/>
    <w:rsid w:val="00BC6DAF"/>
    <w:rsid w:val="00BC6E2A"/>
    <w:rsid w:val="00BC7076"/>
    <w:rsid w:val="00BC713D"/>
    <w:rsid w:val="00BC7925"/>
    <w:rsid w:val="00BC7EBE"/>
    <w:rsid w:val="00BD08EF"/>
    <w:rsid w:val="00BD1614"/>
    <w:rsid w:val="00BD254F"/>
    <w:rsid w:val="00BD460C"/>
    <w:rsid w:val="00BD540E"/>
    <w:rsid w:val="00BD57E3"/>
    <w:rsid w:val="00BD61AB"/>
    <w:rsid w:val="00BD628E"/>
    <w:rsid w:val="00BD6305"/>
    <w:rsid w:val="00BD65BF"/>
    <w:rsid w:val="00BD705C"/>
    <w:rsid w:val="00BD708D"/>
    <w:rsid w:val="00BD77C7"/>
    <w:rsid w:val="00BE0EAA"/>
    <w:rsid w:val="00BE375A"/>
    <w:rsid w:val="00BE3A79"/>
    <w:rsid w:val="00BE3E34"/>
    <w:rsid w:val="00BE4CF3"/>
    <w:rsid w:val="00BE6BBF"/>
    <w:rsid w:val="00BE76A9"/>
    <w:rsid w:val="00BF010A"/>
    <w:rsid w:val="00BF0630"/>
    <w:rsid w:val="00BF0A7A"/>
    <w:rsid w:val="00BF1539"/>
    <w:rsid w:val="00BF19C0"/>
    <w:rsid w:val="00BF1DE3"/>
    <w:rsid w:val="00BF2605"/>
    <w:rsid w:val="00BF2A0F"/>
    <w:rsid w:val="00BF33EA"/>
    <w:rsid w:val="00BF4146"/>
    <w:rsid w:val="00BF593E"/>
    <w:rsid w:val="00BF5D0F"/>
    <w:rsid w:val="00BF6641"/>
    <w:rsid w:val="00BF6FAB"/>
    <w:rsid w:val="00BF7DE3"/>
    <w:rsid w:val="00C0211B"/>
    <w:rsid w:val="00C035B3"/>
    <w:rsid w:val="00C04744"/>
    <w:rsid w:val="00C04C1B"/>
    <w:rsid w:val="00C0580C"/>
    <w:rsid w:val="00C05BCB"/>
    <w:rsid w:val="00C05F92"/>
    <w:rsid w:val="00C06298"/>
    <w:rsid w:val="00C07311"/>
    <w:rsid w:val="00C1131F"/>
    <w:rsid w:val="00C121A9"/>
    <w:rsid w:val="00C12987"/>
    <w:rsid w:val="00C13724"/>
    <w:rsid w:val="00C13F1B"/>
    <w:rsid w:val="00C15189"/>
    <w:rsid w:val="00C15415"/>
    <w:rsid w:val="00C15E03"/>
    <w:rsid w:val="00C16220"/>
    <w:rsid w:val="00C170C1"/>
    <w:rsid w:val="00C20EB5"/>
    <w:rsid w:val="00C21838"/>
    <w:rsid w:val="00C21B0A"/>
    <w:rsid w:val="00C220AF"/>
    <w:rsid w:val="00C22409"/>
    <w:rsid w:val="00C23D78"/>
    <w:rsid w:val="00C25ABF"/>
    <w:rsid w:val="00C274D7"/>
    <w:rsid w:val="00C276DA"/>
    <w:rsid w:val="00C30420"/>
    <w:rsid w:val="00C30A0E"/>
    <w:rsid w:val="00C30DDB"/>
    <w:rsid w:val="00C33714"/>
    <w:rsid w:val="00C33FD8"/>
    <w:rsid w:val="00C34168"/>
    <w:rsid w:val="00C342DB"/>
    <w:rsid w:val="00C34D1C"/>
    <w:rsid w:val="00C362F9"/>
    <w:rsid w:val="00C36574"/>
    <w:rsid w:val="00C37090"/>
    <w:rsid w:val="00C37408"/>
    <w:rsid w:val="00C374F9"/>
    <w:rsid w:val="00C37F74"/>
    <w:rsid w:val="00C40CCD"/>
    <w:rsid w:val="00C41D53"/>
    <w:rsid w:val="00C42252"/>
    <w:rsid w:val="00C42925"/>
    <w:rsid w:val="00C42E2F"/>
    <w:rsid w:val="00C43DAD"/>
    <w:rsid w:val="00C44450"/>
    <w:rsid w:val="00C45E95"/>
    <w:rsid w:val="00C45F21"/>
    <w:rsid w:val="00C46CEF"/>
    <w:rsid w:val="00C47256"/>
    <w:rsid w:val="00C47747"/>
    <w:rsid w:val="00C47C08"/>
    <w:rsid w:val="00C51583"/>
    <w:rsid w:val="00C5220D"/>
    <w:rsid w:val="00C531E2"/>
    <w:rsid w:val="00C53643"/>
    <w:rsid w:val="00C5391E"/>
    <w:rsid w:val="00C54246"/>
    <w:rsid w:val="00C54735"/>
    <w:rsid w:val="00C5556E"/>
    <w:rsid w:val="00C55D3A"/>
    <w:rsid w:val="00C566F6"/>
    <w:rsid w:val="00C572A1"/>
    <w:rsid w:val="00C579B0"/>
    <w:rsid w:val="00C6008D"/>
    <w:rsid w:val="00C6056F"/>
    <w:rsid w:val="00C60E71"/>
    <w:rsid w:val="00C617C7"/>
    <w:rsid w:val="00C625E6"/>
    <w:rsid w:val="00C626D7"/>
    <w:rsid w:val="00C62C06"/>
    <w:rsid w:val="00C63014"/>
    <w:rsid w:val="00C6389C"/>
    <w:rsid w:val="00C648E0"/>
    <w:rsid w:val="00C64CDC"/>
    <w:rsid w:val="00C66717"/>
    <w:rsid w:val="00C66992"/>
    <w:rsid w:val="00C66EF4"/>
    <w:rsid w:val="00C67EB0"/>
    <w:rsid w:val="00C712C7"/>
    <w:rsid w:val="00C71693"/>
    <w:rsid w:val="00C71DED"/>
    <w:rsid w:val="00C7248E"/>
    <w:rsid w:val="00C742F4"/>
    <w:rsid w:val="00C7561D"/>
    <w:rsid w:val="00C76B97"/>
    <w:rsid w:val="00C81EB8"/>
    <w:rsid w:val="00C82ECE"/>
    <w:rsid w:val="00C8357A"/>
    <w:rsid w:val="00C84A04"/>
    <w:rsid w:val="00C86C01"/>
    <w:rsid w:val="00C90355"/>
    <w:rsid w:val="00C90C5B"/>
    <w:rsid w:val="00C91057"/>
    <w:rsid w:val="00C91A50"/>
    <w:rsid w:val="00C9207C"/>
    <w:rsid w:val="00C92969"/>
    <w:rsid w:val="00C930A8"/>
    <w:rsid w:val="00C933BC"/>
    <w:rsid w:val="00C937F0"/>
    <w:rsid w:val="00C95373"/>
    <w:rsid w:val="00C95BBF"/>
    <w:rsid w:val="00C96744"/>
    <w:rsid w:val="00C967A4"/>
    <w:rsid w:val="00C975B2"/>
    <w:rsid w:val="00C97B4C"/>
    <w:rsid w:val="00CA0EB0"/>
    <w:rsid w:val="00CA14C6"/>
    <w:rsid w:val="00CA16C3"/>
    <w:rsid w:val="00CA1FEF"/>
    <w:rsid w:val="00CA2DB9"/>
    <w:rsid w:val="00CA3A44"/>
    <w:rsid w:val="00CA626E"/>
    <w:rsid w:val="00CA68A4"/>
    <w:rsid w:val="00CA6BFC"/>
    <w:rsid w:val="00CA7744"/>
    <w:rsid w:val="00CA7A2B"/>
    <w:rsid w:val="00CB1DC2"/>
    <w:rsid w:val="00CB24AA"/>
    <w:rsid w:val="00CB3439"/>
    <w:rsid w:val="00CB4601"/>
    <w:rsid w:val="00CB4A3F"/>
    <w:rsid w:val="00CB525A"/>
    <w:rsid w:val="00CB528A"/>
    <w:rsid w:val="00CB69F3"/>
    <w:rsid w:val="00CB6EE3"/>
    <w:rsid w:val="00CB6F4D"/>
    <w:rsid w:val="00CB72EB"/>
    <w:rsid w:val="00CB7637"/>
    <w:rsid w:val="00CB7F67"/>
    <w:rsid w:val="00CC0E37"/>
    <w:rsid w:val="00CC1BE1"/>
    <w:rsid w:val="00CC265E"/>
    <w:rsid w:val="00CC312E"/>
    <w:rsid w:val="00CC443A"/>
    <w:rsid w:val="00CC483C"/>
    <w:rsid w:val="00CD09C9"/>
    <w:rsid w:val="00CD1713"/>
    <w:rsid w:val="00CD22C4"/>
    <w:rsid w:val="00CD3801"/>
    <w:rsid w:val="00CD4152"/>
    <w:rsid w:val="00CD4F95"/>
    <w:rsid w:val="00CD518E"/>
    <w:rsid w:val="00CD5951"/>
    <w:rsid w:val="00CD5E1F"/>
    <w:rsid w:val="00CD69E3"/>
    <w:rsid w:val="00CD7092"/>
    <w:rsid w:val="00CE0241"/>
    <w:rsid w:val="00CE0541"/>
    <w:rsid w:val="00CE076D"/>
    <w:rsid w:val="00CE3C31"/>
    <w:rsid w:val="00CE473D"/>
    <w:rsid w:val="00CE52F8"/>
    <w:rsid w:val="00CE54DC"/>
    <w:rsid w:val="00CE5FD1"/>
    <w:rsid w:val="00CE6085"/>
    <w:rsid w:val="00CE6C58"/>
    <w:rsid w:val="00CE796A"/>
    <w:rsid w:val="00CE7D4C"/>
    <w:rsid w:val="00CF0A8E"/>
    <w:rsid w:val="00CF1BAD"/>
    <w:rsid w:val="00CF33A7"/>
    <w:rsid w:val="00CF3543"/>
    <w:rsid w:val="00CF37B6"/>
    <w:rsid w:val="00CF3939"/>
    <w:rsid w:val="00CF3FAC"/>
    <w:rsid w:val="00CF4268"/>
    <w:rsid w:val="00CF472B"/>
    <w:rsid w:val="00CF4EDA"/>
    <w:rsid w:val="00CF5134"/>
    <w:rsid w:val="00CF69AC"/>
    <w:rsid w:val="00CF6CB1"/>
    <w:rsid w:val="00CF74E4"/>
    <w:rsid w:val="00CF77B2"/>
    <w:rsid w:val="00CF7E56"/>
    <w:rsid w:val="00CF7E72"/>
    <w:rsid w:val="00D00795"/>
    <w:rsid w:val="00D01699"/>
    <w:rsid w:val="00D01B28"/>
    <w:rsid w:val="00D0200F"/>
    <w:rsid w:val="00D0259E"/>
    <w:rsid w:val="00D025CB"/>
    <w:rsid w:val="00D02B20"/>
    <w:rsid w:val="00D02FDB"/>
    <w:rsid w:val="00D0319A"/>
    <w:rsid w:val="00D03679"/>
    <w:rsid w:val="00D038AA"/>
    <w:rsid w:val="00D041D4"/>
    <w:rsid w:val="00D0530B"/>
    <w:rsid w:val="00D0551E"/>
    <w:rsid w:val="00D05639"/>
    <w:rsid w:val="00D05F99"/>
    <w:rsid w:val="00D068B4"/>
    <w:rsid w:val="00D073A6"/>
    <w:rsid w:val="00D07B15"/>
    <w:rsid w:val="00D07FE9"/>
    <w:rsid w:val="00D10947"/>
    <w:rsid w:val="00D11369"/>
    <w:rsid w:val="00D12D59"/>
    <w:rsid w:val="00D131FC"/>
    <w:rsid w:val="00D144CD"/>
    <w:rsid w:val="00D14C49"/>
    <w:rsid w:val="00D1575D"/>
    <w:rsid w:val="00D17808"/>
    <w:rsid w:val="00D17A63"/>
    <w:rsid w:val="00D20C2D"/>
    <w:rsid w:val="00D21370"/>
    <w:rsid w:val="00D218F3"/>
    <w:rsid w:val="00D223E2"/>
    <w:rsid w:val="00D2339D"/>
    <w:rsid w:val="00D24535"/>
    <w:rsid w:val="00D248DD"/>
    <w:rsid w:val="00D248EB"/>
    <w:rsid w:val="00D26340"/>
    <w:rsid w:val="00D264BC"/>
    <w:rsid w:val="00D278FF"/>
    <w:rsid w:val="00D304B3"/>
    <w:rsid w:val="00D30614"/>
    <w:rsid w:val="00D308CA"/>
    <w:rsid w:val="00D31809"/>
    <w:rsid w:val="00D31C75"/>
    <w:rsid w:val="00D31DF6"/>
    <w:rsid w:val="00D31FA0"/>
    <w:rsid w:val="00D352EE"/>
    <w:rsid w:val="00D35782"/>
    <w:rsid w:val="00D37123"/>
    <w:rsid w:val="00D371EB"/>
    <w:rsid w:val="00D37DB6"/>
    <w:rsid w:val="00D37E52"/>
    <w:rsid w:val="00D40326"/>
    <w:rsid w:val="00D40602"/>
    <w:rsid w:val="00D4099D"/>
    <w:rsid w:val="00D40A11"/>
    <w:rsid w:val="00D41858"/>
    <w:rsid w:val="00D42E00"/>
    <w:rsid w:val="00D43433"/>
    <w:rsid w:val="00D43AF1"/>
    <w:rsid w:val="00D44115"/>
    <w:rsid w:val="00D4561A"/>
    <w:rsid w:val="00D458B4"/>
    <w:rsid w:val="00D474F9"/>
    <w:rsid w:val="00D478A2"/>
    <w:rsid w:val="00D47BD3"/>
    <w:rsid w:val="00D502E0"/>
    <w:rsid w:val="00D50424"/>
    <w:rsid w:val="00D5165A"/>
    <w:rsid w:val="00D51C3D"/>
    <w:rsid w:val="00D51D70"/>
    <w:rsid w:val="00D51F1E"/>
    <w:rsid w:val="00D521D0"/>
    <w:rsid w:val="00D544B8"/>
    <w:rsid w:val="00D54655"/>
    <w:rsid w:val="00D54691"/>
    <w:rsid w:val="00D577D6"/>
    <w:rsid w:val="00D5798E"/>
    <w:rsid w:val="00D57F71"/>
    <w:rsid w:val="00D615AE"/>
    <w:rsid w:val="00D62279"/>
    <w:rsid w:val="00D625DB"/>
    <w:rsid w:val="00D6476E"/>
    <w:rsid w:val="00D6659F"/>
    <w:rsid w:val="00D66DBA"/>
    <w:rsid w:val="00D67486"/>
    <w:rsid w:val="00D7035C"/>
    <w:rsid w:val="00D7135B"/>
    <w:rsid w:val="00D72597"/>
    <w:rsid w:val="00D73B59"/>
    <w:rsid w:val="00D749FA"/>
    <w:rsid w:val="00D74F4C"/>
    <w:rsid w:val="00D75376"/>
    <w:rsid w:val="00D75CC3"/>
    <w:rsid w:val="00D80A82"/>
    <w:rsid w:val="00D80D03"/>
    <w:rsid w:val="00D8168E"/>
    <w:rsid w:val="00D81CBE"/>
    <w:rsid w:val="00D820E4"/>
    <w:rsid w:val="00D83776"/>
    <w:rsid w:val="00D83C4D"/>
    <w:rsid w:val="00D84D70"/>
    <w:rsid w:val="00D8546E"/>
    <w:rsid w:val="00D85D56"/>
    <w:rsid w:val="00D85E01"/>
    <w:rsid w:val="00D85E0E"/>
    <w:rsid w:val="00D865D9"/>
    <w:rsid w:val="00D87296"/>
    <w:rsid w:val="00D87F95"/>
    <w:rsid w:val="00D95E2D"/>
    <w:rsid w:val="00D96865"/>
    <w:rsid w:val="00D9697E"/>
    <w:rsid w:val="00DA1BC3"/>
    <w:rsid w:val="00DA2448"/>
    <w:rsid w:val="00DA258C"/>
    <w:rsid w:val="00DA25BE"/>
    <w:rsid w:val="00DA3508"/>
    <w:rsid w:val="00DA3AD8"/>
    <w:rsid w:val="00DA450C"/>
    <w:rsid w:val="00DA4EEB"/>
    <w:rsid w:val="00DA6551"/>
    <w:rsid w:val="00DA68B4"/>
    <w:rsid w:val="00DA6B98"/>
    <w:rsid w:val="00DA6D85"/>
    <w:rsid w:val="00DB087E"/>
    <w:rsid w:val="00DB1829"/>
    <w:rsid w:val="00DB2803"/>
    <w:rsid w:val="00DB2B1B"/>
    <w:rsid w:val="00DB2D2F"/>
    <w:rsid w:val="00DB2DF1"/>
    <w:rsid w:val="00DB2FE9"/>
    <w:rsid w:val="00DB4366"/>
    <w:rsid w:val="00DB4B9A"/>
    <w:rsid w:val="00DB5B1C"/>
    <w:rsid w:val="00DB5F2E"/>
    <w:rsid w:val="00DB62BD"/>
    <w:rsid w:val="00DB66B6"/>
    <w:rsid w:val="00DC04E4"/>
    <w:rsid w:val="00DC08A9"/>
    <w:rsid w:val="00DC0A2E"/>
    <w:rsid w:val="00DC246F"/>
    <w:rsid w:val="00DC2D3A"/>
    <w:rsid w:val="00DC35CF"/>
    <w:rsid w:val="00DC4E33"/>
    <w:rsid w:val="00DC4F51"/>
    <w:rsid w:val="00DC5534"/>
    <w:rsid w:val="00DC5B46"/>
    <w:rsid w:val="00DC5C3E"/>
    <w:rsid w:val="00DC60FB"/>
    <w:rsid w:val="00DC621A"/>
    <w:rsid w:val="00DC6C36"/>
    <w:rsid w:val="00DC782D"/>
    <w:rsid w:val="00DC7CBB"/>
    <w:rsid w:val="00DD3CA6"/>
    <w:rsid w:val="00DD489F"/>
    <w:rsid w:val="00DD5CEA"/>
    <w:rsid w:val="00DD6C1B"/>
    <w:rsid w:val="00DD7001"/>
    <w:rsid w:val="00DD716E"/>
    <w:rsid w:val="00DE1D62"/>
    <w:rsid w:val="00DE1E5D"/>
    <w:rsid w:val="00DE2B62"/>
    <w:rsid w:val="00DE38EA"/>
    <w:rsid w:val="00DE4909"/>
    <w:rsid w:val="00DE5ACA"/>
    <w:rsid w:val="00DE5E3F"/>
    <w:rsid w:val="00DE5E45"/>
    <w:rsid w:val="00DE7D2C"/>
    <w:rsid w:val="00DF0ECC"/>
    <w:rsid w:val="00DF1FEA"/>
    <w:rsid w:val="00DF2D6B"/>
    <w:rsid w:val="00DF37F5"/>
    <w:rsid w:val="00DF3BB7"/>
    <w:rsid w:val="00DF5C9D"/>
    <w:rsid w:val="00DF6177"/>
    <w:rsid w:val="00DF64A3"/>
    <w:rsid w:val="00DF6D27"/>
    <w:rsid w:val="00DF7311"/>
    <w:rsid w:val="00E00CFF"/>
    <w:rsid w:val="00E010E6"/>
    <w:rsid w:val="00E024D9"/>
    <w:rsid w:val="00E02EB0"/>
    <w:rsid w:val="00E030C3"/>
    <w:rsid w:val="00E03EAB"/>
    <w:rsid w:val="00E0415A"/>
    <w:rsid w:val="00E041B2"/>
    <w:rsid w:val="00E0451D"/>
    <w:rsid w:val="00E04FE9"/>
    <w:rsid w:val="00E06A6C"/>
    <w:rsid w:val="00E07B41"/>
    <w:rsid w:val="00E1022E"/>
    <w:rsid w:val="00E10F3A"/>
    <w:rsid w:val="00E123E0"/>
    <w:rsid w:val="00E12C18"/>
    <w:rsid w:val="00E13860"/>
    <w:rsid w:val="00E1449D"/>
    <w:rsid w:val="00E145E1"/>
    <w:rsid w:val="00E16529"/>
    <w:rsid w:val="00E17F38"/>
    <w:rsid w:val="00E2158F"/>
    <w:rsid w:val="00E223A9"/>
    <w:rsid w:val="00E231AC"/>
    <w:rsid w:val="00E23C20"/>
    <w:rsid w:val="00E23C65"/>
    <w:rsid w:val="00E23D01"/>
    <w:rsid w:val="00E23F7D"/>
    <w:rsid w:val="00E24886"/>
    <w:rsid w:val="00E24C70"/>
    <w:rsid w:val="00E24EA7"/>
    <w:rsid w:val="00E30872"/>
    <w:rsid w:val="00E313EC"/>
    <w:rsid w:val="00E3328B"/>
    <w:rsid w:val="00E35FBA"/>
    <w:rsid w:val="00E36001"/>
    <w:rsid w:val="00E360DE"/>
    <w:rsid w:val="00E3626E"/>
    <w:rsid w:val="00E37D50"/>
    <w:rsid w:val="00E40313"/>
    <w:rsid w:val="00E403B4"/>
    <w:rsid w:val="00E4343F"/>
    <w:rsid w:val="00E451A8"/>
    <w:rsid w:val="00E45835"/>
    <w:rsid w:val="00E461DD"/>
    <w:rsid w:val="00E461E3"/>
    <w:rsid w:val="00E4726F"/>
    <w:rsid w:val="00E475AF"/>
    <w:rsid w:val="00E51301"/>
    <w:rsid w:val="00E5198B"/>
    <w:rsid w:val="00E51A0B"/>
    <w:rsid w:val="00E51CB5"/>
    <w:rsid w:val="00E5314B"/>
    <w:rsid w:val="00E538FC"/>
    <w:rsid w:val="00E53A36"/>
    <w:rsid w:val="00E551E7"/>
    <w:rsid w:val="00E568F6"/>
    <w:rsid w:val="00E56DC3"/>
    <w:rsid w:val="00E57B94"/>
    <w:rsid w:val="00E57D58"/>
    <w:rsid w:val="00E61226"/>
    <w:rsid w:val="00E61ABB"/>
    <w:rsid w:val="00E63A0D"/>
    <w:rsid w:val="00E63C6B"/>
    <w:rsid w:val="00E6446E"/>
    <w:rsid w:val="00E64AEE"/>
    <w:rsid w:val="00E66BD6"/>
    <w:rsid w:val="00E67C13"/>
    <w:rsid w:val="00E70033"/>
    <w:rsid w:val="00E70387"/>
    <w:rsid w:val="00E71061"/>
    <w:rsid w:val="00E714BB"/>
    <w:rsid w:val="00E717CB"/>
    <w:rsid w:val="00E719D2"/>
    <w:rsid w:val="00E71D74"/>
    <w:rsid w:val="00E73D79"/>
    <w:rsid w:val="00E7421F"/>
    <w:rsid w:val="00E7444F"/>
    <w:rsid w:val="00E75DE6"/>
    <w:rsid w:val="00E7746D"/>
    <w:rsid w:val="00E77A9D"/>
    <w:rsid w:val="00E81DC6"/>
    <w:rsid w:val="00E81F0A"/>
    <w:rsid w:val="00E8314E"/>
    <w:rsid w:val="00E833F4"/>
    <w:rsid w:val="00E83A54"/>
    <w:rsid w:val="00E85ABF"/>
    <w:rsid w:val="00E86150"/>
    <w:rsid w:val="00E867D4"/>
    <w:rsid w:val="00E87097"/>
    <w:rsid w:val="00E87ACC"/>
    <w:rsid w:val="00E905B2"/>
    <w:rsid w:val="00E91AAF"/>
    <w:rsid w:val="00E91FD9"/>
    <w:rsid w:val="00E92A76"/>
    <w:rsid w:val="00E92BA5"/>
    <w:rsid w:val="00E9339E"/>
    <w:rsid w:val="00E95848"/>
    <w:rsid w:val="00E96061"/>
    <w:rsid w:val="00E96E72"/>
    <w:rsid w:val="00E975E7"/>
    <w:rsid w:val="00EA0EF4"/>
    <w:rsid w:val="00EA10BA"/>
    <w:rsid w:val="00EA1243"/>
    <w:rsid w:val="00EA1D57"/>
    <w:rsid w:val="00EA2A81"/>
    <w:rsid w:val="00EA477B"/>
    <w:rsid w:val="00EA4A54"/>
    <w:rsid w:val="00EA5DF1"/>
    <w:rsid w:val="00EA5F14"/>
    <w:rsid w:val="00EA6211"/>
    <w:rsid w:val="00EA6B31"/>
    <w:rsid w:val="00EA738D"/>
    <w:rsid w:val="00EB03CA"/>
    <w:rsid w:val="00EB0C79"/>
    <w:rsid w:val="00EB12F0"/>
    <w:rsid w:val="00EB140E"/>
    <w:rsid w:val="00EB201E"/>
    <w:rsid w:val="00EB2728"/>
    <w:rsid w:val="00EB40DD"/>
    <w:rsid w:val="00EB4FBA"/>
    <w:rsid w:val="00EB569E"/>
    <w:rsid w:val="00EB5C18"/>
    <w:rsid w:val="00EB64FF"/>
    <w:rsid w:val="00EB6BB4"/>
    <w:rsid w:val="00EB6C49"/>
    <w:rsid w:val="00EB707B"/>
    <w:rsid w:val="00EB7686"/>
    <w:rsid w:val="00EB7ACC"/>
    <w:rsid w:val="00EC06EC"/>
    <w:rsid w:val="00EC0739"/>
    <w:rsid w:val="00EC080F"/>
    <w:rsid w:val="00EC11D1"/>
    <w:rsid w:val="00EC1BD1"/>
    <w:rsid w:val="00EC1DCD"/>
    <w:rsid w:val="00EC2210"/>
    <w:rsid w:val="00EC25BA"/>
    <w:rsid w:val="00EC2B1C"/>
    <w:rsid w:val="00EC3362"/>
    <w:rsid w:val="00EC46BF"/>
    <w:rsid w:val="00EC5BF8"/>
    <w:rsid w:val="00EC6C82"/>
    <w:rsid w:val="00EC7116"/>
    <w:rsid w:val="00ED12BD"/>
    <w:rsid w:val="00ED1666"/>
    <w:rsid w:val="00ED230A"/>
    <w:rsid w:val="00ED279F"/>
    <w:rsid w:val="00ED4919"/>
    <w:rsid w:val="00ED4B53"/>
    <w:rsid w:val="00ED79C9"/>
    <w:rsid w:val="00EE16DD"/>
    <w:rsid w:val="00EE2490"/>
    <w:rsid w:val="00EE3782"/>
    <w:rsid w:val="00EE3882"/>
    <w:rsid w:val="00EE4F5A"/>
    <w:rsid w:val="00EE5CA1"/>
    <w:rsid w:val="00EE6023"/>
    <w:rsid w:val="00EE70AC"/>
    <w:rsid w:val="00EF0BA1"/>
    <w:rsid w:val="00EF25A4"/>
    <w:rsid w:val="00EF44DE"/>
    <w:rsid w:val="00EF519C"/>
    <w:rsid w:val="00EF5751"/>
    <w:rsid w:val="00EF5970"/>
    <w:rsid w:val="00EF62D6"/>
    <w:rsid w:val="00EF6567"/>
    <w:rsid w:val="00EF705C"/>
    <w:rsid w:val="00EF7313"/>
    <w:rsid w:val="00EF7642"/>
    <w:rsid w:val="00EF7C90"/>
    <w:rsid w:val="00F00617"/>
    <w:rsid w:val="00F02589"/>
    <w:rsid w:val="00F028F0"/>
    <w:rsid w:val="00F02C73"/>
    <w:rsid w:val="00F042EB"/>
    <w:rsid w:val="00F04686"/>
    <w:rsid w:val="00F053E0"/>
    <w:rsid w:val="00F05EB5"/>
    <w:rsid w:val="00F06339"/>
    <w:rsid w:val="00F07267"/>
    <w:rsid w:val="00F0743F"/>
    <w:rsid w:val="00F07998"/>
    <w:rsid w:val="00F10672"/>
    <w:rsid w:val="00F11098"/>
    <w:rsid w:val="00F122DA"/>
    <w:rsid w:val="00F122F6"/>
    <w:rsid w:val="00F125CA"/>
    <w:rsid w:val="00F12D70"/>
    <w:rsid w:val="00F13270"/>
    <w:rsid w:val="00F139BF"/>
    <w:rsid w:val="00F14A34"/>
    <w:rsid w:val="00F1661B"/>
    <w:rsid w:val="00F1672D"/>
    <w:rsid w:val="00F16A14"/>
    <w:rsid w:val="00F20AC7"/>
    <w:rsid w:val="00F218D9"/>
    <w:rsid w:val="00F23111"/>
    <w:rsid w:val="00F232A6"/>
    <w:rsid w:val="00F2453F"/>
    <w:rsid w:val="00F24CB2"/>
    <w:rsid w:val="00F25097"/>
    <w:rsid w:val="00F25198"/>
    <w:rsid w:val="00F253B5"/>
    <w:rsid w:val="00F257A1"/>
    <w:rsid w:val="00F260C2"/>
    <w:rsid w:val="00F27268"/>
    <w:rsid w:val="00F275B0"/>
    <w:rsid w:val="00F2781B"/>
    <w:rsid w:val="00F30C27"/>
    <w:rsid w:val="00F31BCE"/>
    <w:rsid w:val="00F33EB2"/>
    <w:rsid w:val="00F34039"/>
    <w:rsid w:val="00F34C41"/>
    <w:rsid w:val="00F35D73"/>
    <w:rsid w:val="00F36BCF"/>
    <w:rsid w:val="00F370CF"/>
    <w:rsid w:val="00F37C38"/>
    <w:rsid w:val="00F37C5F"/>
    <w:rsid w:val="00F408E4"/>
    <w:rsid w:val="00F40CA9"/>
    <w:rsid w:val="00F4170F"/>
    <w:rsid w:val="00F41C15"/>
    <w:rsid w:val="00F42BFF"/>
    <w:rsid w:val="00F43033"/>
    <w:rsid w:val="00F45776"/>
    <w:rsid w:val="00F45B28"/>
    <w:rsid w:val="00F45CBD"/>
    <w:rsid w:val="00F4799A"/>
    <w:rsid w:val="00F51424"/>
    <w:rsid w:val="00F554F2"/>
    <w:rsid w:val="00F569C2"/>
    <w:rsid w:val="00F56C90"/>
    <w:rsid w:val="00F56F06"/>
    <w:rsid w:val="00F579CB"/>
    <w:rsid w:val="00F60362"/>
    <w:rsid w:val="00F614CF"/>
    <w:rsid w:val="00F61B06"/>
    <w:rsid w:val="00F61CE9"/>
    <w:rsid w:val="00F627D9"/>
    <w:rsid w:val="00F63140"/>
    <w:rsid w:val="00F63C1C"/>
    <w:rsid w:val="00F6440C"/>
    <w:rsid w:val="00F64477"/>
    <w:rsid w:val="00F65CBA"/>
    <w:rsid w:val="00F66428"/>
    <w:rsid w:val="00F6658E"/>
    <w:rsid w:val="00F668C4"/>
    <w:rsid w:val="00F6696D"/>
    <w:rsid w:val="00F66D0B"/>
    <w:rsid w:val="00F671D4"/>
    <w:rsid w:val="00F67380"/>
    <w:rsid w:val="00F67C22"/>
    <w:rsid w:val="00F723B9"/>
    <w:rsid w:val="00F724D4"/>
    <w:rsid w:val="00F72C0D"/>
    <w:rsid w:val="00F73ED3"/>
    <w:rsid w:val="00F740AF"/>
    <w:rsid w:val="00F74F8A"/>
    <w:rsid w:val="00F75992"/>
    <w:rsid w:val="00F773DE"/>
    <w:rsid w:val="00F8022D"/>
    <w:rsid w:val="00F802BA"/>
    <w:rsid w:val="00F81C1F"/>
    <w:rsid w:val="00F81F44"/>
    <w:rsid w:val="00F81FB5"/>
    <w:rsid w:val="00F82420"/>
    <w:rsid w:val="00F829CD"/>
    <w:rsid w:val="00F8319D"/>
    <w:rsid w:val="00F8444F"/>
    <w:rsid w:val="00F84AD6"/>
    <w:rsid w:val="00F84B0F"/>
    <w:rsid w:val="00F857A2"/>
    <w:rsid w:val="00F865FD"/>
    <w:rsid w:val="00F86C4E"/>
    <w:rsid w:val="00F87888"/>
    <w:rsid w:val="00F9014D"/>
    <w:rsid w:val="00F9172D"/>
    <w:rsid w:val="00F91928"/>
    <w:rsid w:val="00F95816"/>
    <w:rsid w:val="00F95B5A"/>
    <w:rsid w:val="00F96B41"/>
    <w:rsid w:val="00FA030B"/>
    <w:rsid w:val="00FA0590"/>
    <w:rsid w:val="00FA1A25"/>
    <w:rsid w:val="00FA1B32"/>
    <w:rsid w:val="00FA1C50"/>
    <w:rsid w:val="00FA1EC6"/>
    <w:rsid w:val="00FA2517"/>
    <w:rsid w:val="00FA2729"/>
    <w:rsid w:val="00FA3D9E"/>
    <w:rsid w:val="00FA3DDF"/>
    <w:rsid w:val="00FA4065"/>
    <w:rsid w:val="00FA417A"/>
    <w:rsid w:val="00FA4BBB"/>
    <w:rsid w:val="00FA5BCD"/>
    <w:rsid w:val="00FA6A8C"/>
    <w:rsid w:val="00FB0DDE"/>
    <w:rsid w:val="00FB1120"/>
    <w:rsid w:val="00FB124E"/>
    <w:rsid w:val="00FB16CC"/>
    <w:rsid w:val="00FB17A5"/>
    <w:rsid w:val="00FB1FDB"/>
    <w:rsid w:val="00FB2247"/>
    <w:rsid w:val="00FB239D"/>
    <w:rsid w:val="00FB362C"/>
    <w:rsid w:val="00FB3F04"/>
    <w:rsid w:val="00FB43F7"/>
    <w:rsid w:val="00FB4899"/>
    <w:rsid w:val="00FB56CD"/>
    <w:rsid w:val="00FB591A"/>
    <w:rsid w:val="00FB6635"/>
    <w:rsid w:val="00FB682D"/>
    <w:rsid w:val="00FB72EB"/>
    <w:rsid w:val="00FB73FB"/>
    <w:rsid w:val="00FC0345"/>
    <w:rsid w:val="00FC078D"/>
    <w:rsid w:val="00FC2EFC"/>
    <w:rsid w:val="00FC3C12"/>
    <w:rsid w:val="00FC48E2"/>
    <w:rsid w:val="00FC4AFA"/>
    <w:rsid w:val="00FD0F6B"/>
    <w:rsid w:val="00FD10D9"/>
    <w:rsid w:val="00FD1E76"/>
    <w:rsid w:val="00FD2027"/>
    <w:rsid w:val="00FD227C"/>
    <w:rsid w:val="00FD2333"/>
    <w:rsid w:val="00FD23A1"/>
    <w:rsid w:val="00FD2AC8"/>
    <w:rsid w:val="00FD2BEE"/>
    <w:rsid w:val="00FD3019"/>
    <w:rsid w:val="00FD3563"/>
    <w:rsid w:val="00FD462B"/>
    <w:rsid w:val="00FD6D74"/>
    <w:rsid w:val="00FD72A0"/>
    <w:rsid w:val="00FE16EE"/>
    <w:rsid w:val="00FE2C10"/>
    <w:rsid w:val="00FE2FA8"/>
    <w:rsid w:val="00FE3472"/>
    <w:rsid w:val="00FE35EA"/>
    <w:rsid w:val="00FE411B"/>
    <w:rsid w:val="00FE4C7C"/>
    <w:rsid w:val="00FE52EA"/>
    <w:rsid w:val="00FE69B6"/>
    <w:rsid w:val="00FE6B5D"/>
    <w:rsid w:val="00FE7354"/>
    <w:rsid w:val="00FE737C"/>
    <w:rsid w:val="00FE79CF"/>
    <w:rsid w:val="00FF06E1"/>
    <w:rsid w:val="00FF0EC1"/>
    <w:rsid w:val="00FF14AE"/>
    <w:rsid w:val="00FF1A0E"/>
    <w:rsid w:val="00FF2014"/>
    <w:rsid w:val="00FF2C43"/>
    <w:rsid w:val="00FF3B76"/>
    <w:rsid w:val="00FF4B62"/>
    <w:rsid w:val="00FF4BE2"/>
    <w:rsid w:val="00FF4E8D"/>
    <w:rsid w:val="00FF5E4A"/>
    <w:rsid w:val="00FF6522"/>
    <w:rsid w:val="00FF67CA"/>
    <w:rsid w:val="00FF7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8D9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315C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315C2"/>
  </w:style>
  <w:style w:type="paragraph" w:styleId="Porat">
    <w:name w:val="footer"/>
    <w:basedOn w:val="prastasis"/>
    <w:link w:val="PoratDiagrama"/>
    <w:uiPriority w:val="99"/>
    <w:unhideWhenUsed/>
    <w:rsid w:val="003315C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315C2"/>
  </w:style>
  <w:style w:type="character" w:styleId="Komentaronuoroda">
    <w:name w:val="annotation reference"/>
    <w:uiPriority w:val="99"/>
    <w:semiHidden/>
    <w:unhideWhenUsed/>
    <w:rsid w:val="008A0F56"/>
    <w:rPr>
      <w:sz w:val="16"/>
      <w:szCs w:val="16"/>
    </w:rPr>
  </w:style>
  <w:style w:type="paragraph" w:styleId="Komentarotekstas">
    <w:name w:val="annotation text"/>
    <w:basedOn w:val="prastasis"/>
    <w:link w:val="KomentarotekstasDiagrama"/>
    <w:uiPriority w:val="99"/>
    <w:semiHidden/>
    <w:unhideWhenUsed/>
    <w:rsid w:val="008A0F56"/>
    <w:pPr>
      <w:spacing w:line="240" w:lineRule="auto"/>
    </w:pPr>
    <w:rPr>
      <w:sz w:val="20"/>
      <w:szCs w:val="20"/>
    </w:rPr>
  </w:style>
  <w:style w:type="character" w:customStyle="1" w:styleId="KomentarotekstasDiagrama">
    <w:name w:val="Komentaro tekstas Diagrama"/>
    <w:link w:val="Komentarotekstas"/>
    <w:uiPriority w:val="99"/>
    <w:semiHidden/>
    <w:rsid w:val="008A0F56"/>
    <w:rPr>
      <w:sz w:val="20"/>
      <w:szCs w:val="20"/>
    </w:rPr>
  </w:style>
  <w:style w:type="paragraph" w:styleId="Komentarotema">
    <w:name w:val="annotation subject"/>
    <w:basedOn w:val="Komentarotekstas"/>
    <w:next w:val="Komentarotekstas"/>
    <w:link w:val="KomentarotemaDiagrama"/>
    <w:uiPriority w:val="99"/>
    <w:semiHidden/>
    <w:unhideWhenUsed/>
    <w:rsid w:val="008A0F56"/>
    <w:rPr>
      <w:b/>
      <w:bCs/>
    </w:rPr>
  </w:style>
  <w:style w:type="character" w:customStyle="1" w:styleId="KomentarotemaDiagrama">
    <w:name w:val="Komentaro tema Diagrama"/>
    <w:link w:val="Komentarotema"/>
    <w:uiPriority w:val="99"/>
    <w:semiHidden/>
    <w:rsid w:val="008A0F56"/>
    <w:rPr>
      <w:b/>
      <w:bCs/>
      <w:sz w:val="20"/>
      <w:szCs w:val="20"/>
    </w:rPr>
  </w:style>
  <w:style w:type="paragraph" w:styleId="Debesliotekstas">
    <w:name w:val="Balloon Text"/>
    <w:basedOn w:val="prastasis"/>
    <w:link w:val="DebesliotekstasDiagrama"/>
    <w:uiPriority w:val="99"/>
    <w:semiHidden/>
    <w:unhideWhenUsed/>
    <w:rsid w:val="008A0F56"/>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8A0F56"/>
    <w:rPr>
      <w:rFonts w:ascii="Tahoma" w:hAnsi="Tahoma" w:cs="Tahoma"/>
      <w:sz w:val="16"/>
      <w:szCs w:val="16"/>
    </w:rPr>
  </w:style>
  <w:style w:type="character" w:customStyle="1" w:styleId="clear1">
    <w:name w:val="clear1"/>
    <w:basedOn w:val="Numatytasispastraiposriftas"/>
    <w:rsid w:val="00F13270"/>
  </w:style>
  <w:style w:type="paragraph" w:styleId="Sraopastraipa">
    <w:name w:val="List Paragraph"/>
    <w:aliases w:val="1st level - Bullet List Paragraph,Lettre d'introduction,Normal bullet 2,Bullet list,Listenabsatz1,Sąrašo pastraipa.Bullet,Bullet EY,Sąrašo pastraipa1,Numbering,ERP-List Paragraph,List Paragraph11,Sąrašo pastraipa;Bullet"/>
    <w:basedOn w:val="prastasis"/>
    <w:link w:val="SraopastraipaDiagrama"/>
    <w:uiPriority w:val="34"/>
    <w:qFormat/>
    <w:rsid w:val="004C79BD"/>
    <w:pPr>
      <w:ind w:left="720"/>
      <w:contextualSpacing/>
    </w:pPr>
  </w:style>
  <w:style w:type="paragraph" w:styleId="prastasiniatinklio">
    <w:name w:val="Normal (Web)"/>
    <w:basedOn w:val="prastasis"/>
    <w:uiPriority w:val="99"/>
    <w:unhideWhenUsed/>
    <w:rsid w:val="00DF37F5"/>
    <w:pPr>
      <w:spacing w:before="100" w:beforeAutospacing="1" w:after="100" w:afterAutospacing="1" w:line="240" w:lineRule="auto"/>
    </w:pPr>
    <w:rPr>
      <w:rFonts w:ascii="Times New Roman" w:hAnsi="Times New Roman"/>
      <w:sz w:val="24"/>
      <w:szCs w:val="24"/>
    </w:rPr>
  </w:style>
  <w:style w:type="paragraph" w:styleId="HTMLiankstoformatuotas">
    <w:name w:val="HTML Preformatted"/>
    <w:basedOn w:val="prastasis"/>
    <w:link w:val="HTMLiankstoformatuotasDiagrama"/>
    <w:uiPriority w:val="99"/>
    <w:unhideWhenUsed/>
    <w:rsid w:val="00F45B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eastAsia="Calibri" w:hAnsi="Consolas" w:cs="Courier New"/>
      <w:sz w:val="20"/>
      <w:szCs w:val="20"/>
    </w:rPr>
  </w:style>
  <w:style w:type="character" w:customStyle="1" w:styleId="HTMLiankstoformatuotasDiagrama">
    <w:name w:val="HTML iš anksto formatuotas Diagrama"/>
    <w:link w:val="HTMLiankstoformatuotas"/>
    <w:uiPriority w:val="99"/>
    <w:rsid w:val="00F45B28"/>
    <w:rPr>
      <w:rFonts w:ascii="Consolas" w:eastAsia="Calibri" w:hAnsi="Consolas" w:cs="Courier New"/>
    </w:rPr>
  </w:style>
  <w:style w:type="paragraph" w:styleId="Puslapioinaostekstas">
    <w:name w:val="footnote text"/>
    <w:basedOn w:val="prastasis"/>
    <w:link w:val="PuslapioinaostekstasDiagrama"/>
    <w:uiPriority w:val="99"/>
    <w:semiHidden/>
    <w:unhideWhenUsed/>
    <w:rsid w:val="00C6389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6389C"/>
    <w:rPr>
      <w:lang w:val="lt-LT" w:eastAsia="lt-LT"/>
    </w:rPr>
  </w:style>
  <w:style w:type="character" w:styleId="Puslapioinaosnuoroda">
    <w:name w:val="footnote reference"/>
    <w:basedOn w:val="Numatytasispastraiposriftas"/>
    <w:uiPriority w:val="99"/>
    <w:semiHidden/>
    <w:unhideWhenUsed/>
    <w:rsid w:val="00C6389C"/>
    <w:rPr>
      <w:vertAlign w:val="superscript"/>
    </w:rPr>
  </w:style>
  <w:style w:type="paragraph" w:customStyle="1" w:styleId="Normal1">
    <w:name w:val="Normal1"/>
    <w:basedOn w:val="prastasis"/>
    <w:rsid w:val="00BD705C"/>
    <w:pPr>
      <w:spacing w:before="100" w:beforeAutospacing="1" w:after="100" w:afterAutospacing="1" w:line="240" w:lineRule="auto"/>
    </w:pPr>
    <w:rPr>
      <w:rFonts w:ascii="Times New Roman" w:hAnsi="Times New Roman"/>
      <w:sz w:val="24"/>
      <w:szCs w:val="24"/>
      <w:lang w:val="en-US" w:eastAsia="en-US"/>
    </w:rPr>
  </w:style>
  <w:style w:type="paragraph" w:styleId="Pataisymai">
    <w:name w:val="Revision"/>
    <w:hidden/>
    <w:uiPriority w:val="99"/>
    <w:semiHidden/>
    <w:rsid w:val="00BD705C"/>
    <w:rPr>
      <w:sz w:val="22"/>
      <w:szCs w:val="22"/>
      <w:lang w:val="lt-LT" w:eastAsia="lt-LT"/>
    </w:rPr>
  </w:style>
  <w:style w:type="character" w:styleId="Hipersaitas">
    <w:name w:val="Hyperlink"/>
    <w:basedOn w:val="Numatytasispastraiposriftas"/>
    <w:uiPriority w:val="99"/>
    <w:unhideWhenUsed/>
    <w:rsid w:val="000052EC"/>
    <w:rPr>
      <w:color w:val="0000FF" w:themeColor="hyperlink"/>
      <w:u w:val="single"/>
    </w:rPr>
  </w:style>
  <w:style w:type="character" w:customStyle="1" w:styleId="UnresolvedMention1">
    <w:name w:val="Unresolved Mention1"/>
    <w:basedOn w:val="Numatytasispastraiposriftas"/>
    <w:uiPriority w:val="99"/>
    <w:semiHidden/>
    <w:unhideWhenUsed/>
    <w:rsid w:val="000052EC"/>
    <w:rPr>
      <w:color w:val="605E5C"/>
      <w:shd w:val="clear" w:color="auto" w:fill="E1DFDD"/>
    </w:rPr>
  </w:style>
  <w:style w:type="character" w:styleId="Perirtashipersaitas">
    <w:name w:val="FollowedHyperlink"/>
    <w:basedOn w:val="Numatytasispastraiposriftas"/>
    <w:uiPriority w:val="99"/>
    <w:semiHidden/>
    <w:unhideWhenUsed/>
    <w:rsid w:val="00CF3FAC"/>
    <w:rPr>
      <w:color w:val="800080" w:themeColor="followedHyperlink"/>
      <w:u w:val="single"/>
    </w:rPr>
  </w:style>
  <w:style w:type="paragraph" w:styleId="Dokumentoinaostekstas">
    <w:name w:val="endnote text"/>
    <w:basedOn w:val="prastasis"/>
    <w:link w:val="DokumentoinaostekstasDiagrama"/>
    <w:uiPriority w:val="99"/>
    <w:semiHidden/>
    <w:unhideWhenUsed/>
    <w:rsid w:val="005F6ACC"/>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F6ACC"/>
    <w:rPr>
      <w:lang w:val="lt-LT" w:eastAsia="lt-LT"/>
    </w:rPr>
  </w:style>
  <w:style w:type="character" w:styleId="Dokumentoinaosnumeris">
    <w:name w:val="endnote reference"/>
    <w:basedOn w:val="Numatytasispastraiposriftas"/>
    <w:uiPriority w:val="99"/>
    <w:semiHidden/>
    <w:unhideWhenUsed/>
    <w:rsid w:val="005F6ACC"/>
    <w:rPr>
      <w:vertAlign w:val="superscript"/>
    </w:rPr>
  </w:style>
  <w:style w:type="character" w:customStyle="1" w:styleId="SraopastraipaDiagrama">
    <w:name w:val="Sąrašo pastraipa Diagrama"/>
    <w:aliases w:val="1st level - Bullet List Paragraph Diagrama,Lettre d'introduction Diagrama,Normal bullet 2 Diagrama,Bullet list Diagrama,Listenabsatz1 Diagrama,Sąrašo pastraipa.Bullet Diagrama,Bullet EY Diagrama,Sąrašo pastraipa1 Diagrama"/>
    <w:link w:val="Sraopastraipa"/>
    <w:uiPriority w:val="34"/>
    <w:locked/>
    <w:rsid w:val="006C777B"/>
    <w:rPr>
      <w:sz w:val="22"/>
      <w:szCs w:val="22"/>
      <w:lang w:val="lt-LT" w:eastAsia="lt-LT"/>
    </w:rPr>
  </w:style>
  <w:style w:type="paragraph" w:customStyle="1" w:styleId="AssecoParagraphNormalFirstLine">
    <w:name w:val="Asseco Paragraph Normal First Line"/>
    <w:basedOn w:val="prastasis"/>
    <w:qFormat/>
    <w:rsid w:val="00DB5B1C"/>
    <w:pPr>
      <w:spacing w:after="0" w:line="240" w:lineRule="auto"/>
      <w:ind w:firstLine="709"/>
      <w:jc w:val="both"/>
    </w:pPr>
    <w:rPr>
      <w:szCs w:val="20"/>
      <w:lang w:eastAsia="pl-PL"/>
    </w:rPr>
  </w:style>
  <w:style w:type="character" w:customStyle="1" w:styleId="UnresolvedMention">
    <w:name w:val="Unresolved Mention"/>
    <w:basedOn w:val="Numatytasispastraiposriftas"/>
    <w:uiPriority w:val="99"/>
    <w:semiHidden/>
    <w:unhideWhenUsed/>
    <w:rsid w:val="00F37C5F"/>
    <w:rPr>
      <w:color w:val="605E5C"/>
      <w:shd w:val="clear" w:color="auto" w:fill="E1DFDD"/>
    </w:rPr>
  </w:style>
  <w:style w:type="paragraph" w:styleId="Paprastasistekstas">
    <w:name w:val="Plain Text"/>
    <w:basedOn w:val="prastasis"/>
    <w:link w:val="PaprastasistekstasDiagrama"/>
    <w:uiPriority w:val="99"/>
    <w:unhideWhenUsed/>
    <w:rsid w:val="00D43433"/>
    <w:pPr>
      <w:spacing w:after="0" w:line="240" w:lineRule="auto"/>
    </w:pPr>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rsid w:val="00D43433"/>
    <w:rPr>
      <w:rFonts w:ascii="Consolas" w:hAnsi="Consolas"/>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4814">
      <w:bodyDiv w:val="1"/>
      <w:marLeft w:val="0"/>
      <w:marRight w:val="0"/>
      <w:marTop w:val="0"/>
      <w:marBottom w:val="0"/>
      <w:divBdr>
        <w:top w:val="none" w:sz="0" w:space="0" w:color="auto"/>
        <w:left w:val="none" w:sz="0" w:space="0" w:color="auto"/>
        <w:bottom w:val="none" w:sz="0" w:space="0" w:color="auto"/>
        <w:right w:val="none" w:sz="0" w:space="0" w:color="auto"/>
      </w:divBdr>
    </w:div>
    <w:div w:id="21253665">
      <w:bodyDiv w:val="1"/>
      <w:marLeft w:val="0"/>
      <w:marRight w:val="0"/>
      <w:marTop w:val="0"/>
      <w:marBottom w:val="0"/>
      <w:divBdr>
        <w:top w:val="none" w:sz="0" w:space="0" w:color="auto"/>
        <w:left w:val="none" w:sz="0" w:space="0" w:color="auto"/>
        <w:bottom w:val="none" w:sz="0" w:space="0" w:color="auto"/>
        <w:right w:val="none" w:sz="0" w:space="0" w:color="auto"/>
      </w:divBdr>
    </w:div>
    <w:div w:id="101649208">
      <w:bodyDiv w:val="1"/>
      <w:marLeft w:val="0"/>
      <w:marRight w:val="0"/>
      <w:marTop w:val="0"/>
      <w:marBottom w:val="0"/>
      <w:divBdr>
        <w:top w:val="none" w:sz="0" w:space="0" w:color="auto"/>
        <w:left w:val="none" w:sz="0" w:space="0" w:color="auto"/>
        <w:bottom w:val="none" w:sz="0" w:space="0" w:color="auto"/>
        <w:right w:val="none" w:sz="0" w:space="0" w:color="auto"/>
      </w:divBdr>
    </w:div>
    <w:div w:id="114105227">
      <w:bodyDiv w:val="1"/>
      <w:marLeft w:val="0"/>
      <w:marRight w:val="0"/>
      <w:marTop w:val="0"/>
      <w:marBottom w:val="0"/>
      <w:divBdr>
        <w:top w:val="none" w:sz="0" w:space="0" w:color="auto"/>
        <w:left w:val="none" w:sz="0" w:space="0" w:color="auto"/>
        <w:bottom w:val="none" w:sz="0" w:space="0" w:color="auto"/>
        <w:right w:val="none" w:sz="0" w:space="0" w:color="auto"/>
      </w:divBdr>
      <w:divsChild>
        <w:div w:id="1711296621">
          <w:marLeft w:val="547"/>
          <w:marRight w:val="0"/>
          <w:marTop w:val="0"/>
          <w:marBottom w:val="0"/>
          <w:divBdr>
            <w:top w:val="none" w:sz="0" w:space="0" w:color="auto"/>
            <w:left w:val="none" w:sz="0" w:space="0" w:color="auto"/>
            <w:bottom w:val="none" w:sz="0" w:space="0" w:color="auto"/>
            <w:right w:val="none" w:sz="0" w:space="0" w:color="auto"/>
          </w:divBdr>
        </w:div>
      </w:divsChild>
    </w:div>
    <w:div w:id="183982145">
      <w:bodyDiv w:val="1"/>
      <w:marLeft w:val="0"/>
      <w:marRight w:val="0"/>
      <w:marTop w:val="0"/>
      <w:marBottom w:val="0"/>
      <w:divBdr>
        <w:top w:val="none" w:sz="0" w:space="0" w:color="auto"/>
        <w:left w:val="none" w:sz="0" w:space="0" w:color="auto"/>
        <w:bottom w:val="none" w:sz="0" w:space="0" w:color="auto"/>
        <w:right w:val="none" w:sz="0" w:space="0" w:color="auto"/>
      </w:divBdr>
    </w:div>
    <w:div w:id="218326605">
      <w:bodyDiv w:val="1"/>
      <w:marLeft w:val="0"/>
      <w:marRight w:val="0"/>
      <w:marTop w:val="0"/>
      <w:marBottom w:val="0"/>
      <w:divBdr>
        <w:top w:val="none" w:sz="0" w:space="0" w:color="auto"/>
        <w:left w:val="none" w:sz="0" w:space="0" w:color="auto"/>
        <w:bottom w:val="none" w:sz="0" w:space="0" w:color="auto"/>
        <w:right w:val="none" w:sz="0" w:space="0" w:color="auto"/>
      </w:divBdr>
    </w:div>
    <w:div w:id="220136583">
      <w:bodyDiv w:val="1"/>
      <w:marLeft w:val="0"/>
      <w:marRight w:val="0"/>
      <w:marTop w:val="0"/>
      <w:marBottom w:val="0"/>
      <w:divBdr>
        <w:top w:val="none" w:sz="0" w:space="0" w:color="auto"/>
        <w:left w:val="none" w:sz="0" w:space="0" w:color="auto"/>
        <w:bottom w:val="none" w:sz="0" w:space="0" w:color="auto"/>
        <w:right w:val="none" w:sz="0" w:space="0" w:color="auto"/>
      </w:divBdr>
      <w:divsChild>
        <w:div w:id="114449379">
          <w:marLeft w:val="0"/>
          <w:marRight w:val="0"/>
          <w:marTop w:val="0"/>
          <w:marBottom w:val="0"/>
          <w:divBdr>
            <w:top w:val="none" w:sz="0" w:space="0" w:color="auto"/>
            <w:left w:val="none" w:sz="0" w:space="0" w:color="auto"/>
            <w:bottom w:val="none" w:sz="0" w:space="0" w:color="auto"/>
            <w:right w:val="none" w:sz="0" w:space="0" w:color="auto"/>
          </w:divBdr>
          <w:divsChild>
            <w:div w:id="938638090">
              <w:marLeft w:val="0"/>
              <w:marRight w:val="0"/>
              <w:marTop w:val="0"/>
              <w:marBottom w:val="0"/>
              <w:divBdr>
                <w:top w:val="none" w:sz="0" w:space="0" w:color="auto"/>
                <w:left w:val="none" w:sz="0" w:space="0" w:color="auto"/>
                <w:bottom w:val="none" w:sz="0" w:space="0" w:color="auto"/>
                <w:right w:val="none" w:sz="0" w:space="0" w:color="auto"/>
              </w:divBdr>
              <w:divsChild>
                <w:div w:id="1973436972">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226260252">
      <w:bodyDiv w:val="1"/>
      <w:marLeft w:val="0"/>
      <w:marRight w:val="0"/>
      <w:marTop w:val="0"/>
      <w:marBottom w:val="0"/>
      <w:divBdr>
        <w:top w:val="none" w:sz="0" w:space="0" w:color="auto"/>
        <w:left w:val="none" w:sz="0" w:space="0" w:color="auto"/>
        <w:bottom w:val="none" w:sz="0" w:space="0" w:color="auto"/>
        <w:right w:val="none" w:sz="0" w:space="0" w:color="auto"/>
      </w:divBdr>
    </w:div>
    <w:div w:id="229467704">
      <w:bodyDiv w:val="1"/>
      <w:marLeft w:val="0"/>
      <w:marRight w:val="0"/>
      <w:marTop w:val="0"/>
      <w:marBottom w:val="0"/>
      <w:divBdr>
        <w:top w:val="none" w:sz="0" w:space="0" w:color="auto"/>
        <w:left w:val="none" w:sz="0" w:space="0" w:color="auto"/>
        <w:bottom w:val="none" w:sz="0" w:space="0" w:color="auto"/>
        <w:right w:val="none" w:sz="0" w:space="0" w:color="auto"/>
      </w:divBdr>
      <w:divsChild>
        <w:div w:id="1529105637">
          <w:marLeft w:val="547"/>
          <w:marRight w:val="0"/>
          <w:marTop w:val="0"/>
          <w:marBottom w:val="0"/>
          <w:divBdr>
            <w:top w:val="none" w:sz="0" w:space="0" w:color="auto"/>
            <w:left w:val="none" w:sz="0" w:space="0" w:color="auto"/>
            <w:bottom w:val="none" w:sz="0" w:space="0" w:color="auto"/>
            <w:right w:val="none" w:sz="0" w:space="0" w:color="auto"/>
          </w:divBdr>
        </w:div>
        <w:div w:id="1574849361">
          <w:marLeft w:val="547"/>
          <w:marRight w:val="0"/>
          <w:marTop w:val="0"/>
          <w:marBottom w:val="0"/>
          <w:divBdr>
            <w:top w:val="none" w:sz="0" w:space="0" w:color="auto"/>
            <w:left w:val="none" w:sz="0" w:space="0" w:color="auto"/>
            <w:bottom w:val="none" w:sz="0" w:space="0" w:color="auto"/>
            <w:right w:val="none" w:sz="0" w:space="0" w:color="auto"/>
          </w:divBdr>
        </w:div>
        <w:div w:id="207108139">
          <w:marLeft w:val="547"/>
          <w:marRight w:val="0"/>
          <w:marTop w:val="0"/>
          <w:marBottom w:val="0"/>
          <w:divBdr>
            <w:top w:val="none" w:sz="0" w:space="0" w:color="auto"/>
            <w:left w:val="none" w:sz="0" w:space="0" w:color="auto"/>
            <w:bottom w:val="none" w:sz="0" w:space="0" w:color="auto"/>
            <w:right w:val="none" w:sz="0" w:space="0" w:color="auto"/>
          </w:divBdr>
        </w:div>
        <w:div w:id="1081221855">
          <w:marLeft w:val="547"/>
          <w:marRight w:val="0"/>
          <w:marTop w:val="0"/>
          <w:marBottom w:val="0"/>
          <w:divBdr>
            <w:top w:val="none" w:sz="0" w:space="0" w:color="auto"/>
            <w:left w:val="none" w:sz="0" w:space="0" w:color="auto"/>
            <w:bottom w:val="none" w:sz="0" w:space="0" w:color="auto"/>
            <w:right w:val="none" w:sz="0" w:space="0" w:color="auto"/>
          </w:divBdr>
        </w:div>
        <w:div w:id="862018331">
          <w:marLeft w:val="547"/>
          <w:marRight w:val="0"/>
          <w:marTop w:val="0"/>
          <w:marBottom w:val="0"/>
          <w:divBdr>
            <w:top w:val="none" w:sz="0" w:space="0" w:color="auto"/>
            <w:left w:val="none" w:sz="0" w:space="0" w:color="auto"/>
            <w:bottom w:val="none" w:sz="0" w:space="0" w:color="auto"/>
            <w:right w:val="none" w:sz="0" w:space="0" w:color="auto"/>
          </w:divBdr>
        </w:div>
        <w:div w:id="759257905">
          <w:marLeft w:val="547"/>
          <w:marRight w:val="0"/>
          <w:marTop w:val="0"/>
          <w:marBottom w:val="0"/>
          <w:divBdr>
            <w:top w:val="none" w:sz="0" w:space="0" w:color="auto"/>
            <w:left w:val="none" w:sz="0" w:space="0" w:color="auto"/>
            <w:bottom w:val="none" w:sz="0" w:space="0" w:color="auto"/>
            <w:right w:val="none" w:sz="0" w:space="0" w:color="auto"/>
          </w:divBdr>
        </w:div>
        <w:div w:id="1721317808">
          <w:marLeft w:val="547"/>
          <w:marRight w:val="0"/>
          <w:marTop w:val="0"/>
          <w:marBottom w:val="0"/>
          <w:divBdr>
            <w:top w:val="none" w:sz="0" w:space="0" w:color="auto"/>
            <w:left w:val="none" w:sz="0" w:space="0" w:color="auto"/>
            <w:bottom w:val="none" w:sz="0" w:space="0" w:color="auto"/>
            <w:right w:val="none" w:sz="0" w:space="0" w:color="auto"/>
          </w:divBdr>
        </w:div>
        <w:div w:id="516845806">
          <w:marLeft w:val="547"/>
          <w:marRight w:val="0"/>
          <w:marTop w:val="0"/>
          <w:marBottom w:val="0"/>
          <w:divBdr>
            <w:top w:val="none" w:sz="0" w:space="0" w:color="auto"/>
            <w:left w:val="none" w:sz="0" w:space="0" w:color="auto"/>
            <w:bottom w:val="none" w:sz="0" w:space="0" w:color="auto"/>
            <w:right w:val="none" w:sz="0" w:space="0" w:color="auto"/>
          </w:divBdr>
        </w:div>
      </w:divsChild>
    </w:div>
    <w:div w:id="326517535">
      <w:bodyDiv w:val="1"/>
      <w:marLeft w:val="0"/>
      <w:marRight w:val="0"/>
      <w:marTop w:val="0"/>
      <w:marBottom w:val="0"/>
      <w:divBdr>
        <w:top w:val="none" w:sz="0" w:space="0" w:color="auto"/>
        <w:left w:val="none" w:sz="0" w:space="0" w:color="auto"/>
        <w:bottom w:val="none" w:sz="0" w:space="0" w:color="auto"/>
        <w:right w:val="none" w:sz="0" w:space="0" w:color="auto"/>
      </w:divBdr>
    </w:div>
    <w:div w:id="385028620">
      <w:bodyDiv w:val="1"/>
      <w:marLeft w:val="0"/>
      <w:marRight w:val="0"/>
      <w:marTop w:val="0"/>
      <w:marBottom w:val="0"/>
      <w:divBdr>
        <w:top w:val="none" w:sz="0" w:space="0" w:color="auto"/>
        <w:left w:val="none" w:sz="0" w:space="0" w:color="auto"/>
        <w:bottom w:val="none" w:sz="0" w:space="0" w:color="auto"/>
        <w:right w:val="none" w:sz="0" w:space="0" w:color="auto"/>
      </w:divBdr>
    </w:div>
    <w:div w:id="421491103">
      <w:bodyDiv w:val="1"/>
      <w:marLeft w:val="0"/>
      <w:marRight w:val="0"/>
      <w:marTop w:val="0"/>
      <w:marBottom w:val="0"/>
      <w:divBdr>
        <w:top w:val="none" w:sz="0" w:space="0" w:color="auto"/>
        <w:left w:val="none" w:sz="0" w:space="0" w:color="auto"/>
        <w:bottom w:val="none" w:sz="0" w:space="0" w:color="auto"/>
        <w:right w:val="none" w:sz="0" w:space="0" w:color="auto"/>
      </w:divBdr>
    </w:div>
    <w:div w:id="582108355">
      <w:bodyDiv w:val="1"/>
      <w:marLeft w:val="0"/>
      <w:marRight w:val="0"/>
      <w:marTop w:val="0"/>
      <w:marBottom w:val="0"/>
      <w:divBdr>
        <w:top w:val="none" w:sz="0" w:space="0" w:color="auto"/>
        <w:left w:val="none" w:sz="0" w:space="0" w:color="auto"/>
        <w:bottom w:val="none" w:sz="0" w:space="0" w:color="auto"/>
        <w:right w:val="none" w:sz="0" w:space="0" w:color="auto"/>
      </w:divBdr>
    </w:div>
    <w:div w:id="606698537">
      <w:bodyDiv w:val="1"/>
      <w:marLeft w:val="0"/>
      <w:marRight w:val="0"/>
      <w:marTop w:val="0"/>
      <w:marBottom w:val="0"/>
      <w:divBdr>
        <w:top w:val="none" w:sz="0" w:space="0" w:color="auto"/>
        <w:left w:val="none" w:sz="0" w:space="0" w:color="auto"/>
        <w:bottom w:val="none" w:sz="0" w:space="0" w:color="auto"/>
        <w:right w:val="none" w:sz="0" w:space="0" w:color="auto"/>
      </w:divBdr>
    </w:div>
    <w:div w:id="684135834">
      <w:bodyDiv w:val="1"/>
      <w:marLeft w:val="0"/>
      <w:marRight w:val="0"/>
      <w:marTop w:val="0"/>
      <w:marBottom w:val="0"/>
      <w:divBdr>
        <w:top w:val="none" w:sz="0" w:space="0" w:color="auto"/>
        <w:left w:val="none" w:sz="0" w:space="0" w:color="auto"/>
        <w:bottom w:val="none" w:sz="0" w:space="0" w:color="auto"/>
        <w:right w:val="none" w:sz="0" w:space="0" w:color="auto"/>
      </w:divBdr>
    </w:div>
    <w:div w:id="768425161">
      <w:bodyDiv w:val="1"/>
      <w:marLeft w:val="0"/>
      <w:marRight w:val="0"/>
      <w:marTop w:val="0"/>
      <w:marBottom w:val="0"/>
      <w:divBdr>
        <w:top w:val="none" w:sz="0" w:space="0" w:color="auto"/>
        <w:left w:val="none" w:sz="0" w:space="0" w:color="auto"/>
        <w:bottom w:val="none" w:sz="0" w:space="0" w:color="auto"/>
        <w:right w:val="none" w:sz="0" w:space="0" w:color="auto"/>
      </w:divBdr>
    </w:div>
    <w:div w:id="822770338">
      <w:bodyDiv w:val="1"/>
      <w:marLeft w:val="0"/>
      <w:marRight w:val="0"/>
      <w:marTop w:val="0"/>
      <w:marBottom w:val="0"/>
      <w:divBdr>
        <w:top w:val="none" w:sz="0" w:space="0" w:color="auto"/>
        <w:left w:val="none" w:sz="0" w:space="0" w:color="auto"/>
        <w:bottom w:val="none" w:sz="0" w:space="0" w:color="auto"/>
        <w:right w:val="none" w:sz="0" w:space="0" w:color="auto"/>
      </w:divBdr>
    </w:div>
    <w:div w:id="1048913682">
      <w:bodyDiv w:val="1"/>
      <w:marLeft w:val="0"/>
      <w:marRight w:val="0"/>
      <w:marTop w:val="0"/>
      <w:marBottom w:val="0"/>
      <w:divBdr>
        <w:top w:val="none" w:sz="0" w:space="0" w:color="auto"/>
        <w:left w:val="none" w:sz="0" w:space="0" w:color="auto"/>
        <w:bottom w:val="none" w:sz="0" w:space="0" w:color="auto"/>
        <w:right w:val="none" w:sz="0" w:space="0" w:color="auto"/>
      </w:divBdr>
    </w:div>
    <w:div w:id="1161584984">
      <w:bodyDiv w:val="1"/>
      <w:marLeft w:val="0"/>
      <w:marRight w:val="0"/>
      <w:marTop w:val="0"/>
      <w:marBottom w:val="0"/>
      <w:divBdr>
        <w:top w:val="none" w:sz="0" w:space="0" w:color="auto"/>
        <w:left w:val="none" w:sz="0" w:space="0" w:color="auto"/>
        <w:bottom w:val="none" w:sz="0" w:space="0" w:color="auto"/>
        <w:right w:val="none" w:sz="0" w:space="0" w:color="auto"/>
      </w:divBdr>
    </w:div>
    <w:div w:id="1288856863">
      <w:bodyDiv w:val="1"/>
      <w:marLeft w:val="0"/>
      <w:marRight w:val="0"/>
      <w:marTop w:val="0"/>
      <w:marBottom w:val="0"/>
      <w:divBdr>
        <w:top w:val="none" w:sz="0" w:space="0" w:color="auto"/>
        <w:left w:val="none" w:sz="0" w:space="0" w:color="auto"/>
        <w:bottom w:val="none" w:sz="0" w:space="0" w:color="auto"/>
        <w:right w:val="none" w:sz="0" w:space="0" w:color="auto"/>
      </w:divBdr>
    </w:div>
    <w:div w:id="1305888927">
      <w:bodyDiv w:val="1"/>
      <w:marLeft w:val="0"/>
      <w:marRight w:val="0"/>
      <w:marTop w:val="0"/>
      <w:marBottom w:val="0"/>
      <w:divBdr>
        <w:top w:val="none" w:sz="0" w:space="0" w:color="auto"/>
        <w:left w:val="none" w:sz="0" w:space="0" w:color="auto"/>
        <w:bottom w:val="none" w:sz="0" w:space="0" w:color="auto"/>
        <w:right w:val="none" w:sz="0" w:space="0" w:color="auto"/>
      </w:divBdr>
    </w:div>
    <w:div w:id="1379890851">
      <w:bodyDiv w:val="1"/>
      <w:marLeft w:val="0"/>
      <w:marRight w:val="0"/>
      <w:marTop w:val="0"/>
      <w:marBottom w:val="0"/>
      <w:divBdr>
        <w:top w:val="none" w:sz="0" w:space="0" w:color="auto"/>
        <w:left w:val="none" w:sz="0" w:space="0" w:color="auto"/>
        <w:bottom w:val="none" w:sz="0" w:space="0" w:color="auto"/>
        <w:right w:val="none" w:sz="0" w:space="0" w:color="auto"/>
      </w:divBdr>
    </w:div>
    <w:div w:id="1439107907">
      <w:bodyDiv w:val="1"/>
      <w:marLeft w:val="0"/>
      <w:marRight w:val="0"/>
      <w:marTop w:val="0"/>
      <w:marBottom w:val="0"/>
      <w:divBdr>
        <w:top w:val="none" w:sz="0" w:space="0" w:color="auto"/>
        <w:left w:val="none" w:sz="0" w:space="0" w:color="auto"/>
        <w:bottom w:val="none" w:sz="0" w:space="0" w:color="auto"/>
        <w:right w:val="none" w:sz="0" w:space="0" w:color="auto"/>
      </w:divBdr>
    </w:div>
    <w:div w:id="1467699784">
      <w:bodyDiv w:val="1"/>
      <w:marLeft w:val="0"/>
      <w:marRight w:val="0"/>
      <w:marTop w:val="0"/>
      <w:marBottom w:val="0"/>
      <w:divBdr>
        <w:top w:val="none" w:sz="0" w:space="0" w:color="auto"/>
        <w:left w:val="none" w:sz="0" w:space="0" w:color="auto"/>
        <w:bottom w:val="none" w:sz="0" w:space="0" w:color="auto"/>
        <w:right w:val="none" w:sz="0" w:space="0" w:color="auto"/>
      </w:divBdr>
    </w:div>
    <w:div w:id="1518227254">
      <w:bodyDiv w:val="1"/>
      <w:marLeft w:val="0"/>
      <w:marRight w:val="0"/>
      <w:marTop w:val="0"/>
      <w:marBottom w:val="0"/>
      <w:divBdr>
        <w:top w:val="none" w:sz="0" w:space="0" w:color="auto"/>
        <w:left w:val="none" w:sz="0" w:space="0" w:color="auto"/>
        <w:bottom w:val="none" w:sz="0" w:space="0" w:color="auto"/>
        <w:right w:val="none" w:sz="0" w:space="0" w:color="auto"/>
      </w:divBdr>
    </w:div>
    <w:div w:id="1635258049">
      <w:bodyDiv w:val="1"/>
      <w:marLeft w:val="0"/>
      <w:marRight w:val="0"/>
      <w:marTop w:val="0"/>
      <w:marBottom w:val="0"/>
      <w:divBdr>
        <w:top w:val="none" w:sz="0" w:space="0" w:color="auto"/>
        <w:left w:val="none" w:sz="0" w:space="0" w:color="auto"/>
        <w:bottom w:val="none" w:sz="0" w:space="0" w:color="auto"/>
        <w:right w:val="none" w:sz="0" w:space="0" w:color="auto"/>
      </w:divBdr>
    </w:div>
    <w:div w:id="1690907112">
      <w:bodyDiv w:val="1"/>
      <w:marLeft w:val="0"/>
      <w:marRight w:val="0"/>
      <w:marTop w:val="0"/>
      <w:marBottom w:val="0"/>
      <w:divBdr>
        <w:top w:val="none" w:sz="0" w:space="0" w:color="auto"/>
        <w:left w:val="none" w:sz="0" w:space="0" w:color="auto"/>
        <w:bottom w:val="none" w:sz="0" w:space="0" w:color="auto"/>
        <w:right w:val="none" w:sz="0" w:space="0" w:color="auto"/>
      </w:divBdr>
    </w:div>
    <w:div w:id="1760132447">
      <w:bodyDiv w:val="1"/>
      <w:marLeft w:val="0"/>
      <w:marRight w:val="0"/>
      <w:marTop w:val="0"/>
      <w:marBottom w:val="0"/>
      <w:divBdr>
        <w:top w:val="none" w:sz="0" w:space="0" w:color="auto"/>
        <w:left w:val="none" w:sz="0" w:space="0" w:color="auto"/>
        <w:bottom w:val="none" w:sz="0" w:space="0" w:color="auto"/>
        <w:right w:val="none" w:sz="0" w:space="0" w:color="auto"/>
      </w:divBdr>
    </w:div>
    <w:div w:id="1864395807">
      <w:bodyDiv w:val="1"/>
      <w:marLeft w:val="0"/>
      <w:marRight w:val="0"/>
      <w:marTop w:val="0"/>
      <w:marBottom w:val="0"/>
      <w:divBdr>
        <w:top w:val="none" w:sz="0" w:space="0" w:color="auto"/>
        <w:left w:val="none" w:sz="0" w:space="0" w:color="auto"/>
        <w:bottom w:val="none" w:sz="0" w:space="0" w:color="auto"/>
        <w:right w:val="none" w:sz="0" w:space="0" w:color="auto"/>
      </w:divBdr>
      <w:divsChild>
        <w:div w:id="462968234">
          <w:marLeft w:val="0"/>
          <w:marRight w:val="0"/>
          <w:marTop w:val="0"/>
          <w:marBottom w:val="0"/>
          <w:divBdr>
            <w:top w:val="none" w:sz="0" w:space="0" w:color="auto"/>
            <w:left w:val="none" w:sz="0" w:space="0" w:color="auto"/>
            <w:bottom w:val="none" w:sz="0" w:space="0" w:color="auto"/>
            <w:right w:val="none" w:sz="0" w:space="0" w:color="auto"/>
          </w:divBdr>
          <w:divsChild>
            <w:div w:id="647591091">
              <w:marLeft w:val="0"/>
              <w:marRight w:val="0"/>
              <w:marTop w:val="0"/>
              <w:marBottom w:val="0"/>
              <w:divBdr>
                <w:top w:val="none" w:sz="0" w:space="0" w:color="auto"/>
                <w:left w:val="none" w:sz="0" w:space="0" w:color="auto"/>
                <w:bottom w:val="none" w:sz="0" w:space="0" w:color="auto"/>
                <w:right w:val="none" w:sz="0" w:space="0" w:color="auto"/>
              </w:divBdr>
              <w:divsChild>
                <w:div w:id="1024212003">
                  <w:marLeft w:val="0"/>
                  <w:marRight w:val="0"/>
                  <w:marTop w:val="0"/>
                  <w:marBottom w:val="0"/>
                  <w:divBdr>
                    <w:top w:val="none" w:sz="0" w:space="0" w:color="auto"/>
                    <w:left w:val="none" w:sz="0" w:space="0" w:color="auto"/>
                    <w:bottom w:val="none" w:sz="0" w:space="0" w:color="auto"/>
                    <w:right w:val="none" w:sz="0" w:space="0" w:color="auto"/>
                  </w:divBdr>
                  <w:divsChild>
                    <w:div w:id="2007005894">
                      <w:marLeft w:val="0"/>
                      <w:marRight w:val="0"/>
                      <w:marTop w:val="0"/>
                      <w:marBottom w:val="0"/>
                      <w:divBdr>
                        <w:top w:val="none" w:sz="0" w:space="0" w:color="auto"/>
                        <w:left w:val="none" w:sz="0" w:space="0" w:color="auto"/>
                        <w:bottom w:val="none" w:sz="0" w:space="0" w:color="auto"/>
                        <w:right w:val="none" w:sz="0" w:space="0" w:color="auto"/>
                      </w:divBdr>
                    </w:div>
                    <w:div w:id="568617113">
                      <w:marLeft w:val="0"/>
                      <w:marRight w:val="0"/>
                      <w:marTop w:val="0"/>
                      <w:marBottom w:val="0"/>
                      <w:divBdr>
                        <w:top w:val="none" w:sz="0" w:space="0" w:color="auto"/>
                        <w:left w:val="none" w:sz="0" w:space="0" w:color="auto"/>
                        <w:bottom w:val="none" w:sz="0" w:space="0" w:color="auto"/>
                        <w:right w:val="none" w:sz="0" w:space="0" w:color="auto"/>
                      </w:divBdr>
                    </w:div>
                    <w:div w:id="1462723075">
                      <w:marLeft w:val="0"/>
                      <w:marRight w:val="0"/>
                      <w:marTop w:val="0"/>
                      <w:marBottom w:val="0"/>
                      <w:divBdr>
                        <w:top w:val="none" w:sz="0" w:space="0" w:color="auto"/>
                        <w:left w:val="none" w:sz="0" w:space="0" w:color="auto"/>
                        <w:bottom w:val="none" w:sz="0" w:space="0" w:color="auto"/>
                        <w:right w:val="none" w:sz="0" w:space="0" w:color="auto"/>
                      </w:divBdr>
                    </w:div>
                    <w:div w:id="68251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415775">
      <w:bodyDiv w:val="1"/>
      <w:marLeft w:val="0"/>
      <w:marRight w:val="0"/>
      <w:marTop w:val="0"/>
      <w:marBottom w:val="0"/>
      <w:divBdr>
        <w:top w:val="none" w:sz="0" w:space="0" w:color="auto"/>
        <w:left w:val="none" w:sz="0" w:space="0" w:color="auto"/>
        <w:bottom w:val="none" w:sz="0" w:space="0" w:color="auto"/>
        <w:right w:val="none" w:sz="0" w:space="0" w:color="auto"/>
      </w:divBdr>
    </w:div>
    <w:div w:id="1919828062">
      <w:bodyDiv w:val="1"/>
      <w:marLeft w:val="0"/>
      <w:marRight w:val="0"/>
      <w:marTop w:val="0"/>
      <w:marBottom w:val="0"/>
      <w:divBdr>
        <w:top w:val="none" w:sz="0" w:space="0" w:color="auto"/>
        <w:left w:val="none" w:sz="0" w:space="0" w:color="auto"/>
        <w:bottom w:val="none" w:sz="0" w:space="0" w:color="auto"/>
        <w:right w:val="none" w:sz="0" w:space="0" w:color="auto"/>
      </w:divBdr>
    </w:div>
    <w:div w:id="1925333302">
      <w:bodyDiv w:val="1"/>
      <w:marLeft w:val="0"/>
      <w:marRight w:val="0"/>
      <w:marTop w:val="0"/>
      <w:marBottom w:val="0"/>
      <w:divBdr>
        <w:top w:val="none" w:sz="0" w:space="0" w:color="auto"/>
        <w:left w:val="none" w:sz="0" w:space="0" w:color="auto"/>
        <w:bottom w:val="none" w:sz="0" w:space="0" w:color="auto"/>
        <w:right w:val="none" w:sz="0" w:space="0" w:color="auto"/>
      </w:divBdr>
    </w:div>
    <w:div w:id="1935432491">
      <w:bodyDiv w:val="1"/>
      <w:marLeft w:val="0"/>
      <w:marRight w:val="0"/>
      <w:marTop w:val="0"/>
      <w:marBottom w:val="0"/>
      <w:divBdr>
        <w:top w:val="none" w:sz="0" w:space="0" w:color="auto"/>
        <w:left w:val="none" w:sz="0" w:space="0" w:color="auto"/>
        <w:bottom w:val="none" w:sz="0" w:space="0" w:color="auto"/>
        <w:right w:val="none" w:sz="0" w:space="0" w:color="auto"/>
      </w:divBdr>
    </w:div>
    <w:div w:id="1937519441">
      <w:bodyDiv w:val="1"/>
      <w:marLeft w:val="0"/>
      <w:marRight w:val="0"/>
      <w:marTop w:val="0"/>
      <w:marBottom w:val="0"/>
      <w:divBdr>
        <w:top w:val="none" w:sz="0" w:space="0" w:color="auto"/>
        <w:left w:val="none" w:sz="0" w:space="0" w:color="auto"/>
        <w:bottom w:val="none" w:sz="0" w:space="0" w:color="auto"/>
        <w:right w:val="none" w:sz="0" w:space="0" w:color="auto"/>
      </w:divBdr>
    </w:div>
    <w:div w:id="2017146401">
      <w:bodyDiv w:val="1"/>
      <w:marLeft w:val="0"/>
      <w:marRight w:val="0"/>
      <w:marTop w:val="0"/>
      <w:marBottom w:val="0"/>
      <w:divBdr>
        <w:top w:val="none" w:sz="0" w:space="0" w:color="auto"/>
        <w:left w:val="none" w:sz="0" w:space="0" w:color="auto"/>
        <w:bottom w:val="none" w:sz="0" w:space="0" w:color="auto"/>
        <w:right w:val="none" w:sz="0" w:space="0" w:color="auto"/>
      </w:divBdr>
    </w:div>
    <w:div w:id="2074962200">
      <w:bodyDiv w:val="1"/>
      <w:marLeft w:val="0"/>
      <w:marRight w:val="0"/>
      <w:marTop w:val="0"/>
      <w:marBottom w:val="0"/>
      <w:divBdr>
        <w:top w:val="none" w:sz="0" w:space="0" w:color="auto"/>
        <w:left w:val="none" w:sz="0" w:space="0" w:color="auto"/>
        <w:bottom w:val="none" w:sz="0" w:space="0" w:color="auto"/>
        <w:right w:val="none" w:sz="0" w:space="0" w:color="auto"/>
      </w:divBdr>
      <w:divsChild>
        <w:div w:id="1262030202">
          <w:marLeft w:val="0"/>
          <w:marRight w:val="0"/>
          <w:marTop w:val="0"/>
          <w:marBottom w:val="0"/>
          <w:divBdr>
            <w:top w:val="none" w:sz="0" w:space="0" w:color="auto"/>
            <w:left w:val="none" w:sz="0" w:space="0" w:color="auto"/>
            <w:bottom w:val="none" w:sz="0" w:space="0" w:color="auto"/>
            <w:right w:val="none" w:sz="0" w:space="0" w:color="auto"/>
          </w:divBdr>
          <w:divsChild>
            <w:div w:id="312376514">
              <w:marLeft w:val="0"/>
              <w:marRight w:val="0"/>
              <w:marTop w:val="0"/>
              <w:marBottom w:val="0"/>
              <w:divBdr>
                <w:top w:val="none" w:sz="0" w:space="0" w:color="auto"/>
                <w:left w:val="none" w:sz="0" w:space="0" w:color="auto"/>
                <w:bottom w:val="none" w:sz="0" w:space="0" w:color="auto"/>
                <w:right w:val="none" w:sz="0" w:space="0" w:color="auto"/>
              </w:divBdr>
              <w:divsChild>
                <w:div w:id="588201328">
                  <w:marLeft w:val="0"/>
                  <w:marRight w:val="0"/>
                  <w:marTop w:val="0"/>
                  <w:marBottom w:val="0"/>
                  <w:divBdr>
                    <w:top w:val="none" w:sz="0" w:space="0" w:color="auto"/>
                    <w:left w:val="none" w:sz="0" w:space="0" w:color="auto"/>
                    <w:bottom w:val="none" w:sz="0" w:space="0" w:color="auto"/>
                    <w:right w:val="none" w:sz="0" w:space="0" w:color="auto"/>
                  </w:divBdr>
                  <w:divsChild>
                    <w:div w:id="1793207599">
                      <w:marLeft w:val="0"/>
                      <w:marRight w:val="0"/>
                      <w:marTop w:val="0"/>
                      <w:marBottom w:val="0"/>
                      <w:divBdr>
                        <w:top w:val="none" w:sz="0" w:space="0" w:color="auto"/>
                        <w:left w:val="none" w:sz="0" w:space="0" w:color="auto"/>
                        <w:bottom w:val="none" w:sz="0" w:space="0" w:color="auto"/>
                        <w:right w:val="none" w:sz="0" w:space="0" w:color="auto"/>
                      </w:divBdr>
                    </w:div>
                    <w:div w:id="1883127232">
                      <w:marLeft w:val="0"/>
                      <w:marRight w:val="0"/>
                      <w:marTop w:val="0"/>
                      <w:marBottom w:val="0"/>
                      <w:divBdr>
                        <w:top w:val="none" w:sz="0" w:space="0" w:color="auto"/>
                        <w:left w:val="none" w:sz="0" w:space="0" w:color="auto"/>
                        <w:bottom w:val="none" w:sz="0" w:space="0" w:color="auto"/>
                        <w:right w:val="none" w:sz="0" w:space="0" w:color="auto"/>
                      </w:divBdr>
                    </w:div>
                    <w:div w:id="66270432">
                      <w:marLeft w:val="0"/>
                      <w:marRight w:val="0"/>
                      <w:marTop w:val="0"/>
                      <w:marBottom w:val="0"/>
                      <w:divBdr>
                        <w:top w:val="none" w:sz="0" w:space="0" w:color="auto"/>
                        <w:left w:val="none" w:sz="0" w:space="0" w:color="auto"/>
                        <w:bottom w:val="none" w:sz="0" w:space="0" w:color="auto"/>
                        <w:right w:val="none" w:sz="0" w:space="0" w:color="auto"/>
                      </w:divBdr>
                    </w:div>
                    <w:div w:id="2133088085">
                      <w:marLeft w:val="0"/>
                      <w:marRight w:val="0"/>
                      <w:marTop w:val="0"/>
                      <w:marBottom w:val="0"/>
                      <w:divBdr>
                        <w:top w:val="none" w:sz="0" w:space="0" w:color="auto"/>
                        <w:left w:val="none" w:sz="0" w:space="0" w:color="auto"/>
                        <w:bottom w:val="none" w:sz="0" w:space="0" w:color="auto"/>
                        <w:right w:val="none" w:sz="0" w:space="0" w:color="auto"/>
                      </w:divBdr>
                    </w:div>
                    <w:div w:id="1956132030">
                      <w:marLeft w:val="0"/>
                      <w:marRight w:val="0"/>
                      <w:marTop w:val="0"/>
                      <w:marBottom w:val="0"/>
                      <w:divBdr>
                        <w:top w:val="none" w:sz="0" w:space="0" w:color="auto"/>
                        <w:left w:val="none" w:sz="0" w:space="0" w:color="auto"/>
                        <w:bottom w:val="none" w:sz="0" w:space="0" w:color="auto"/>
                        <w:right w:val="none" w:sz="0" w:space="0" w:color="auto"/>
                      </w:divBdr>
                    </w:div>
                    <w:div w:id="26610498">
                      <w:marLeft w:val="0"/>
                      <w:marRight w:val="0"/>
                      <w:marTop w:val="0"/>
                      <w:marBottom w:val="0"/>
                      <w:divBdr>
                        <w:top w:val="none" w:sz="0" w:space="0" w:color="auto"/>
                        <w:left w:val="none" w:sz="0" w:space="0" w:color="auto"/>
                        <w:bottom w:val="none" w:sz="0" w:space="0" w:color="auto"/>
                        <w:right w:val="none" w:sz="0" w:space="0" w:color="auto"/>
                      </w:divBdr>
                    </w:div>
                    <w:div w:id="1600992890">
                      <w:marLeft w:val="0"/>
                      <w:marRight w:val="0"/>
                      <w:marTop w:val="0"/>
                      <w:marBottom w:val="0"/>
                      <w:divBdr>
                        <w:top w:val="none" w:sz="0" w:space="0" w:color="auto"/>
                        <w:left w:val="none" w:sz="0" w:space="0" w:color="auto"/>
                        <w:bottom w:val="none" w:sz="0" w:space="0" w:color="auto"/>
                        <w:right w:val="none" w:sz="0" w:space="0" w:color="auto"/>
                      </w:divBdr>
                    </w:div>
                    <w:div w:id="247234243">
                      <w:marLeft w:val="0"/>
                      <w:marRight w:val="0"/>
                      <w:marTop w:val="0"/>
                      <w:marBottom w:val="0"/>
                      <w:divBdr>
                        <w:top w:val="none" w:sz="0" w:space="0" w:color="auto"/>
                        <w:left w:val="none" w:sz="0" w:space="0" w:color="auto"/>
                        <w:bottom w:val="none" w:sz="0" w:space="0" w:color="auto"/>
                        <w:right w:val="none" w:sz="0" w:space="0" w:color="auto"/>
                      </w:divBdr>
                    </w:div>
                    <w:div w:id="501629613">
                      <w:marLeft w:val="0"/>
                      <w:marRight w:val="0"/>
                      <w:marTop w:val="0"/>
                      <w:marBottom w:val="0"/>
                      <w:divBdr>
                        <w:top w:val="none" w:sz="0" w:space="0" w:color="auto"/>
                        <w:left w:val="none" w:sz="0" w:space="0" w:color="auto"/>
                        <w:bottom w:val="none" w:sz="0" w:space="0" w:color="auto"/>
                        <w:right w:val="none" w:sz="0" w:space="0" w:color="auto"/>
                      </w:divBdr>
                    </w:div>
                    <w:div w:id="262736692">
                      <w:marLeft w:val="0"/>
                      <w:marRight w:val="0"/>
                      <w:marTop w:val="0"/>
                      <w:marBottom w:val="0"/>
                      <w:divBdr>
                        <w:top w:val="none" w:sz="0" w:space="0" w:color="auto"/>
                        <w:left w:val="none" w:sz="0" w:space="0" w:color="auto"/>
                        <w:bottom w:val="none" w:sz="0" w:space="0" w:color="auto"/>
                        <w:right w:val="none" w:sz="0" w:space="0" w:color="auto"/>
                      </w:divBdr>
                    </w:div>
                    <w:div w:id="116424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242664">
      <w:bodyDiv w:val="1"/>
      <w:marLeft w:val="0"/>
      <w:marRight w:val="0"/>
      <w:marTop w:val="0"/>
      <w:marBottom w:val="0"/>
      <w:divBdr>
        <w:top w:val="none" w:sz="0" w:space="0" w:color="auto"/>
        <w:left w:val="none" w:sz="0" w:space="0" w:color="auto"/>
        <w:bottom w:val="none" w:sz="0" w:space="0" w:color="auto"/>
        <w:right w:val="none" w:sz="0" w:space="0" w:color="auto"/>
      </w:divBdr>
    </w:div>
    <w:div w:id="2107311359">
      <w:bodyDiv w:val="1"/>
      <w:marLeft w:val="0"/>
      <w:marRight w:val="0"/>
      <w:marTop w:val="0"/>
      <w:marBottom w:val="0"/>
      <w:divBdr>
        <w:top w:val="none" w:sz="0" w:space="0" w:color="auto"/>
        <w:left w:val="none" w:sz="0" w:space="0" w:color="auto"/>
        <w:bottom w:val="none" w:sz="0" w:space="0" w:color="auto"/>
        <w:right w:val="none" w:sz="0" w:space="0" w:color="auto"/>
      </w:divBdr>
    </w:div>
    <w:div w:id="2107385195">
      <w:bodyDiv w:val="1"/>
      <w:marLeft w:val="0"/>
      <w:marRight w:val="0"/>
      <w:marTop w:val="0"/>
      <w:marBottom w:val="0"/>
      <w:divBdr>
        <w:top w:val="none" w:sz="0" w:space="0" w:color="auto"/>
        <w:left w:val="none" w:sz="0" w:space="0" w:color="auto"/>
        <w:bottom w:val="none" w:sz="0" w:space="0" w:color="auto"/>
        <w:right w:val="none" w:sz="0" w:space="0" w:color="auto"/>
      </w:divBdr>
    </w:div>
    <w:div w:id="2117367299">
      <w:bodyDiv w:val="1"/>
      <w:marLeft w:val="0"/>
      <w:marRight w:val="0"/>
      <w:marTop w:val="0"/>
      <w:marBottom w:val="0"/>
      <w:divBdr>
        <w:top w:val="none" w:sz="0" w:space="0" w:color="auto"/>
        <w:left w:val="none" w:sz="0" w:space="0" w:color="auto"/>
        <w:bottom w:val="none" w:sz="0" w:space="0" w:color="auto"/>
        <w:right w:val="none" w:sz="0" w:space="0" w:color="auto"/>
      </w:divBdr>
    </w:div>
    <w:div w:id="212306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commission/presscorner/detail/en/ip_21_1901"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5DAE4679EE5F7C4C9967BB65C039D974" ma:contentTypeVersion="13" ma:contentTypeDescription="Kurkite naują dokumentą." ma:contentTypeScope="" ma:versionID="4d9d106fc3fc2e3225806b959c9c3470">
  <xsd:schema xmlns:xsd="http://www.w3.org/2001/XMLSchema" xmlns:xs="http://www.w3.org/2001/XMLSchema" xmlns:p="http://schemas.microsoft.com/office/2006/metadata/properties" xmlns:ns3="f8676f13-739e-41b6-9992-d2ccb9e6eed2" xmlns:ns4="31a78ef5-80c4-40c8-981a-a7e14947a873" targetNamespace="http://schemas.microsoft.com/office/2006/metadata/properties" ma:root="true" ma:fieldsID="3d21dcdc1961c9a48dfad247baafdaf0" ns3:_="" ns4:_="">
    <xsd:import namespace="f8676f13-739e-41b6-9992-d2ccb9e6eed2"/>
    <xsd:import namespace="31a78ef5-80c4-40c8-981a-a7e14947a87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76f13-739e-41b6-9992-d2ccb9e6e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78ef5-80c4-40c8-981a-a7e14947a873"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215D2-1658-4357-A900-5E1DBA4DE593}">
  <ds:schemaRefs>
    <ds:schemaRef ds:uri="http://schemas.microsoft.com/sharepoint/v3/contenttype/forms"/>
  </ds:schemaRefs>
</ds:datastoreItem>
</file>

<file path=customXml/itemProps2.xml><?xml version="1.0" encoding="utf-8"?>
<ds:datastoreItem xmlns:ds="http://schemas.openxmlformats.org/officeDocument/2006/customXml" ds:itemID="{52D40309-BB9B-402B-9479-B98E1D33B2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F1B7EC-F587-42FE-915B-590EB49C7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76f13-739e-41b6-9992-d2ccb9e6eed2"/>
    <ds:schemaRef ds:uri="31a78ef5-80c4-40c8-981a-a7e14947a8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02BB4A-A739-401F-972B-847983191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29059</Words>
  <Characters>16564</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2021-11-30T11:05:00Z</dcterms:created>
  <dcterms:modified xsi:type="dcterms:W3CDTF">2021-11-30T17:59:00Z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0x0101005DAE4679EE5F7C4C9967BB65C039D974</vt:lpwstr>
  </property>
  <property fmtid="{D5CDD505-2E9C-101B-9397-08002B2CF9AE}" pid="3" name="Order">
    <vt:r8>3467600</vt:r8>
  </property>
  <property fmtid="{D5CDD505-2E9C-101B-9397-08002B2CF9AE}" pid="4" name="ComplianceAssetId">
    <vt:lpwstr/>
  </property>
  <property fmtid="{D5CDD505-2E9C-101B-9397-08002B2CF9AE}" pid="5" name="_dlc_DocIdItemGuid">
    <vt:lpwstr>8f09c8b3-8d00-498a-ad24-934e0d562556</vt:lpwstr>
  </property>
</Properties>
</file>