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81221" w14:textId="77777777" w:rsidR="003F0F08" w:rsidRPr="00E41EF1" w:rsidRDefault="00C21E17" w:rsidP="006D2FE1">
      <w:pPr>
        <w:ind w:left="6379"/>
        <w:rPr>
          <w:b/>
          <w:szCs w:val="24"/>
        </w:rPr>
      </w:pPr>
      <w:r w:rsidRPr="00E41EF1">
        <w:rPr>
          <w:b/>
          <w:szCs w:val="24"/>
        </w:rPr>
        <w:t>Projekt</w:t>
      </w:r>
      <w:r w:rsidR="00140E85" w:rsidRPr="00E41EF1">
        <w:rPr>
          <w:b/>
          <w:szCs w:val="24"/>
        </w:rPr>
        <w:t xml:space="preserve">o </w:t>
      </w:r>
    </w:p>
    <w:p w14:paraId="593F8419" w14:textId="6B3259B3" w:rsidR="00C21E17" w:rsidRPr="00E41EF1" w:rsidRDefault="00140E85" w:rsidP="006D2FE1">
      <w:pPr>
        <w:ind w:left="6379"/>
        <w:rPr>
          <w:b/>
          <w:szCs w:val="24"/>
        </w:rPr>
      </w:pPr>
      <w:r w:rsidRPr="00E41EF1">
        <w:rPr>
          <w:b/>
          <w:szCs w:val="24"/>
        </w:rPr>
        <w:t>lyginamasis variantas</w:t>
      </w:r>
    </w:p>
    <w:p w14:paraId="441293B0" w14:textId="77777777" w:rsidR="00093957" w:rsidRPr="00E41EF1" w:rsidRDefault="00093957" w:rsidP="006D2FE1">
      <w:pPr>
        <w:jc w:val="center"/>
        <w:rPr>
          <w:caps/>
          <w:szCs w:val="24"/>
        </w:rPr>
      </w:pPr>
    </w:p>
    <w:p w14:paraId="5E27BCB8" w14:textId="3A91C8E0" w:rsidR="00C21E17" w:rsidRPr="00E41EF1" w:rsidRDefault="00C21E17" w:rsidP="006D2FE1">
      <w:pPr>
        <w:jc w:val="center"/>
        <w:rPr>
          <w:b/>
          <w:bCs/>
          <w:caps/>
          <w:szCs w:val="24"/>
        </w:rPr>
      </w:pPr>
      <w:r w:rsidRPr="00E41EF1">
        <w:rPr>
          <w:b/>
          <w:bCs/>
          <w:caps/>
          <w:szCs w:val="24"/>
        </w:rPr>
        <w:t>LIETUVOS RESPUBLIKOS</w:t>
      </w:r>
      <w:r w:rsidR="00A91496" w:rsidRPr="00E41EF1">
        <w:rPr>
          <w:b/>
          <w:bCs/>
          <w:caps/>
          <w:szCs w:val="24"/>
        </w:rPr>
        <w:t xml:space="preserve"> vyriausybė</w:t>
      </w:r>
    </w:p>
    <w:p w14:paraId="737392AD" w14:textId="77777777" w:rsidR="00417237" w:rsidRPr="00E41EF1" w:rsidRDefault="00417237" w:rsidP="006D2FE1">
      <w:pPr>
        <w:jc w:val="center"/>
        <w:rPr>
          <w:b/>
          <w:bCs/>
          <w:caps/>
          <w:szCs w:val="24"/>
        </w:rPr>
      </w:pPr>
    </w:p>
    <w:p w14:paraId="7C7E1C11" w14:textId="77777777" w:rsidR="0088518C" w:rsidRPr="00E41EF1" w:rsidRDefault="0088518C" w:rsidP="006D2FE1">
      <w:pPr>
        <w:jc w:val="center"/>
        <w:rPr>
          <w:b/>
          <w:bCs/>
          <w:caps/>
          <w:szCs w:val="24"/>
        </w:rPr>
      </w:pPr>
      <w:r w:rsidRPr="00E41EF1">
        <w:rPr>
          <w:b/>
          <w:bCs/>
          <w:caps/>
          <w:szCs w:val="24"/>
        </w:rPr>
        <w:t>NUTARIMAS</w:t>
      </w:r>
    </w:p>
    <w:p w14:paraId="0D07A75F" w14:textId="4705EF27" w:rsidR="0088518C" w:rsidRPr="00E41EF1" w:rsidRDefault="0088518C" w:rsidP="006D2FE1">
      <w:pPr>
        <w:jc w:val="center"/>
        <w:rPr>
          <w:b/>
          <w:caps/>
          <w:szCs w:val="24"/>
        </w:rPr>
      </w:pPr>
      <w:r w:rsidRPr="00E41EF1">
        <w:rPr>
          <w:b/>
          <w:caps/>
          <w:szCs w:val="24"/>
        </w:rPr>
        <w:t xml:space="preserve">DĖL LIETUVOS RESPUBLIKOS VYRIAUSYBĖS </w:t>
      </w:r>
      <w:r w:rsidR="004E2CD6" w:rsidRPr="004E2CD6">
        <w:rPr>
          <w:b/>
          <w:caps/>
          <w:szCs w:val="24"/>
        </w:rPr>
        <w:t>2002 M. GRUODŽIO 5 D. NUTARIMO NR. 1901 „DĖL NAFTOS PRODUKTŲ IR NAFTOS VALSTYBĖS ATSARGŲ SUDARYMO REGLAMENTAVIMO, TVARKYMO, KAUPIMO, NAUDOJIMO IR PRIEŽIŪROS TAISYKLIŲ</w:t>
      </w:r>
      <w:r w:rsidR="006F3E3F" w:rsidRPr="00E41EF1">
        <w:rPr>
          <w:b/>
          <w:caps/>
          <w:szCs w:val="24"/>
        </w:rPr>
        <w:t xml:space="preserve"> patvirtinimo</w:t>
      </w:r>
      <w:r w:rsidRPr="00E41EF1">
        <w:rPr>
          <w:b/>
          <w:caps/>
          <w:szCs w:val="24"/>
        </w:rPr>
        <w:t>“ PAKEITIMO</w:t>
      </w:r>
    </w:p>
    <w:p w14:paraId="5DBB6D77" w14:textId="77777777" w:rsidR="00C21E17" w:rsidRPr="00E41EF1" w:rsidRDefault="00C21E17" w:rsidP="006D2FE1">
      <w:pPr>
        <w:jc w:val="center"/>
        <w:rPr>
          <w:b/>
          <w:caps/>
          <w:szCs w:val="24"/>
        </w:rPr>
      </w:pPr>
    </w:p>
    <w:p w14:paraId="522365E2" w14:textId="64843B8F" w:rsidR="00C21E17" w:rsidRPr="00E41EF1" w:rsidRDefault="00C21E17" w:rsidP="006D2FE1">
      <w:pPr>
        <w:jc w:val="center"/>
        <w:rPr>
          <w:szCs w:val="24"/>
        </w:rPr>
      </w:pPr>
      <w:r w:rsidRPr="00E41EF1">
        <w:rPr>
          <w:szCs w:val="24"/>
        </w:rPr>
        <w:t>20</w:t>
      </w:r>
      <w:r w:rsidR="00C35B11" w:rsidRPr="00E41EF1">
        <w:rPr>
          <w:szCs w:val="24"/>
        </w:rPr>
        <w:t>20</w:t>
      </w:r>
      <w:r w:rsidRPr="00E41EF1">
        <w:rPr>
          <w:szCs w:val="24"/>
        </w:rPr>
        <w:t xml:space="preserve"> m.                                        d. Nr. </w:t>
      </w:r>
    </w:p>
    <w:p w14:paraId="33087920" w14:textId="77777777" w:rsidR="00C21E17" w:rsidRPr="00E41EF1" w:rsidRDefault="00C21E17" w:rsidP="006D2FE1">
      <w:pPr>
        <w:jc w:val="center"/>
        <w:rPr>
          <w:szCs w:val="24"/>
        </w:rPr>
      </w:pPr>
      <w:r w:rsidRPr="00E41EF1">
        <w:rPr>
          <w:szCs w:val="24"/>
        </w:rPr>
        <w:t>Vilnius</w:t>
      </w:r>
    </w:p>
    <w:p w14:paraId="4FBF2096" w14:textId="77777777" w:rsidR="002F1C6E" w:rsidRPr="003C307C" w:rsidRDefault="002F1C6E" w:rsidP="006D2FE1">
      <w:pPr>
        <w:tabs>
          <w:tab w:val="center" w:pos="4153"/>
          <w:tab w:val="right" w:pos="8306"/>
        </w:tabs>
        <w:jc w:val="both"/>
        <w:rPr>
          <w:szCs w:val="24"/>
        </w:rPr>
      </w:pPr>
    </w:p>
    <w:p w14:paraId="2DD368F6" w14:textId="66368422" w:rsidR="00AB404D" w:rsidRPr="003C307C" w:rsidRDefault="0097422A" w:rsidP="006D2FE1">
      <w:pPr>
        <w:ind w:firstLine="720"/>
        <w:jc w:val="both"/>
        <w:rPr>
          <w:szCs w:val="24"/>
        </w:rPr>
      </w:pPr>
      <w:r w:rsidRPr="00B25177">
        <w:rPr>
          <w:szCs w:val="24"/>
        </w:rPr>
        <w:t>Lietuvos Respublikos Vyriausybė n</w:t>
      </w:r>
      <w:r w:rsidRPr="006846B5">
        <w:rPr>
          <w:szCs w:val="24"/>
        </w:rPr>
        <w:t xml:space="preserve"> u </w:t>
      </w:r>
      <w:r w:rsidRPr="003C307C">
        <w:rPr>
          <w:szCs w:val="24"/>
        </w:rPr>
        <w:t>t a r i a:</w:t>
      </w:r>
    </w:p>
    <w:p w14:paraId="51BCF4AD" w14:textId="0E7DE2AB" w:rsidR="000A27F0" w:rsidRDefault="00B37EF4" w:rsidP="000A27F0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243C75">
        <w:rPr>
          <w:szCs w:val="24"/>
        </w:rPr>
        <w:t xml:space="preserve">. </w:t>
      </w:r>
      <w:r w:rsidR="00C13447" w:rsidRPr="00C13447">
        <w:rPr>
          <w:szCs w:val="24"/>
        </w:rPr>
        <w:t>Pakeisti Lietuvos Respublikos Vyriausybės 2002 m. gruodžio 5</w:t>
      </w:r>
      <w:r w:rsidR="00C13447">
        <w:rPr>
          <w:szCs w:val="24"/>
        </w:rPr>
        <w:t> </w:t>
      </w:r>
      <w:r w:rsidR="00C13447" w:rsidRPr="00C13447">
        <w:rPr>
          <w:szCs w:val="24"/>
        </w:rPr>
        <w:t>d. nutarim</w:t>
      </w:r>
      <w:r w:rsidR="00844B08">
        <w:rPr>
          <w:szCs w:val="24"/>
        </w:rPr>
        <w:t>ą</w:t>
      </w:r>
      <w:r w:rsidR="00C13447" w:rsidRPr="00C13447">
        <w:rPr>
          <w:szCs w:val="24"/>
        </w:rPr>
        <w:t xml:space="preserve"> Nr.</w:t>
      </w:r>
      <w:r w:rsidR="00C13447">
        <w:rPr>
          <w:szCs w:val="24"/>
        </w:rPr>
        <w:t> </w:t>
      </w:r>
      <w:r w:rsidR="00C13447" w:rsidRPr="00C13447">
        <w:rPr>
          <w:szCs w:val="24"/>
        </w:rPr>
        <w:t>1901 „Dėl Naftos produktų ir naftos valstybės atsargų sudarymo reglamentavimo, tvarkymo, kaupimo, naudojimo ir priežiūros taisyklių patvirtinimo“</w:t>
      </w:r>
      <w:r w:rsidR="003A6A2D">
        <w:rPr>
          <w:szCs w:val="24"/>
        </w:rPr>
        <w:t xml:space="preserve"> </w:t>
      </w:r>
      <w:r w:rsidR="003A6A2D">
        <w:t xml:space="preserve">ir </w:t>
      </w:r>
      <w:r w:rsidR="00E02C91">
        <w:t>j</w:t>
      </w:r>
      <w:r w:rsidR="00144F9D">
        <w:t>į</w:t>
      </w:r>
      <w:r w:rsidR="003A6A2D">
        <w:t xml:space="preserve"> išdėstyti </w:t>
      </w:r>
      <w:r w:rsidR="003C53DD">
        <w:t>nauja redakcija</w:t>
      </w:r>
      <w:r w:rsidR="00C13447" w:rsidRPr="00C13447">
        <w:rPr>
          <w:szCs w:val="24"/>
        </w:rPr>
        <w:t>:</w:t>
      </w:r>
    </w:p>
    <w:p w14:paraId="52AC5F00" w14:textId="77777777" w:rsidR="00187791" w:rsidRPr="001A13A0" w:rsidRDefault="00887CCB" w:rsidP="006D2FE1">
      <w:pPr>
        <w:jc w:val="center"/>
        <w:rPr>
          <w:caps/>
          <w:szCs w:val="24"/>
        </w:rPr>
      </w:pPr>
      <w:r>
        <w:rPr>
          <w:szCs w:val="24"/>
        </w:rPr>
        <w:t>„</w:t>
      </w:r>
      <w:r w:rsidR="00187791" w:rsidRPr="001A13A0">
        <w:rPr>
          <w:caps/>
          <w:szCs w:val="24"/>
        </w:rPr>
        <w:t>LIETUVOS RESPUBLIKOS vyriausybė</w:t>
      </w:r>
    </w:p>
    <w:p w14:paraId="39C5751E" w14:textId="77777777" w:rsidR="00187791" w:rsidRPr="001A13A0" w:rsidRDefault="00187791" w:rsidP="006D2FE1">
      <w:pPr>
        <w:jc w:val="center"/>
        <w:rPr>
          <w:caps/>
          <w:szCs w:val="24"/>
        </w:rPr>
      </w:pPr>
    </w:p>
    <w:p w14:paraId="672ACBE0" w14:textId="77777777" w:rsidR="00187791" w:rsidRPr="001A13A0" w:rsidRDefault="00187791" w:rsidP="006D2FE1">
      <w:pPr>
        <w:jc w:val="center"/>
        <w:rPr>
          <w:caps/>
          <w:szCs w:val="24"/>
        </w:rPr>
      </w:pPr>
      <w:r w:rsidRPr="001A13A0">
        <w:rPr>
          <w:caps/>
          <w:szCs w:val="24"/>
        </w:rPr>
        <w:t>NUTARIMAS</w:t>
      </w:r>
    </w:p>
    <w:p w14:paraId="67FAEB70" w14:textId="16DA63EB" w:rsidR="003C53DD" w:rsidRPr="0001454F" w:rsidRDefault="005C6CB8" w:rsidP="006D2FE1">
      <w:pPr>
        <w:ind w:firstLine="720"/>
        <w:jc w:val="center"/>
        <w:rPr>
          <w:szCs w:val="24"/>
        </w:rPr>
      </w:pPr>
      <w:r w:rsidRPr="001A13A0">
        <w:rPr>
          <w:color w:val="000000"/>
        </w:rPr>
        <w:t>DĖL NAFTOS PRODUKTŲ IR NAFTOS VALSTYBĖS ATSARGŲ SUDARYMO REGLAMENTAVIMO, TVARKYMO, KAUPIMO, NAUDOJIMO IR PRIEŽIŪROS TAISYKLIŲ PATVIRTINIMO</w:t>
      </w:r>
    </w:p>
    <w:p w14:paraId="5846F8ED" w14:textId="77777777" w:rsidR="003C53DD" w:rsidRDefault="003C53DD" w:rsidP="006D2FE1">
      <w:pPr>
        <w:ind w:firstLine="720"/>
        <w:jc w:val="both"/>
        <w:rPr>
          <w:szCs w:val="24"/>
        </w:rPr>
      </w:pPr>
    </w:p>
    <w:p w14:paraId="029396DF" w14:textId="6A92E167" w:rsidR="00887CCB" w:rsidRPr="00887CCB" w:rsidRDefault="00887CCB" w:rsidP="006D2FE1">
      <w:pPr>
        <w:ind w:firstLine="720"/>
        <w:jc w:val="both"/>
        <w:rPr>
          <w:szCs w:val="24"/>
        </w:rPr>
      </w:pPr>
      <w:r w:rsidRPr="00887CCB">
        <w:rPr>
          <w:szCs w:val="24"/>
        </w:rPr>
        <w:t>Vadovaudamasi Lietuvos Respublikos naftos produktų ir naftos valstybės atsargų įstatymo 3</w:t>
      </w:r>
      <w:r w:rsidR="008C6233">
        <w:rPr>
          <w:szCs w:val="24"/>
        </w:rPr>
        <w:t> </w:t>
      </w:r>
      <w:r w:rsidRPr="00887CCB">
        <w:rPr>
          <w:szCs w:val="24"/>
        </w:rPr>
        <w:t>straipsnio 2 dalies 2 punktu, taip pat siekdama įgyvendinti 2009 m. rugsėjo 14 d. Tarybos direktyvą 2009/119/EB, kuria valstybės narės įpareigojamos išlaikyti privalomąsias žalios naftos ir (arba) naftos produktų atsargas</w:t>
      </w:r>
      <w:r w:rsidRPr="008B07F3">
        <w:rPr>
          <w:strike/>
          <w:szCs w:val="24"/>
        </w:rPr>
        <w:t xml:space="preserve"> (OL 2009 L 265, p. 9)</w:t>
      </w:r>
      <w:r w:rsidRPr="00887CCB">
        <w:rPr>
          <w:szCs w:val="24"/>
        </w:rPr>
        <w:t xml:space="preserve">, su paskutiniais pakeitimais, padarytais </w:t>
      </w:r>
      <w:r w:rsidRPr="008B07F3">
        <w:rPr>
          <w:strike/>
          <w:szCs w:val="24"/>
        </w:rPr>
        <w:t>2018 m. spalio 19 d. Komisijos įgyvendinimo direktyva (ES) 2018/1581, kuria iš dalies keičiami Tarybos direktyvos 2009/119/EB reikalavimai dėl atsargų saugojimo įpareigojimų apskaičiavimo metodų (OL 2018 L 263, p. 57)</w:t>
      </w:r>
      <w:r w:rsidR="00572183">
        <w:rPr>
          <w:szCs w:val="24"/>
        </w:rPr>
        <w:t xml:space="preserve"> </w:t>
      </w:r>
      <w:r w:rsidR="008B7F4D" w:rsidRPr="008B07F3">
        <w:rPr>
          <w:b/>
          <w:bCs/>
          <w:szCs w:val="24"/>
        </w:rPr>
        <w:t>2018 m. gruodžio 11 d. Europos Parlamento ir Tarybos reglamentu (ES) 2018/1999 dėl energetikos sąjungos ir klimato politikos veiksmų valdymo, kuriuo iš dalies keičiami Europos Parlamento ir Tarybos reglamentai (EB) Nr. 663/2009 ir (EB) Nr. 715/2009, Europos Parlamento ir Tarybos direktyvos 94/22/EB, 98/70/EB, 2009/31/EB, 2009/73/EB, 2010/31/ES, 2012/27/ES ir 2013/30/ES, Tarybos direktyvos 2009/119/EB ir (ES) 2015/652 ir panaikinamas Europos Parlamento ir Tarybos reglamentas (ES) Nr. 525/2013</w:t>
      </w:r>
      <w:r w:rsidRPr="00887CCB">
        <w:rPr>
          <w:szCs w:val="24"/>
        </w:rPr>
        <w:t>, Lietuvos Respublikos Vyriausybė n</w:t>
      </w:r>
      <w:r w:rsidR="0009781C">
        <w:rPr>
          <w:szCs w:val="24"/>
        </w:rPr>
        <w:t xml:space="preserve"> </w:t>
      </w:r>
      <w:r w:rsidRPr="00887CCB">
        <w:rPr>
          <w:szCs w:val="24"/>
        </w:rPr>
        <w:t>u</w:t>
      </w:r>
      <w:r w:rsidR="0009781C">
        <w:rPr>
          <w:szCs w:val="24"/>
        </w:rPr>
        <w:t xml:space="preserve"> </w:t>
      </w:r>
      <w:r w:rsidRPr="00887CCB">
        <w:rPr>
          <w:szCs w:val="24"/>
        </w:rPr>
        <w:t>t</w:t>
      </w:r>
      <w:r w:rsidR="0009781C">
        <w:rPr>
          <w:szCs w:val="24"/>
        </w:rPr>
        <w:t xml:space="preserve"> </w:t>
      </w:r>
      <w:r w:rsidRPr="00887CCB">
        <w:rPr>
          <w:szCs w:val="24"/>
        </w:rPr>
        <w:t>a</w:t>
      </w:r>
      <w:r w:rsidR="0009781C">
        <w:rPr>
          <w:szCs w:val="24"/>
        </w:rPr>
        <w:t xml:space="preserve"> </w:t>
      </w:r>
      <w:r w:rsidRPr="00887CCB">
        <w:rPr>
          <w:szCs w:val="24"/>
        </w:rPr>
        <w:t>r</w:t>
      </w:r>
      <w:r w:rsidR="0009781C">
        <w:rPr>
          <w:szCs w:val="24"/>
        </w:rPr>
        <w:t xml:space="preserve"> </w:t>
      </w:r>
      <w:r w:rsidRPr="00887CCB">
        <w:rPr>
          <w:szCs w:val="24"/>
        </w:rPr>
        <w:t>i</w:t>
      </w:r>
      <w:r w:rsidR="0009781C">
        <w:rPr>
          <w:szCs w:val="24"/>
        </w:rPr>
        <w:t xml:space="preserve"> </w:t>
      </w:r>
      <w:r w:rsidRPr="00887CCB">
        <w:rPr>
          <w:szCs w:val="24"/>
        </w:rPr>
        <w:t>a:</w:t>
      </w:r>
    </w:p>
    <w:p w14:paraId="0AF47BD1" w14:textId="1A6DD197" w:rsidR="003A6A2D" w:rsidRDefault="00887CCB" w:rsidP="006D2FE1">
      <w:pPr>
        <w:ind w:firstLine="720"/>
        <w:jc w:val="both"/>
        <w:rPr>
          <w:szCs w:val="24"/>
        </w:rPr>
      </w:pPr>
      <w:r w:rsidRPr="00887CCB">
        <w:rPr>
          <w:szCs w:val="24"/>
        </w:rPr>
        <w:t>Patvirtinti Naftos produktų ir naftos valstybės atsargų sudarymo reglamentavimo, tvarkymo, kaupimo, naudojimo ir priežiūros taisykles (pridedama).</w:t>
      </w:r>
      <w:r w:rsidR="0001454F">
        <w:rPr>
          <w:szCs w:val="24"/>
        </w:rPr>
        <w:t>“</w:t>
      </w:r>
    </w:p>
    <w:p w14:paraId="41A206AB" w14:textId="709E0FCE" w:rsidR="002514DF" w:rsidRPr="002514DF" w:rsidRDefault="002514DF" w:rsidP="006D2FE1">
      <w:pPr>
        <w:ind w:firstLine="720"/>
        <w:jc w:val="both"/>
        <w:rPr>
          <w:szCs w:val="24"/>
        </w:rPr>
      </w:pPr>
      <w:r w:rsidRPr="002514DF">
        <w:rPr>
          <w:szCs w:val="24"/>
        </w:rPr>
        <w:t xml:space="preserve">2. Pakeisti </w:t>
      </w:r>
      <w:r w:rsidR="00497BBC">
        <w:rPr>
          <w:szCs w:val="24"/>
        </w:rPr>
        <w:t xml:space="preserve">nurodytu nutarimu patvirtintas </w:t>
      </w:r>
      <w:r w:rsidRPr="002514DF">
        <w:rPr>
          <w:szCs w:val="24"/>
        </w:rPr>
        <w:t>Naftos produktų ir naftos valstybės atsargų sudarymo reglamentavimo, tvarkymo, kaupimo, naudojimo ir priežiūros taisykles:</w:t>
      </w:r>
    </w:p>
    <w:p w14:paraId="0D72436D" w14:textId="4BB3DCFD" w:rsidR="0041298F" w:rsidRDefault="002514DF" w:rsidP="006D2FE1">
      <w:pPr>
        <w:ind w:firstLine="720"/>
        <w:jc w:val="both"/>
        <w:rPr>
          <w:szCs w:val="24"/>
        </w:rPr>
      </w:pPr>
      <w:r w:rsidRPr="002514DF">
        <w:rPr>
          <w:szCs w:val="24"/>
        </w:rPr>
        <w:t xml:space="preserve">2.1. Pakeisti </w:t>
      </w:r>
      <w:r w:rsidR="004C79AD">
        <w:rPr>
          <w:szCs w:val="24"/>
        </w:rPr>
        <w:t>16</w:t>
      </w:r>
      <w:r w:rsidR="0041298F" w:rsidRPr="003C307C">
        <w:rPr>
          <w:szCs w:val="24"/>
        </w:rPr>
        <w:t> punktą ir jį išdėstyti taip:</w:t>
      </w:r>
    </w:p>
    <w:p w14:paraId="5852EFB4" w14:textId="462C4CC5" w:rsidR="0041298F" w:rsidRDefault="0041298F" w:rsidP="006D2FE1">
      <w:pPr>
        <w:ind w:firstLine="720"/>
        <w:jc w:val="both"/>
        <w:rPr>
          <w:szCs w:val="24"/>
        </w:rPr>
      </w:pPr>
      <w:r w:rsidRPr="003C307C">
        <w:rPr>
          <w:szCs w:val="24"/>
        </w:rPr>
        <w:t>„</w:t>
      </w:r>
      <w:r w:rsidR="00E54142" w:rsidRPr="00E54142">
        <w:rPr>
          <w:szCs w:val="24"/>
        </w:rPr>
        <w:t xml:space="preserve">16. Agentūros taikomus atsargų kaupimo ir tvarkymo paslaugų tarifus pagal atsargų kategorijas (toliau – tarifai) kiekvienais metais iki spalio 31 d. tvirtina </w:t>
      </w:r>
      <w:r w:rsidR="00E54142" w:rsidRPr="00FC16F9">
        <w:rPr>
          <w:strike/>
          <w:szCs w:val="24"/>
        </w:rPr>
        <w:t>Energetikos ministerija</w:t>
      </w:r>
      <w:r w:rsidR="00E26393">
        <w:rPr>
          <w:szCs w:val="24"/>
        </w:rPr>
        <w:t xml:space="preserve"> </w:t>
      </w:r>
      <w:r w:rsidR="00703C4D" w:rsidRPr="00FC16F9">
        <w:rPr>
          <w:b/>
          <w:bCs/>
          <w:szCs w:val="24"/>
        </w:rPr>
        <w:t>energetikos ministras</w:t>
      </w:r>
      <w:r w:rsidR="00E54142" w:rsidRPr="00E54142">
        <w:rPr>
          <w:szCs w:val="24"/>
        </w:rPr>
        <w:t xml:space="preserve">. Tarifai turi įsigalioti ne anksčiau kaip po 7 mėnesių nuo jų patvirtinimo. </w:t>
      </w:r>
      <w:r w:rsidR="00E54142" w:rsidRPr="006632F7">
        <w:rPr>
          <w:strike/>
          <w:szCs w:val="24"/>
        </w:rPr>
        <w:t>Energetikos ministerija apskaičiuoja</w:t>
      </w:r>
      <w:r w:rsidR="00E54142" w:rsidRPr="00E54142">
        <w:rPr>
          <w:szCs w:val="24"/>
        </w:rPr>
        <w:t xml:space="preserve"> </w:t>
      </w:r>
      <w:r w:rsidR="00703C4D" w:rsidRPr="006632F7">
        <w:rPr>
          <w:b/>
          <w:bCs/>
          <w:szCs w:val="24"/>
        </w:rPr>
        <w:t>Apskaičiuo</w:t>
      </w:r>
      <w:r w:rsidR="007421CC" w:rsidRPr="006632F7">
        <w:rPr>
          <w:b/>
          <w:bCs/>
          <w:szCs w:val="24"/>
        </w:rPr>
        <w:t>jant</w:t>
      </w:r>
      <w:r w:rsidR="007421CC">
        <w:rPr>
          <w:szCs w:val="24"/>
        </w:rPr>
        <w:t xml:space="preserve"> </w:t>
      </w:r>
      <w:r w:rsidR="00E54142" w:rsidRPr="00E54142">
        <w:rPr>
          <w:szCs w:val="24"/>
        </w:rPr>
        <w:t xml:space="preserve">tarifus, </w:t>
      </w:r>
      <w:r w:rsidR="006945EC" w:rsidRPr="006945EC">
        <w:rPr>
          <w:b/>
          <w:bCs/>
          <w:szCs w:val="24"/>
        </w:rPr>
        <w:t>atsižvelgiama</w:t>
      </w:r>
      <w:r w:rsidR="006945EC">
        <w:rPr>
          <w:szCs w:val="24"/>
        </w:rPr>
        <w:t xml:space="preserve"> </w:t>
      </w:r>
      <w:r w:rsidR="00E54142" w:rsidRPr="00E54142">
        <w:rPr>
          <w:szCs w:val="24"/>
        </w:rPr>
        <w:t xml:space="preserve">į Agentūros </w:t>
      </w:r>
      <w:r w:rsidR="00E54142" w:rsidRPr="00A91BEE">
        <w:rPr>
          <w:strike/>
          <w:szCs w:val="24"/>
        </w:rPr>
        <w:t>patiriamas sąnaudas</w:t>
      </w:r>
      <w:r w:rsidR="00E54142" w:rsidRPr="00E54142">
        <w:rPr>
          <w:szCs w:val="24"/>
        </w:rPr>
        <w:t xml:space="preserve"> </w:t>
      </w:r>
      <w:r w:rsidR="00BC7B73" w:rsidRPr="000B488C">
        <w:rPr>
          <w:b/>
          <w:bCs/>
          <w:color w:val="000000"/>
        </w:rPr>
        <w:t xml:space="preserve">per praėjusius </w:t>
      </w:r>
      <w:r w:rsidR="00235723">
        <w:rPr>
          <w:b/>
          <w:bCs/>
          <w:color w:val="000000"/>
        </w:rPr>
        <w:t>kale</w:t>
      </w:r>
      <w:r w:rsidR="00243C79">
        <w:rPr>
          <w:b/>
          <w:bCs/>
          <w:color w:val="000000"/>
        </w:rPr>
        <w:t xml:space="preserve">ndorinius </w:t>
      </w:r>
      <w:r w:rsidR="00BC7B73" w:rsidRPr="000B488C">
        <w:rPr>
          <w:b/>
          <w:bCs/>
          <w:color w:val="000000"/>
        </w:rPr>
        <w:t xml:space="preserve">metus faktiškai patirtas talpyklų nuomos, atsargų keitimo, administracines ir kitas </w:t>
      </w:r>
      <w:r w:rsidR="00C13D0C">
        <w:rPr>
          <w:b/>
          <w:bCs/>
          <w:color w:val="000000"/>
        </w:rPr>
        <w:t xml:space="preserve">centralizuoto </w:t>
      </w:r>
      <w:r w:rsidR="006F647D">
        <w:rPr>
          <w:b/>
          <w:bCs/>
          <w:color w:val="000000"/>
        </w:rPr>
        <w:t>atsargų kaupimo ir tvarkymo</w:t>
      </w:r>
      <w:r w:rsidR="00890A33">
        <w:rPr>
          <w:b/>
          <w:bCs/>
          <w:color w:val="000000"/>
        </w:rPr>
        <w:t xml:space="preserve"> </w:t>
      </w:r>
      <w:r w:rsidR="00BC7B73" w:rsidRPr="000B488C">
        <w:rPr>
          <w:b/>
          <w:bCs/>
          <w:color w:val="000000"/>
        </w:rPr>
        <w:t xml:space="preserve">sąnaudas, </w:t>
      </w:r>
      <w:r w:rsidR="00BA1F33">
        <w:rPr>
          <w:b/>
          <w:bCs/>
          <w:color w:val="000000"/>
        </w:rPr>
        <w:t xml:space="preserve">įvertinant </w:t>
      </w:r>
      <w:r w:rsidR="00BC7B73" w:rsidRPr="000B488C">
        <w:rPr>
          <w:b/>
          <w:bCs/>
          <w:color w:val="000000"/>
        </w:rPr>
        <w:t xml:space="preserve">iš šios veiklos gautą finansinį rezultatą </w:t>
      </w:r>
      <w:r w:rsidR="0022679C">
        <w:rPr>
          <w:b/>
          <w:bCs/>
          <w:color w:val="000000"/>
        </w:rPr>
        <w:t>ir</w:t>
      </w:r>
      <w:r w:rsidR="0022679C" w:rsidRPr="000B488C">
        <w:rPr>
          <w:b/>
          <w:bCs/>
          <w:color w:val="000000"/>
        </w:rPr>
        <w:t xml:space="preserve"> </w:t>
      </w:r>
      <w:r w:rsidR="00BC7B73" w:rsidRPr="000B488C">
        <w:rPr>
          <w:b/>
          <w:bCs/>
          <w:color w:val="000000"/>
        </w:rPr>
        <w:t>to paties laikotarpio vidutinėmis</w:t>
      </w:r>
      <w:r w:rsidR="00512341">
        <w:rPr>
          <w:b/>
          <w:bCs/>
          <w:color w:val="000000"/>
        </w:rPr>
        <w:t xml:space="preserve"> </w:t>
      </w:r>
      <w:r w:rsidR="00512341" w:rsidRPr="00512341">
        <w:rPr>
          <w:b/>
          <w:bCs/>
          <w:color w:val="000000"/>
        </w:rPr>
        <w:t>pasaulinės naftos rinkos</w:t>
      </w:r>
      <w:r w:rsidR="00BC7B73" w:rsidRPr="000B488C">
        <w:rPr>
          <w:b/>
          <w:bCs/>
          <w:color w:val="000000"/>
        </w:rPr>
        <w:t xml:space="preserve"> kainomis įvertintų atsargų įsigijimo</w:t>
      </w:r>
      <w:r w:rsidR="00E50F01">
        <w:rPr>
          <w:b/>
          <w:bCs/>
          <w:color w:val="000000"/>
        </w:rPr>
        <w:t xml:space="preserve"> išlaidas</w:t>
      </w:r>
      <w:r w:rsidR="00BC7B73" w:rsidRPr="000B488C">
        <w:rPr>
          <w:b/>
          <w:bCs/>
          <w:color w:val="000000"/>
        </w:rPr>
        <w:t>, apskaičiuot</w:t>
      </w:r>
      <w:r w:rsidR="008D6E3D">
        <w:rPr>
          <w:b/>
          <w:bCs/>
          <w:color w:val="000000"/>
        </w:rPr>
        <w:t>a</w:t>
      </w:r>
      <w:r w:rsidR="00BC7B73" w:rsidRPr="000B488C">
        <w:rPr>
          <w:b/>
          <w:bCs/>
          <w:color w:val="000000"/>
        </w:rPr>
        <w:t xml:space="preserve">s taikant Lietuvos banko skelbiamą to paties laikotarpio vidutinę paskolų euro zonos ne finansų bendrovėms </w:t>
      </w:r>
      <w:r w:rsidR="00BC7B73" w:rsidRPr="000B488C">
        <w:rPr>
          <w:b/>
          <w:bCs/>
          <w:color w:val="000000"/>
        </w:rPr>
        <w:lastRenderedPageBreak/>
        <w:t>naujų susitarimų palūkanų normą</w:t>
      </w:r>
      <w:r w:rsidR="0013490A" w:rsidRPr="00003591">
        <w:rPr>
          <w:b/>
          <w:bCs/>
          <w:color w:val="000000"/>
        </w:rPr>
        <w:t>,</w:t>
      </w:r>
      <w:r w:rsidR="00BC7B73" w:rsidRPr="000B488C">
        <w:rPr>
          <w:color w:val="000000"/>
        </w:rPr>
        <w:t xml:space="preserve"> </w:t>
      </w:r>
      <w:r w:rsidR="00E54142" w:rsidRPr="00E54142">
        <w:rPr>
          <w:szCs w:val="24"/>
        </w:rPr>
        <w:t xml:space="preserve">ir </w:t>
      </w:r>
      <w:r w:rsidR="00E54142" w:rsidRPr="00FA3031">
        <w:rPr>
          <w:strike/>
          <w:szCs w:val="24"/>
        </w:rPr>
        <w:t>pasiūlymus</w:t>
      </w:r>
      <w:r w:rsidR="00E54142" w:rsidRPr="00E54142">
        <w:rPr>
          <w:szCs w:val="24"/>
        </w:rPr>
        <w:t xml:space="preserve"> </w:t>
      </w:r>
      <w:r w:rsidR="004652A4">
        <w:rPr>
          <w:b/>
          <w:bCs/>
          <w:szCs w:val="24"/>
        </w:rPr>
        <w:t xml:space="preserve">įvertinami Agentūros pasiūlymai </w:t>
      </w:r>
      <w:r w:rsidR="00E54142" w:rsidRPr="00E54142">
        <w:rPr>
          <w:szCs w:val="24"/>
        </w:rPr>
        <w:t xml:space="preserve">dėl tarifų dydžio nustatymo. </w:t>
      </w:r>
      <w:r w:rsidR="00E54142" w:rsidRPr="00FE412C">
        <w:rPr>
          <w:strike/>
          <w:szCs w:val="24"/>
        </w:rPr>
        <w:t>Energetikos ministerija, apskaičiuodama ir tvirtindama tarifus, užtikrina</w:t>
      </w:r>
      <w:r w:rsidR="00E54142" w:rsidRPr="006632F7">
        <w:rPr>
          <w:strike/>
          <w:szCs w:val="24"/>
        </w:rPr>
        <w:t xml:space="preserve">, </w:t>
      </w:r>
      <w:r w:rsidR="00FE412C" w:rsidRPr="006632F7">
        <w:rPr>
          <w:b/>
          <w:bCs/>
          <w:szCs w:val="24"/>
        </w:rPr>
        <w:t xml:space="preserve">Apskaičiuojant ir tvirtinant tarifus turi būti užtikrinama, </w:t>
      </w:r>
      <w:r w:rsidR="00E54142" w:rsidRPr="00E54142">
        <w:rPr>
          <w:szCs w:val="24"/>
        </w:rPr>
        <w:t xml:space="preserve">kad jie neviršys Agentūros patiriamų atsargų kaupimo ir tvarkymo paslaugų </w:t>
      </w:r>
      <w:r w:rsidR="00E54142" w:rsidRPr="002E57D6">
        <w:rPr>
          <w:strike/>
          <w:szCs w:val="24"/>
        </w:rPr>
        <w:t>sąnaudų</w:t>
      </w:r>
      <w:r w:rsidR="002E57D6">
        <w:rPr>
          <w:szCs w:val="24"/>
        </w:rPr>
        <w:t xml:space="preserve"> </w:t>
      </w:r>
      <w:r w:rsidR="0055495D">
        <w:rPr>
          <w:b/>
          <w:bCs/>
          <w:color w:val="000000"/>
        </w:rPr>
        <w:t>išlaidų</w:t>
      </w:r>
      <w:r w:rsidR="00E54142" w:rsidRPr="00E54142">
        <w:rPr>
          <w:szCs w:val="24"/>
        </w:rPr>
        <w:t xml:space="preserve">. Agentūra pateikia savo pasiūlymus ir nurodytą informaciją Energetikos ministerijai kiekvienais metais iki rugsėjo 30 d. Energetikos </w:t>
      </w:r>
      <w:r w:rsidR="00E54142" w:rsidRPr="00655A90">
        <w:rPr>
          <w:strike/>
          <w:szCs w:val="24"/>
        </w:rPr>
        <w:t>ministerijos</w:t>
      </w:r>
      <w:r w:rsidR="00E54142" w:rsidRPr="00E54142">
        <w:rPr>
          <w:szCs w:val="24"/>
        </w:rPr>
        <w:t xml:space="preserve"> </w:t>
      </w:r>
      <w:r w:rsidR="00655A90">
        <w:rPr>
          <w:b/>
          <w:bCs/>
          <w:szCs w:val="24"/>
        </w:rPr>
        <w:t xml:space="preserve">ministro </w:t>
      </w:r>
      <w:r w:rsidR="00E54142" w:rsidRPr="00E54142">
        <w:rPr>
          <w:szCs w:val="24"/>
        </w:rPr>
        <w:t xml:space="preserve">patvirtinti tarifai galioja iki naujų tarifų įsigaliojimo. </w:t>
      </w:r>
      <w:r w:rsidR="00E54142" w:rsidRPr="00DA5B6C">
        <w:rPr>
          <w:strike/>
          <w:szCs w:val="24"/>
        </w:rPr>
        <w:t xml:space="preserve">Nauji </w:t>
      </w:r>
      <w:r w:rsidR="00E54142" w:rsidRPr="006B0399">
        <w:rPr>
          <w:strike/>
          <w:szCs w:val="24"/>
        </w:rPr>
        <w:t>tarifai netaikomi Agentūros susitarimams dėl atsargų kaupimo ir tvarkymo, sudarytiems iki šių tarifų patvirtinimo.</w:t>
      </w:r>
      <w:r w:rsidR="00E54142">
        <w:rPr>
          <w:szCs w:val="24"/>
        </w:rPr>
        <w:t>“</w:t>
      </w:r>
    </w:p>
    <w:p w14:paraId="2E71DA27" w14:textId="4962311B" w:rsidR="00DA62AE" w:rsidRDefault="0071423E" w:rsidP="006D2FE1">
      <w:pPr>
        <w:ind w:firstLine="720"/>
        <w:jc w:val="both"/>
        <w:rPr>
          <w:szCs w:val="24"/>
        </w:rPr>
      </w:pPr>
      <w:r w:rsidRPr="001A13A0">
        <w:rPr>
          <w:szCs w:val="24"/>
        </w:rPr>
        <w:t>2</w:t>
      </w:r>
      <w:r w:rsidR="0025213D" w:rsidRPr="001A13A0">
        <w:rPr>
          <w:szCs w:val="24"/>
        </w:rPr>
        <w:t>.</w:t>
      </w:r>
      <w:r w:rsidR="00ED7754" w:rsidRPr="003C307C">
        <w:rPr>
          <w:szCs w:val="24"/>
        </w:rPr>
        <w:t>2. </w:t>
      </w:r>
      <w:r w:rsidR="00DA62AE" w:rsidRPr="003C307C">
        <w:rPr>
          <w:szCs w:val="24"/>
        </w:rPr>
        <w:t xml:space="preserve">Pakeisti </w:t>
      </w:r>
      <w:r w:rsidR="00DA62AE">
        <w:rPr>
          <w:szCs w:val="24"/>
        </w:rPr>
        <w:t>35</w:t>
      </w:r>
      <w:r w:rsidR="00DA62AE" w:rsidRPr="003C307C">
        <w:rPr>
          <w:szCs w:val="24"/>
        </w:rPr>
        <w:t> punktą ir jį išdėstyti taip:</w:t>
      </w:r>
    </w:p>
    <w:p w14:paraId="5F97950E" w14:textId="52BBB9F9" w:rsidR="00DA62AE" w:rsidRDefault="00DA62AE" w:rsidP="006D2FE1">
      <w:pPr>
        <w:ind w:firstLine="720"/>
        <w:jc w:val="both"/>
        <w:rPr>
          <w:szCs w:val="24"/>
        </w:rPr>
      </w:pPr>
      <w:r w:rsidRPr="003C307C">
        <w:rPr>
          <w:szCs w:val="24"/>
        </w:rPr>
        <w:t>„</w:t>
      </w:r>
      <w:r>
        <w:rPr>
          <w:szCs w:val="24"/>
        </w:rPr>
        <w:t>35.</w:t>
      </w:r>
      <w:r w:rsidRPr="00CE0CB9">
        <w:t xml:space="preserve"> </w:t>
      </w:r>
      <w:r w:rsidRPr="00CE0CB9">
        <w:rPr>
          <w:szCs w:val="24"/>
        </w:rPr>
        <w:t xml:space="preserve">Jeigu atsargos panaudojamos, Energetikos ministerija ne vėliau kaip per 5 darbo dienas po atsargų panaudojimo raštu informuoja Europos Komisiją </w:t>
      </w:r>
      <w:r>
        <w:rPr>
          <w:b/>
          <w:bCs/>
          <w:szCs w:val="24"/>
        </w:rPr>
        <w:t xml:space="preserve">ir Tarptautinę energetikos agentūrą </w:t>
      </w:r>
      <w:r w:rsidRPr="00CE0CB9">
        <w:rPr>
          <w:szCs w:val="24"/>
        </w:rPr>
        <w:t>apie atsargų panaudojimo faktą ir per kiek laiko planuojama panaudotą atsargų kiekį atkurti</w:t>
      </w:r>
      <w:r w:rsidRPr="00924556">
        <w:rPr>
          <w:szCs w:val="24"/>
        </w:rPr>
        <w:t>.“</w:t>
      </w:r>
    </w:p>
    <w:p w14:paraId="1BFC825D" w14:textId="5702BB0A" w:rsidR="0097422A" w:rsidRDefault="0071423E" w:rsidP="006D2FE1">
      <w:pPr>
        <w:ind w:firstLine="720"/>
        <w:jc w:val="both"/>
        <w:rPr>
          <w:szCs w:val="24"/>
        </w:rPr>
      </w:pPr>
      <w:r w:rsidRPr="003C307C">
        <w:rPr>
          <w:szCs w:val="24"/>
        </w:rPr>
        <w:t>2</w:t>
      </w:r>
      <w:r w:rsidR="00ED7754">
        <w:rPr>
          <w:szCs w:val="24"/>
        </w:rPr>
        <w:t>.</w:t>
      </w:r>
      <w:r w:rsidR="00ED7754" w:rsidRPr="006B5416">
        <w:rPr>
          <w:szCs w:val="24"/>
        </w:rPr>
        <w:t>3</w:t>
      </w:r>
      <w:r w:rsidR="00ED7754" w:rsidRPr="00096ADF">
        <w:rPr>
          <w:szCs w:val="24"/>
        </w:rPr>
        <w:t xml:space="preserve">. </w:t>
      </w:r>
      <w:r w:rsidR="0097422A" w:rsidRPr="003C307C">
        <w:rPr>
          <w:szCs w:val="24"/>
        </w:rPr>
        <w:t xml:space="preserve">Pakeisti </w:t>
      </w:r>
      <w:r w:rsidR="000060C0">
        <w:rPr>
          <w:szCs w:val="24"/>
        </w:rPr>
        <w:t>37</w:t>
      </w:r>
      <w:r w:rsidR="0097422A" w:rsidRPr="003C307C">
        <w:rPr>
          <w:szCs w:val="24"/>
        </w:rPr>
        <w:t> punktą ir jį išdėstyti taip:</w:t>
      </w:r>
    </w:p>
    <w:p w14:paraId="459A213F" w14:textId="143A3B3D" w:rsidR="007B7CDE" w:rsidRDefault="00470F5E" w:rsidP="006D2FE1">
      <w:pPr>
        <w:ind w:firstLine="720"/>
        <w:jc w:val="both"/>
        <w:rPr>
          <w:szCs w:val="24"/>
        </w:rPr>
      </w:pPr>
      <w:r w:rsidRPr="00470F5E">
        <w:rPr>
          <w:szCs w:val="24"/>
        </w:rPr>
        <w:t xml:space="preserve">„37. Taisyklių 2 priede nustatyta tvarka rengiamos ir Europos Komisijai teikiamos </w:t>
      </w:r>
      <w:r w:rsidR="008E43C6" w:rsidRPr="00DA5B6C">
        <w:rPr>
          <w:szCs w:val="24"/>
        </w:rPr>
        <w:t>šios atsargų ataskaitos:</w:t>
      </w:r>
      <w:r w:rsidR="008E43C6">
        <w:rPr>
          <w:szCs w:val="24"/>
        </w:rPr>
        <w:t xml:space="preserve"> </w:t>
      </w:r>
      <w:r w:rsidRPr="001D13B7">
        <w:rPr>
          <w:b/>
          <w:bCs/>
          <w:szCs w:val="24"/>
        </w:rPr>
        <w:t>atsargų statistinės suvestinės ir specialiųjų atsargų statistinės suvestinės, Tarptautinei energetikos agentūrai – atsargų statistinės suvestinės</w:t>
      </w:r>
      <w:r w:rsidRPr="00470F5E">
        <w:rPr>
          <w:szCs w:val="24"/>
        </w:rPr>
        <w:t>.</w:t>
      </w:r>
    </w:p>
    <w:p w14:paraId="49CF68C3" w14:textId="77777777" w:rsidR="00882FE4" w:rsidRPr="001D13B7" w:rsidRDefault="00882FE4" w:rsidP="006D2FE1">
      <w:pPr>
        <w:ind w:firstLine="720"/>
        <w:rPr>
          <w:strike/>
          <w:szCs w:val="24"/>
        </w:rPr>
      </w:pPr>
      <w:r w:rsidRPr="001D13B7">
        <w:rPr>
          <w:strike/>
          <w:szCs w:val="24"/>
        </w:rPr>
        <w:t>37.1. atsargų statistinės suvestinės;</w:t>
      </w:r>
    </w:p>
    <w:p w14:paraId="07B5924E" w14:textId="603DAFF2" w:rsidR="00BA6EDF" w:rsidRPr="003C307C" w:rsidRDefault="00882FE4" w:rsidP="006D2FE1">
      <w:pPr>
        <w:ind w:firstLine="720"/>
        <w:jc w:val="both"/>
        <w:rPr>
          <w:szCs w:val="24"/>
        </w:rPr>
      </w:pPr>
      <w:r w:rsidRPr="001D13B7">
        <w:rPr>
          <w:strike/>
          <w:szCs w:val="24"/>
        </w:rPr>
        <w:t>37.2. specialiųjų atsargų statistinės suvestinės</w:t>
      </w:r>
      <w:r w:rsidRPr="00882FE4">
        <w:rPr>
          <w:szCs w:val="24"/>
        </w:rPr>
        <w:t>.</w:t>
      </w:r>
      <w:r w:rsidR="00470F5E" w:rsidRPr="00470F5E">
        <w:rPr>
          <w:szCs w:val="24"/>
        </w:rPr>
        <w:t>“</w:t>
      </w:r>
    </w:p>
    <w:p w14:paraId="37B64B1D" w14:textId="1ECE4D7F" w:rsidR="002060F8" w:rsidRPr="00096ADF" w:rsidRDefault="0071423E" w:rsidP="006D2FE1">
      <w:pPr>
        <w:ind w:firstLine="720"/>
        <w:jc w:val="both"/>
        <w:rPr>
          <w:szCs w:val="24"/>
        </w:rPr>
      </w:pPr>
      <w:r w:rsidRPr="003C307C">
        <w:rPr>
          <w:szCs w:val="24"/>
        </w:rPr>
        <w:t>2</w:t>
      </w:r>
      <w:r w:rsidR="00AC2687">
        <w:rPr>
          <w:szCs w:val="24"/>
        </w:rPr>
        <w:t>.</w:t>
      </w:r>
      <w:r w:rsidR="00AC2687" w:rsidRPr="006B5416">
        <w:rPr>
          <w:szCs w:val="24"/>
        </w:rPr>
        <w:t>4</w:t>
      </w:r>
      <w:r w:rsidR="00AC2687" w:rsidRPr="00C964CC">
        <w:rPr>
          <w:szCs w:val="24"/>
        </w:rPr>
        <w:t>. </w:t>
      </w:r>
      <w:r w:rsidR="002060F8" w:rsidRPr="00096ADF">
        <w:rPr>
          <w:szCs w:val="24"/>
        </w:rPr>
        <w:t xml:space="preserve">Pakeisti </w:t>
      </w:r>
      <w:r w:rsidR="002060F8">
        <w:rPr>
          <w:szCs w:val="24"/>
        </w:rPr>
        <w:t>2</w:t>
      </w:r>
      <w:r w:rsidR="002060F8" w:rsidRPr="00096ADF">
        <w:rPr>
          <w:szCs w:val="24"/>
        </w:rPr>
        <w:t xml:space="preserve"> </w:t>
      </w:r>
      <w:r w:rsidR="001C5ED5">
        <w:rPr>
          <w:szCs w:val="24"/>
        </w:rPr>
        <w:t xml:space="preserve">priedo </w:t>
      </w:r>
      <w:r w:rsidR="00831DD0">
        <w:rPr>
          <w:szCs w:val="24"/>
        </w:rPr>
        <w:t>pavadinimą</w:t>
      </w:r>
      <w:r w:rsidR="00831DD0" w:rsidRPr="00096ADF">
        <w:rPr>
          <w:szCs w:val="24"/>
        </w:rPr>
        <w:t xml:space="preserve"> </w:t>
      </w:r>
      <w:r w:rsidR="002060F8" w:rsidRPr="00096ADF">
        <w:rPr>
          <w:szCs w:val="24"/>
        </w:rPr>
        <w:t>ir j</w:t>
      </w:r>
      <w:r w:rsidR="00831DD0">
        <w:rPr>
          <w:szCs w:val="24"/>
        </w:rPr>
        <w:t>į</w:t>
      </w:r>
      <w:r w:rsidR="002060F8" w:rsidRPr="00096ADF">
        <w:rPr>
          <w:szCs w:val="24"/>
        </w:rPr>
        <w:t xml:space="preserve"> išdėstyti taip:</w:t>
      </w:r>
    </w:p>
    <w:p w14:paraId="7E548C4F" w14:textId="13F1A18F" w:rsidR="00807921" w:rsidRPr="007C37F5" w:rsidRDefault="002060F8" w:rsidP="006D2FE1">
      <w:pPr>
        <w:ind w:firstLine="720"/>
        <w:jc w:val="center"/>
        <w:rPr>
          <w:szCs w:val="24"/>
        </w:rPr>
      </w:pPr>
      <w:r w:rsidRPr="00096ADF">
        <w:rPr>
          <w:szCs w:val="24"/>
        </w:rPr>
        <w:t>„</w:t>
      </w:r>
      <w:r w:rsidR="007C37F5" w:rsidRPr="007C37F5">
        <w:rPr>
          <w:szCs w:val="24"/>
        </w:rPr>
        <w:t>ATSARGŲ ATASKAITŲ RENGIMAS IR TEIKIMAS EUROPOS KOMISIJAI</w:t>
      </w:r>
      <w:r w:rsidR="007C37F5">
        <w:rPr>
          <w:szCs w:val="24"/>
        </w:rPr>
        <w:t xml:space="preserve"> </w:t>
      </w:r>
      <w:r w:rsidR="007C37F5">
        <w:rPr>
          <w:b/>
          <w:bCs/>
          <w:szCs w:val="24"/>
        </w:rPr>
        <w:t>IR TARPTAUTINEI ENERGETIKOS AGENTŪRAI</w:t>
      </w:r>
      <w:r w:rsidR="007C37F5">
        <w:rPr>
          <w:szCs w:val="24"/>
        </w:rPr>
        <w:t>“</w:t>
      </w:r>
      <w:r w:rsidR="00A41B22">
        <w:rPr>
          <w:szCs w:val="24"/>
        </w:rPr>
        <w:t>.</w:t>
      </w:r>
    </w:p>
    <w:p w14:paraId="653E9AF8" w14:textId="6B7FB2F6" w:rsidR="00E51446" w:rsidRPr="00C964CC" w:rsidRDefault="00CA2BBC" w:rsidP="006D2FE1">
      <w:pPr>
        <w:ind w:firstLine="720"/>
        <w:jc w:val="both"/>
        <w:rPr>
          <w:szCs w:val="24"/>
        </w:rPr>
      </w:pPr>
      <w:r w:rsidRPr="003C307C">
        <w:rPr>
          <w:szCs w:val="24"/>
        </w:rPr>
        <w:t>2</w:t>
      </w:r>
      <w:r w:rsidR="00AC2687" w:rsidRPr="00CC64F2">
        <w:rPr>
          <w:szCs w:val="24"/>
        </w:rPr>
        <w:t>.5</w:t>
      </w:r>
      <w:r w:rsidR="00AC2687">
        <w:rPr>
          <w:szCs w:val="24"/>
        </w:rPr>
        <w:t xml:space="preserve">. </w:t>
      </w:r>
      <w:r w:rsidR="00E51446" w:rsidRPr="00C964CC">
        <w:rPr>
          <w:szCs w:val="24"/>
        </w:rPr>
        <w:t xml:space="preserve">Pakeisti </w:t>
      </w:r>
      <w:r w:rsidR="001D6EF1">
        <w:rPr>
          <w:szCs w:val="24"/>
        </w:rPr>
        <w:t>2</w:t>
      </w:r>
      <w:r w:rsidR="001D6EF1" w:rsidRPr="00096ADF">
        <w:rPr>
          <w:szCs w:val="24"/>
        </w:rPr>
        <w:t xml:space="preserve"> </w:t>
      </w:r>
      <w:r w:rsidR="001D6EF1">
        <w:rPr>
          <w:szCs w:val="24"/>
        </w:rPr>
        <w:t xml:space="preserve">priedo </w:t>
      </w:r>
      <w:r w:rsidR="006E0E14">
        <w:rPr>
          <w:szCs w:val="24"/>
        </w:rPr>
        <w:t>4 punktą</w:t>
      </w:r>
      <w:r w:rsidR="00E51446" w:rsidRPr="00C964CC">
        <w:rPr>
          <w:szCs w:val="24"/>
        </w:rPr>
        <w:t xml:space="preserve"> ir </w:t>
      </w:r>
      <w:r w:rsidR="00F42434">
        <w:rPr>
          <w:szCs w:val="24"/>
        </w:rPr>
        <w:t xml:space="preserve">jį </w:t>
      </w:r>
      <w:r w:rsidR="00E51446" w:rsidRPr="00C964CC">
        <w:rPr>
          <w:szCs w:val="24"/>
        </w:rPr>
        <w:t>išdėstyti jį taip:</w:t>
      </w:r>
    </w:p>
    <w:p w14:paraId="27AD4DF3" w14:textId="7BDEE424" w:rsidR="004D4311" w:rsidRPr="004D4311" w:rsidRDefault="00E51446" w:rsidP="006D2FE1">
      <w:pPr>
        <w:ind w:firstLine="720"/>
        <w:jc w:val="both"/>
        <w:rPr>
          <w:szCs w:val="24"/>
        </w:rPr>
      </w:pPr>
      <w:r w:rsidRPr="00C964CC">
        <w:rPr>
          <w:szCs w:val="24"/>
        </w:rPr>
        <w:t>„</w:t>
      </w:r>
      <w:r w:rsidR="00F42434">
        <w:rPr>
          <w:szCs w:val="24"/>
        </w:rPr>
        <w:t>4.</w:t>
      </w:r>
      <w:r w:rsidR="00A21F18">
        <w:rPr>
          <w:szCs w:val="24"/>
        </w:rPr>
        <w:t xml:space="preserve"> </w:t>
      </w:r>
      <w:r w:rsidR="004D4311" w:rsidRPr="004D4311">
        <w:rPr>
          <w:szCs w:val="24"/>
        </w:rPr>
        <w:t xml:space="preserve">Mėnesines atsargų statistines suvestines Lietuvos statistikos departamentas </w:t>
      </w:r>
      <w:r w:rsidR="004D4311" w:rsidRPr="00BA4B84">
        <w:rPr>
          <w:szCs w:val="24"/>
        </w:rPr>
        <w:t>teikia Europos Komisijai</w:t>
      </w:r>
      <w:r w:rsidR="00E706CC">
        <w:rPr>
          <w:szCs w:val="24"/>
        </w:rPr>
        <w:t xml:space="preserve"> </w:t>
      </w:r>
      <w:r w:rsidR="00E706CC">
        <w:rPr>
          <w:b/>
          <w:bCs/>
          <w:szCs w:val="24"/>
        </w:rPr>
        <w:t>ir Tarptautinei energetikos agentūrai</w:t>
      </w:r>
      <w:r w:rsidR="004D4311" w:rsidRPr="00BA4B84">
        <w:rPr>
          <w:szCs w:val="24"/>
        </w:rPr>
        <w:t>, laikydamasis šių terminų</w:t>
      </w:r>
      <w:r w:rsidR="004D4311" w:rsidRPr="004D4311">
        <w:rPr>
          <w:szCs w:val="24"/>
        </w:rPr>
        <w:t>:</w:t>
      </w:r>
    </w:p>
    <w:p w14:paraId="3F243136" w14:textId="77777777" w:rsidR="00E706CC" w:rsidRPr="00E706CC" w:rsidRDefault="00E706CC" w:rsidP="006D2FE1">
      <w:pPr>
        <w:ind w:firstLine="720"/>
        <w:rPr>
          <w:szCs w:val="24"/>
        </w:rPr>
      </w:pPr>
      <w:r w:rsidRPr="00E706CC">
        <w:rPr>
          <w:szCs w:val="24"/>
        </w:rPr>
        <w:t>4.1. per 55 dienas nuo mėnesio, kurio duomenys teikiami, pabaigos;</w:t>
      </w:r>
    </w:p>
    <w:p w14:paraId="434D3082" w14:textId="205C544C" w:rsidR="00E706CC" w:rsidRPr="00B14847" w:rsidRDefault="00E706CC" w:rsidP="006D2FE1">
      <w:pPr>
        <w:ind w:firstLine="720"/>
        <w:jc w:val="both"/>
        <w:rPr>
          <w:szCs w:val="24"/>
        </w:rPr>
      </w:pPr>
      <w:r w:rsidRPr="00E706CC">
        <w:rPr>
          <w:szCs w:val="24"/>
        </w:rPr>
        <w:t xml:space="preserve">4.2. ne vėliau kaip per 2 mėnesius nuo Europos Komisijos </w:t>
      </w:r>
      <w:r w:rsidR="00A62A5E">
        <w:rPr>
          <w:b/>
          <w:bCs/>
          <w:szCs w:val="24"/>
        </w:rPr>
        <w:t xml:space="preserve">ar Tarptautinės energetikos agentūros </w:t>
      </w:r>
      <w:r w:rsidRPr="00E706CC">
        <w:rPr>
          <w:szCs w:val="24"/>
        </w:rPr>
        <w:t>prašymo gavimo dienos.</w:t>
      </w:r>
      <w:r>
        <w:rPr>
          <w:szCs w:val="24"/>
        </w:rPr>
        <w:t>“</w:t>
      </w:r>
    </w:p>
    <w:p w14:paraId="139437BF" w14:textId="1D017F8E" w:rsidR="00D63DF6" w:rsidRDefault="00CA2BBC" w:rsidP="006D2FE1">
      <w:pPr>
        <w:ind w:firstLine="720"/>
        <w:jc w:val="both"/>
        <w:rPr>
          <w:szCs w:val="24"/>
        </w:rPr>
      </w:pPr>
      <w:r w:rsidRPr="003C307C">
        <w:rPr>
          <w:szCs w:val="24"/>
        </w:rPr>
        <w:t>2</w:t>
      </w:r>
      <w:r w:rsidR="00CC64F2" w:rsidRPr="00CC64F2">
        <w:rPr>
          <w:szCs w:val="24"/>
        </w:rPr>
        <w:t>.</w:t>
      </w:r>
      <w:r w:rsidR="00EF32F0">
        <w:rPr>
          <w:szCs w:val="24"/>
        </w:rPr>
        <w:t>6</w:t>
      </w:r>
      <w:r w:rsidR="00CC64F2">
        <w:rPr>
          <w:szCs w:val="24"/>
        </w:rPr>
        <w:t xml:space="preserve">. Papildyti </w:t>
      </w:r>
      <w:r w:rsidR="00C7703B">
        <w:rPr>
          <w:szCs w:val="24"/>
        </w:rPr>
        <w:t>2</w:t>
      </w:r>
      <w:r w:rsidR="00C7703B" w:rsidRPr="00096ADF">
        <w:rPr>
          <w:szCs w:val="24"/>
        </w:rPr>
        <w:t xml:space="preserve"> </w:t>
      </w:r>
      <w:r w:rsidR="00C7703B">
        <w:rPr>
          <w:szCs w:val="24"/>
        </w:rPr>
        <w:t xml:space="preserve">priedą </w:t>
      </w:r>
      <w:r w:rsidR="00D63DF6">
        <w:rPr>
          <w:szCs w:val="24"/>
        </w:rPr>
        <w:t>4</w:t>
      </w:r>
      <w:r w:rsidR="00D63DF6" w:rsidRPr="00D63DF6">
        <w:rPr>
          <w:szCs w:val="24"/>
          <w:vertAlign w:val="superscript"/>
        </w:rPr>
        <w:t>1</w:t>
      </w:r>
      <w:r w:rsidR="00D63DF6">
        <w:rPr>
          <w:szCs w:val="24"/>
        </w:rPr>
        <w:t xml:space="preserve"> punktu:</w:t>
      </w:r>
    </w:p>
    <w:p w14:paraId="2134C17F" w14:textId="6D3459DD" w:rsidR="00FD7632" w:rsidRDefault="00FD7632" w:rsidP="006D2FE1">
      <w:pPr>
        <w:ind w:firstLine="720"/>
        <w:jc w:val="both"/>
        <w:rPr>
          <w:szCs w:val="24"/>
        </w:rPr>
      </w:pPr>
      <w:r w:rsidRPr="00D45E80">
        <w:rPr>
          <w:szCs w:val="24"/>
        </w:rPr>
        <w:t>„</w:t>
      </w:r>
      <w:r>
        <w:rPr>
          <w:szCs w:val="24"/>
        </w:rPr>
        <w:t>4</w:t>
      </w:r>
      <w:r w:rsidRPr="00D63DF6">
        <w:rPr>
          <w:szCs w:val="24"/>
          <w:vertAlign w:val="superscript"/>
        </w:rPr>
        <w:t>1</w:t>
      </w:r>
      <w:r>
        <w:rPr>
          <w:szCs w:val="24"/>
        </w:rPr>
        <w:t xml:space="preserve">. </w:t>
      </w:r>
      <w:r>
        <w:rPr>
          <w:b/>
          <w:bCs/>
          <w:szCs w:val="24"/>
        </w:rPr>
        <w:t>Tarptautin</w:t>
      </w:r>
      <w:r w:rsidR="000E15BD">
        <w:rPr>
          <w:b/>
          <w:bCs/>
          <w:szCs w:val="24"/>
        </w:rPr>
        <w:t>ės</w:t>
      </w:r>
      <w:r>
        <w:rPr>
          <w:b/>
          <w:bCs/>
          <w:szCs w:val="24"/>
        </w:rPr>
        <w:t xml:space="preserve"> energetikos agentūr</w:t>
      </w:r>
      <w:r w:rsidR="000E15BD">
        <w:rPr>
          <w:b/>
          <w:bCs/>
          <w:szCs w:val="24"/>
        </w:rPr>
        <w:t>os</w:t>
      </w:r>
      <w:r>
        <w:rPr>
          <w:b/>
          <w:bCs/>
          <w:szCs w:val="24"/>
        </w:rPr>
        <w:t xml:space="preserve"> </w:t>
      </w:r>
      <w:r w:rsidR="000E15BD">
        <w:rPr>
          <w:b/>
          <w:bCs/>
          <w:szCs w:val="24"/>
        </w:rPr>
        <w:t>prašymu</w:t>
      </w:r>
      <w:r>
        <w:rPr>
          <w:b/>
          <w:bCs/>
          <w:szCs w:val="24"/>
        </w:rPr>
        <w:t xml:space="preserve"> </w:t>
      </w:r>
      <w:r w:rsidRPr="00621346">
        <w:rPr>
          <w:b/>
          <w:bCs/>
          <w:szCs w:val="24"/>
        </w:rPr>
        <w:t>Lietuvos statistikos departamentas teikia</w:t>
      </w:r>
      <w:r w:rsidRPr="00621346">
        <w:rPr>
          <w:szCs w:val="24"/>
        </w:rPr>
        <w:t xml:space="preserve"> </w:t>
      </w:r>
      <w:r>
        <w:rPr>
          <w:b/>
          <w:bCs/>
          <w:szCs w:val="24"/>
        </w:rPr>
        <w:t xml:space="preserve">atsargų statistines suvestines Tarptautinės energetikos agentūros nurodytais terminais, apimtimi ir periodiškumu pagal prašymą, susijusį su Tarptautinės energetikos agentūros valdybos tarptautiniu sprendimu panaudoti atsargas </w:t>
      </w:r>
      <w:r w:rsidR="003F2D4A">
        <w:rPr>
          <w:b/>
          <w:szCs w:val="24"/>
        </w:rPr>
        <w:t xml:space="preserve">pagal </w:t>
      </w:r>
      <w:r w:rsidR="003F2D4A" w:rsidRPr="006B5416">
        <w:rPr>
          <w:b/>
          <w:szCs w:val="24"/>
        </w:rPr>
        <w:t>1974</w:t>
      </w:r>
      <w:r w:rsidR="003F2D4A">
        <w:rPr>
          <w:b/>
          <w:szCs w:val="24"/>
        </w:rPr>
        <w:t xml:space="preserve"> m. lapkričio </w:t>
      </w:r>
      <w:r w:rsidR="003F2D4A" w:rsidRPr="006B5416">
        <w:rPr>
          <w:b/>
          <w:szCs w:val="24"/>
        </w:rPr>
        <w:t>18</w:t>
      </w:r>
      <w:r w:rsidR="003F2D4A">
        <w:rPr>
          <w:b/>
          <w:szCs w:val="24"/>
        </w:rPr>
        <w:t> d. Susitarimą dėl tarptautinės energetikos programos</w:t>
      </w:r>
      <w:r w:rsidR="005968D1">
        <w:rPr>
          <w:b/>
          <w:szCs w:val="24"/>
        </w:rPr>
        <w:t>,</w:t>
      </w:r>
      <w:r w:rsidR="003F2D4A">
        <w:rPr>
          <w:b/>
          <w:szCs w:val="24"/>
        </w:rPr>
        <w:t xml:space="preserve"> </w:t>
      </w:r>
      <w:r>
        <w:rPr>
          <w:b/>
          <w:bCs/>
          <w:szCs w:val="24"/>
        </w:rPr>
        <w:t>ar</w:t>
      </w:r>
      <w:r w:rsidR="00831DD0">
        <w:rPr>
          <w:b/>
          <w:bCs/>
          <w:szCs w:val="24"/>
        </w:rPr>
        <w:t>ba</w:t>
      </w:r>
      <w:r>
        <w:rPr>
          <w:b/>
          <w:bCs/>
          <w:szCs w:val="24"/>
        </w:rPr>
        <w:t xml:space="preserve"> Tarptautinei energetikos agentūrai</w:t>
      </w:r>
      <w:r w:rsidRPr="00756A1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paskelbus ekstremaliosios padėties pratybas.</w:t>
      </w:r>
      <w:r w:rsidRPr="00C964CC">
        <w:rPr>
          <w:szCs w:val="24"/>
        </w:rPr>
        <w:t>“</w:t>
      </w:r>
    </w:p>
    <w:p w14:paraId="01A76CC8" w14:textId="6F2CA45B" w:rsidR="00550A5B" w:rsidRPr="00C964CC" w:rsidRDefault="00550A5B" w:rsidP="006D2FE1">
      <w:pPr>
        <w:ind w:firstLine="720"/>
        <w:jc w:val="both"/>
        <w:rPr>
          <w:szCs w:val="24"/>
        </w:rPr>
      </w:pPr>
      <w:r w:rsidRPr="003C307C">
        <w:rPr>
          <w:szCs w:val="24"/>
        </w:rPr>
        <w:t>2</w:t>
      </w:r>
      <w:r w:rsidRPr="00CC64F2">
        <w:rPr>
          <w:szCs w:val="24"/>
        </w:rPr>
        <w:t>.</w:t>
      </w:r>
      <w:r w:rsidR="00C34CFF" w:rsidRPr="001A13A0">
        <w:rPr>
          <w:szCs w:val="24"/>
        </w:rPr>
        <w:t>7</w:t>
      </w:r>
      <w:r>
        <w:rPr>
          <w:szCs w:val="24"/>
        </w:rPr>
        <w:t xml:space="preserve">. </w:t>
      </w:r>
      <w:r w:rsidRPr="00C964CC">
        <w:rPr>
          <w:szCs w:val="24"/>
        </w:rPr>
        <w:t xml:space="preserve">Pakeisti </w:t>
      </w:r>
      <w:r>
        <w:rPr>
          <w:szCs w:val="24"/>
        </w:rPr>
        <w:t>2</w:t>
      </w:r>
      <w:r w:rsidRPr="00096ADF">
        <w:rPr>
          <w:szCs w:val="24"/>
        </w:rPr>
        <w:t xml:space="preserve"> </w:t>
      </w:r>
      <w:r>
        <w:rPr>
          <w:szCs w:val="24"/>
        </w:rPr>
        <w:t xml:space="preserve">priedo </w:t>
      </w:r>
      <w:r w:rsidR="0046076A" w:rsidRPr="001A13A0">
        <w:rPr>
          <w:szCs w:val="24"/>
        </w:rPr>
        <w:t>9.1</w:t>
      </w:r>
      <w:r>
        <w:rPr>
          <w:szCs w:val="24"/>
        </w:rPr>
        <w:t xml:space="preserve"> </w:t>
      </w:r>
      <w:r w:rsidR="0046076A">
        <w:rPr>
          <w:szCs w:val="24"/>
        </w:rPr>
        <w:t>pa</w:t>
      </w:r>
      <w:r>
        <w:rPr>
          <w:szCs w:val="24"/>
        </w:rPr>
        <w:t>punkt</w:t>
      </w:r>
      <w:r w:rsidR="0046076A">
        <w:rPr>
          <w:szCs w:val="24"/>
        </w:rPr>
        <w:t>į</w:t>
      </w:r>
      <w:r w:rsidRPr="00C964CC">
        <w:rPr>
          <w:szCs w:val="24"/>
        </w:rPr>
        <w:t xml:space="preserve"> ir </w:t>
      </w:r>
      <w:r>
        <w:rPr>
          <w:szCs w:val="24"/>
        </w:rPr>
        <w:t xml:space="preserve">jį </w:t>
      </w:r>
      <w:r w:rsidRPr="00C964CC">
        <w:rPr>
          <w:szCs w:val="24"/>
        </w:rPr>
        <w:t>išdėstyti jį taip:</w:t>
      </w:r>
    </w:p>
    <w:p w14:paraId="0C685884" w14:textId="1327D09A" w:rsidR="00550A5B" w:rsidRDefault="00550A5B" w:rsidP="006D2FE1">
      <w:pPr>
        <w:ind w:firstLine="720"/>
        <w:jc w:val="both"/>
        <w:rPr>
          <w:szCs w:val="24"/>
        </w:rPr>
      </w:pPr>
      <w:r w:rsidRPr="00C964CC">
        <w:rPr>
          <w:szCs w:val="24"/>
        </w:rPr>
        <w:t>„</w:t>
      </w:r>
      <w:r w:rsidR="00961B70">
        <w:rPr>
          <w:color w:val="000000"/>
        </w:rPr>
        <w:t xml:space="preserve">9.1. iki kiekvienų </w:t>
      </w:r>
      <w:r w:rsidR="00961B70" w:rsidRPr="001A13A0">
        <w:rPr>
          <w:strike/>
          <w:color w:val="000000"/>
        </w:rPr>
        <w:t>kalendorinių</w:t>
      </w:r>
      <w:r w:rsidR="00961B70">
        <w:rPr>
          <w:color w:val="000000"/>
        </w:rPr>
        <w:t xml:space="preserve"> metų </w:t>
      </w:r>
      <w:r w:rsidR="00961B70" w:rsidRPr="008B07F3">
        <w:rPr>
          <w:strike/>
          <w:color w:val="000000"/>
        </w:rPr>
        <w:t>vasario 25 d.</w:t>
      </w:r>
      <w:r w:rsidR="00961B70">
        <w:rPr>
          <w:color w:val="000000"/>
        </w:rPr>
        <w:t xml:space="preserve"> </w:t>
      </w:r>
      <w:r w:rsidR="00961B70">
        <w:rPr>
          <w:b/>
          <w:bCs/>
          <w:color w:val="000000"/>
        </w:rPr>
        <w:t xml:space="preserve">kovo </w:t>
      </w:r>
      <w:r w:rsidR="00961B70" w:rsidRPr="001A13A0">
        <w:rPr>
          <w:b/>
          <w:bCs/>
          <w:color w:val="000000"/>
        </w:rPr>
        <w:t>1</w:t>
      </w:r>
      <w:r w:rsidR="0070155B" w:rsidRPr="001A13A0">
        <w:rPr>
          <w:b/>
          <w:bCs/>
          <w:color w:val="000000"/>
        </w:rPr>
        <w:t>5</w:t>
      </w:r>
      <w:r w:rsidR="0070155B">
        <w:rPr>
          <w:b/>
          <w:bCs/>
          <w:color w:val="000000"/>
        </w:rPr>
        <w:t xml:space="preserve"> d. </w:t>
      </w:r>
      <w:r w:rsidR="00961B70">
        <w:rPr>
          <w:color w:val="000000"/>
        </w:rPr>
        <w:t>– atsargų informacinės sistemos išrašą, kuriame pateikiama informacija apie praėjusiais kalendoriniais metais į atsargų informacinę sistemą įtrauktas Lietuvos Respublikoje kaupiamas atsargas, jų kiekius ir produktų kategorijas;“</w:t>
      </w:r>
      <w:r w:rsidR="00497BBC">
        <w:rPr>
          <w:color w:val="000000"/>
        </w:rPr>
        <w:t>.</w:t>
      </w:r>
    </w:p>
    <w:p w14:paraId="50CAE4A2" w14:textId="27C12F3D" w:rsidR="0001454F" w:rsidRPr="00735326" w:rsidRDefault="0001454F" w:rsidP="0001454F">
      <w:pPr>
        <w:ind w:firstLine="720"/>
        <w:jc w:val="both"/>
        <w:rPr>
          <w:szCs w:val="24"/>
        </w:rPr>
      </w:pPr>
      <w:r w:rsidRPr="00735326">
        <w:rPr>
          <w:szCs w:val="24"/>
        </w:rPr>
        <w:t>3. </w:t>
      </w:r>
      <w:r w:rsidR="00BF10C7">
        <w:rPr>
          <w:szCs w:val="24"/>
        </w:rPr>
        <w:t>Šiuo n</w:t>
      </w:r>
      <w:r w:rsidR="00BF10C7" w:rsidRPr="00735326">
        <w:rPr>
          <w:szCs w:val="24"/>
        </w:rPr>
        <w:t xml:space="preserve">utarimu </w:t>
      </w:r>
      <w:r w:rsidR="00BF10C7">
        <w:rPr>
          <w:szCs w:val="24"/>
        </w:rPr>
        <w:t>keičiamų</w:t>
      </w:r>
      <w:r w:rsidR="00BF10C7" w:rsidRPr="00735326">
        <w:rPr>
          <w:szCs w:val="24"/>
        </w:rPr>
        <w:t xml:space="preserve"> </w:t>
      </w:r>
      <w:r w:rsidRPr="00735326">
        <w:rPr>
          <w:szCs w:val="24"/>
        </w:rPr>
        <w:t>Naftos produktų ir naftos valstybės atsargų sudarymo reglamentavimo, tvarkymo, kaupimo, naudojimo ir priežiūr</w:t>
      </w:r>
      <w:bookmarkStart w:id="0" w:name="_GoBack"/>
      <w:bookmarkEnd w:id="0"/>
      <w:r w:rsidRPr="00735326">
        <w:rPr>
          <w:szCs w:val="24"/>
        </w:rPr>
        <w:t>os taisyklių nuostatos, susijusios su įsipareigojimais Tarptautinei energetikos agentūrai, taikomos nuo 1974 m. lapkričio 18 d. Susitarimo dėl tarptautinės energetikos programos įsigaliojimo Lietuvos Respublikai dienos.</w:t>
      </w:r>
    </w:p>
    <w:p w14:paraId="1FF3387D" w14:textId="77777777" w:rsidR="0001454F" w:rsidRPr="006846B5" w:rsidRDefault="0001454F">
      <w:pPr>
        <w:ind w:firstLine="709"/>
        <w:jc w:val="both"/>
        <w:rPr>
          <w:color w:val="000000"/>
          <w:szCs w:val="24"/>
          <w:lang w:eastAsia="lt-LT"/>
        </w:rPr>
      </w:pPr>
    </w:p>
    <w:p w14:paraId="11399938" w14:textId="77777777" w:rsidR="006737F6" w:rsidRPr="00263625" w:rsidRDefault="006737F6" w:rsidP="006D2FE1">
      <w:pPr>
        <w:ind w:firstLine="720"/>
        <w:jc w:val="both"/>
        <w:rPr>
          <w:szCs w:val="24"/>
        </w:rPr>
      </w:pPr>
    </w:p>
    <w:p w14:paraId="16EAB1F3" w14:textId="77777777" w:rsidR="00A16734" w:rsidRPr="00924556" w:rsidRDefault="00A16734">
      <w:pPr>
        <w:rPr>
          <w:szCs w:val="24"/>
        </w:rPr>
      </w:pPr>
    </w:p>
    <w:p w14:paraId="44B965A8" w14:textId="6E31194E" w:rsidR="00A16734" w:rsidRPr="00924556" w:rsidRDefault="00A16734">
      <w:pPr>
        <w:rPr>
          <w:szCs w:val="24"/>
        </w:rPr>
      </w:pPr>
      <w:r w:rsidRPr="00924556">
        <w:rPr>
          <w:szCs w:val="24"/>
        </w:rPr>
        <w:t>Ministras Pirmininkas</w:t>
      </w:r>
    </w:p>
    <w:p w14:paraId="177DC895" w14:textId="77777777" w:rsidR="00A16734" w:rsidRPr="00C964CC" w:rsidRDefault="00A16734">
      <w:pPr>
        <w:rPr>
          <w:szCs w:val="24"/>
        </w:rPr>
      </w:pPr>
    </w:p>
    <w:p w14:paraId="4F84BAD8" w14:textId="6D5766D7" w:rsidR="00A16734" w:rsidRPr="00C964CC" w:rsidRDefault="00A16734">
      <w:pPr>
        <w:rPr>
          <w:szCs w:val="24"/>
        </w:rPr>
      </w:pPr>
    </w:p>
    <w:p w14:paraId="4D113BD1" w14:textId="77777777" w:rsidR="00F64549" w:rsidRPr="00C964CC" w:rsidRDefault="00F64549">
      <w:pPr>
        <w:rPr>
          <w:szCs w:val="24"/>
        </w:rPr>
      </w:pPr>
    </w:p>
    <w:p w14:paraId="3200CB95" w14:textId="77777777" w:rsidR="00A16734" w:rsidRPr="00C964CC" w:rsidRDefault="00A16734">
      <w:pPr>
        <w:rPr>
          <w:szCs w:val="24"/>
        </w:rPr>
      </w:pPr>
      <w:r w:rsidRPr="00C964CC">
        <w:rPr>
          <w:szCs w:val="24"/>
        </w:rPr>
        <w:t>Energetikos ministras</w:t>
      </w:r>
    </w:p>
    <w:sectPr w:rsidR="00A16734" w:rsidRPr="00C964CC" w:rsidSect="002B34DE"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A1EF5" w16cex:dateUtc="2020-12-08T13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A7EE7" w14:textId="77777777" w:rsidR="003A131C" w:rsidRDefault="003A131C" w:rsidP="002B34DE">
      <w:r>
        <w:separator/>
      </w:r>
    </w:p>
  </w:endnote>
  <w:endnote w:type="continuationSeparator" w:id="0">
    <w:p w14:paraId="65A875B3" w14:textId="77777777" w:rsidR="003A131C" w:rsidRDefault="003A131C" w:rsidP="002B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D3E54" w14:textId="77777777" w:rsidR="003A131C" w:rsidRDefault="003A131C" w:rsidP="002B34DE">
      <w:r>
        <w:separator/>
      </w:r>
    </w:p>
  </w:footnote>
  <w:footnote w:type="continuationSeparator" w:id="0">
    <w:p w14:paraId="70117FCA" w14:textId="77777777" w:rsidR="003A131C" w:rsidRDefault="003A131C" w:rsidP="002B3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801600"/>
      <w:docPartObj>
        <w:docPartGallery w:val="Page Numbers (Top of Page)"/>
        <w:docPartUnique/>
      </w:docPartObj>
    </w:sdtPr>
    <w:sdtEndPr/>
    <w:sdtContent>
      <w:p w14:paraId="28243101" w14:textId="2531DA6C" w:rsidR="002B34DE" w:rsidRDefault="002B34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886FB1" w14:textId="77777777" w:rsidR="002B34DE" w:rsidRDefault="002B34D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17"/>
    <w:rsid w:val="00000C12"/>
    <w:rsid w:val="000016F9"/>
    <w:rsid w:val="00003591"/>
    <w:rsid w:val="000036B4"/>
    <w:rsid w:val="00004288"/>
    <w:rsid w:val="000060C0"/>
    <w:rsid w:val="0000674D"/>
    <w:rsid w:val="0001059A"/>
    <w:rsid w:val="00011514"/>
    <w:rsid w:val="00012821"/>
    <w:rsid w:val="0001362C"/>
    <w:rsid w:val="0001454F"/>
    <w:rsid w:val="00014594"/>
    <w:rsid w:val="00014BA6"/>
    <w:rsid w:val="00017188"/>
    <w:rsid w:val="00021E17"/>
    <w:rsid w:val="0002216F"/>
    <w:rsid w:val="0003168C"/>
    <w:rsid w:val="00031CD1"/>
    <w:rsid w:val="00034142"/>
    <w:rsid w:val="000417BF"/>
    <w:rsid w:val="0004316A"/>
    <w:rsid w:val="00043439"/>
    <w:rsid w:val="000450AD"/>
    <w:rsid w:val="0004577D"/>
    <w:rsid w:val="00045F50"/>
    <w:rsid w:val="00047728"/>
    <w:rsid w:val="00047D4A"/>
    <w:rsid w:val="00051449"/>
    <w:rsid w:val="00053074"/>
    <w:rsid w:val="00053946"/>
    <w:rsid w:val="000546D6"/>
    <w:rsid w:val="0005774D"/>
    <w:rsid w:val="00060556"/>
    <w:rsid w:val="000605FB"/>
    <w:rsid w:val="00061F54"/>
    <w:rsid w:val="00063D25"/>
    <w:rsid w:val="0006475C"/>
    <w:rsid w:val="00064818"/>
    <w:rsid w:val="00066444"/>
    <w:rsid w:val="00066A44"/>
    <w:rsid w:val="00070061"/>
    <w:rsid w:val="00070734"/>
    <w:rsid w:val="0007107C"/>
    <w:rsid w:val="00071399"/>
    <w:rsid w:val="00072C55"/>
    <w:rsid w:val="00072F1A"/>
    <w:rsid w:val="000732BB"/>
    <w:rsid w:val="000732D6"/>
    <w:rsid w:val="00077531"/>
    <w:rsid w:val="00077868"/>
    <w:rsid w:val="00077CAF"/>
    <w:rsid w:val="00080616"/>
    <w:rsid w:val="00080CD8"/>
    <w:rsid w:val="00082525"/>
    <w:rsid w:val="00083D9C"/>
    <w:rsid w:val="00086B56"/>
    <w:rsid w:val="00086BF0"/>
    <w:rsid w:val="000905D3"/>
    <w:rsid w:val="000927C4"/>
    <w:rsid w:val="00093957"/>
    <w:rsid w:val="0009403B"/>
    <w:rsid w:val="00096087"/>
    <w:rsid w:val="00096ADF"/>
    <w:rsid w:val="0009781C"/>
    <w:rsid w:val="000A0B5D"/>
    <w:rsid w:val="000A279D"/>
    <w:rsid w:val="000A27F0"/>
    <w:rsid w:val="000A4BDB"/>
    <w:rsid w:val="000A5085"/>
    <w:rsid w:val="000A5565"/>
    <w:rsid w:val="000A7031"/>
    <w:rsid w:val="000B0A12"/>
    <w:rsid w:val="000B0B3A"/>
    <w:rsid w:val="000B1F0E"/>
    <w:rsid w:val="000B233A"/>
    <w:rsid w:val="000B28CE"/>
    <w:rsid w:val="000B46FB"/>
    <w:rsid w:val="000B4D4F"/>
    <w:rsid w:val="000B5321"/>
    <w:rsid w:val="000B544B"/>
    <w:rsid w:val="000B59C9"/>
    <w:rsid w:val="000B608B"/>
    <w:rsid w:val="000C383B"/>
    <w:rsid w:val="000C5C1F"/>
    <w:rsid w:val="000D1394"/>
    <w:rsid w:val="000D1D8C"/>
    <w:rsid w:val="000D2769"/>
    <w:rsid w:val="000D2C1E"/>
    <w:rsid w:val="000D6081"/>
    <w:rsid w:val="000D619A"/>
    <w:rsid w:val="000D79E4"/>
    <w:rsid w:val="000D7DA9"/>
    <w:rsid w:val="000E1046"/>
    <w:rsid w:val="000E15BD"/>
    <w:rsid w:val="000E3F38"/>
    <w:rsid w:val="000E682C"/>
    <w:rsid w:val="000F276A"/>
    <w:rsid w:val="000F3B16"/>
    <w:rsid w:val="000F7802"/>
    <w:rsid w:val="000F7BE4"/>
    <w:rsid w:val="00100174"/>
    <w:rsid w:val="00103B14"/>
    <w:rsid w:val="00104ABE"/>
    <w:rsid w:val="00106BE3"/>
    <w:rsid w:val="00107501"/>
    <w:rsid w:val="00110A03"/>
    <w:rsid w:val="00110F80"/>
    <w:rsid w:val="00115113"/>
    <w:rsid w:val="001172BB"/>
    <w:rsid w:val="001215E9"/>
    <w:rsid w:val="00127733"/>
    <w:rsid w:val="00131CB8"/>
    <w:rsid w:val="0013490A"/>
    <w:rsid w:val="00136C83"/>
    <w:rsid w:val="00136D3C"/>
    <w:rsid w:val="00140E85"/>
    <w:rsid w:val="00142495"/>
    <w:rsid w:val="00144950"/>
    <w:rsid w:val="00144F9D"/>
    <w:rsid w:val="001451BD"/>
    <w:rsid w:val="00145BE6"/>
    <w:rsid w:val="0015049D"/>
    <w:rsid w:val="00151900"/>
    <w:rsid w:val="00151D2F"/>
    <w:rsid w:val="00153519"/>
    <w:rsid w:val="0015372A"/>
    <w:rsid w:val="00155B58"/>
    <w:rsid w:val="0015664D"/>
    <w:rsid w:val="0015691A"/>
    <w:rsid w:val="001629BC"/>
    <w:rsid w:val="001650BC"/>
    <w:rsid w:val="0017173E"/>
    <w:rsid w:val="0017283D"/>
    <w:rsid w:val="001735A6"/>
    <w:rsid w:val="001756EF"/>
    <w:rsid w:val="00180AA7"/>
    <w:rsid w:val="001810DC"/>
    <w:rsid w:val="001821BE"/>
    <w:rsid w:val="0018435C"/>
    <w:rsid w:val="001848C0"/>
    <w:rsid w:val="00186C37"/>
    <w:rsid w:val="00187791"/>
    <w:rsid w:val="00191411"/>
    <w:rsid w:val="00191D90"/>
    <w:rsid w:val="00192D6E"/>
    <w:rsid w:val="0019424E"/>
    <w:rsid w:val="0019610C"/>
    <w:rsid w:val="00196C9F"/>
    <w:rsid w:val="001974C2"/>
    <w:rsid w:val="001978D2"/>
    <w:rsid w:val="001A0442"/>
    <w:rsid w:val="001A0CF9"/>
    <w:rsid w:val="001A13A0"/>
    <w:rsid w:val="001A2132"/>
    <w:rsid w:val="001A216C"/>
    <w:rsid w:val="001A43D2"/>
    <w:rsid w:val="001B04CC"/>
    <w:rsid w:val="001B08A3"/>
    <w:rsid w:val="001B2D03"/>
    <w:rsid w:val="001B42CB"/>
    <w:rsid w:val="001C0095"/>
    <w:rsid w:val="001C1FAA"/>
    <w:rsid w:val="001C2883"/>
    <w:rsid w:val="001C37E5"/>
    <w:rsid w:val="001C4C39"/>
    <w:rsid w:val="001C5ED5"/>
    <w:rsid w:val="001C7CE3"/>
    <w:rsid w:val="001D004A"/>
    <w:rsid w:val="001D13B7"/>
    <w:rsid w:val="001D24F7"/>
    <w:rsid w:val="001D2885"/>
    <w:rsid w:val="001D4F87"/>
    <w:rsid w:val="001D675A"/>
    <w:rsid w:val="001D6EF1"/>
    <w:rsid w:val="001D6FF9"/>
    <w:rsid w:val="001E052E"/>
    <w:rsid w:val="001E0CEC"/>
    <w:rsid w:val="001E344E"/>
    <w:rsid w:val="001E3AE0"/>
    <w:rsid w:val="001E3EB7"/>
    <w:rsid w:val="001E6A8E"/>
    <w:rsid w:val="001F01DB"/>
    <w:rsid w:val="001F2460"/>
    <w:rsid w:val="001F3951"/>
    <w:rsid w:val="001F3EB7"/>
    <w:rsid w:val="001F5F06"/>
    <w:rsid w:val="001F69C5"/>
    <w:rsid w:val="001F6E71"/>
    <w:rsid w:val="00200DB3"/>
    <w:rsid w:val="00202E8E"/>
    <w:rsid w:val="00203E0F"/>
    <w:rsid w:val="002045F9"/>
    <w:rsid w:val="002060F8"/>
    <w:rsid w:val="0020760D"/>
    <w:rsid w:val="002076A3"/>
    <w:rsid w:val="00212E96"/>
    <w:rsid w:val="00213ED5"/>
    <w:rsid w:val="0021453B"/>
    <w:rsid w:val="0021670C"/>
    <w:rsid w:val="002215C5"/>
    <w:rsid w:val="00222452"/>
    <w:rsid w:val="00222936"/>
    <w:rsid w:val="0022387A"/>
    <w:rsid w:val="002245E9"/>
    <w:rsid w:val="00226018"/>
    <w:rsid w:val="0022679C"/>
    <w:rsid w:val="00226879"/>
    <w:rsid w:val="00227F0D"/>
    <w:rsid w:val="0023052D"/>
    <w:rsid w:val="002334F7"/>
    <w:rsid w:val="00234629"/>
    <w:rsid w:val="00234BD7"/>
    <w:rsid w:val="00235230"/>
    <w:rsid w:val="00235723"/>
    <w:rsid w:val="00236040"/>
    <w:rsid w:val="00237EBB"/>
    <w:rsid w:val="00240434"/>
    <w:rsid w:val="002422E3"/>
    <w:rsid w:val="00243C75"/>
    <w:rsid w:val="00243C79"/>
    <w:rsid w:val="00246372"/>
    <w:rsid w:val="00246DB5"/>
    <w:rsid w:val="00247432"/>
    <w:rsid w:val="00250B35"/>
    <w:rsid w:val="002514DF"/>
    <w:rsid w:val="00251920"/>
    <w:rsid w:val="0025213D"/>
    <w:rsid w:val="00254E3C"/>
    <w:rsid w:val="00256874"/>
    <w:rsid w:val="00256D55"/>
    <w:rsid w:val="00257E42"/>
    <w:rsid w:val="00262ABD"/>
    <w:rsid w:val="00263625"/>
    <w:rsid w:val="00265B41"/>
    <w:rsid w:val="002664C1"/>
    <w:rsid w:val="00270348"/>
    <w:rsid w:val="0027302C"/>
    <w:rsid w:val="002764A9"/>
    <w:rsid w:val="00277AC3"/>
    <w:rsid w:val="00277C30"/>
    <w:rsid w:val="00277D51"/>
    <w:rsid w:val="00281934"/>
    <w:rsid w:val="0028278E"/>
    <w:rsid w:val="00285AB6"/>
    <w:rsid w:val="00285BF8"/>
    <w:rsid w:val="00286797"/>
    <w:rsid w:val="00292718"/>
    <w:rsid w:val="00292FBA"/>
    <w:rsid w:val="0029328B"/>
    <w:rsid w:val="00293F69"/>
    <w:rsid w:val="002950FB"/>
    <w:rsid w:val="00296437"/>
    <w:rsid w:val="002A1187"/>
    <w:rsid w:val="002A3C5D"/>
    <w:rsid w:val="002A4069"/>
    <w:rsid w:val="002A5524"/>
    <w:rsid w:val="002A62AF"/>
    <w:rsid w:val="002A6CAC"/>
    <w:rsid w:val="002B34DE"/>
    <w:rsid w:val="002B4074"/>
    <w:rsid w:val="002B4BAD"/>
    <w:rsid w:val="002B7422"/>
    <w:rsid w:val="002B7C66"/>
    <w:rsid w:val="002C0773"/>
    <w:rsid w:val="002C231B"/>
    <w:rsid w:val="002C350C"/>
    <w:rsid w:val="002C3A76"/>
    <w:rsid w:val="002C3ACA"/>
    <w:rsid w:val="002C4362"/>
    <w:rsid w:val="002C6B5C"/>
    <w:rsid w:val="002C7EF9"/>
    <w:rsid w:val="002D6385"/>
    <w:rsid w:val="002D79B3"/>
    <w:rsid w:val="002E2B1E"/>
    <w:rsid w:val="002E380B"/>
    <w:rsid w:val="002E4224"/>
    <w:rsid w:val="002E4941"/>
    <w:rsid w:val="002E57D6"/>
    <w:rsid w:val="002F1C6E"/>
    <w:rsid w:val="002F2545"/>
    <w:rsid w:val="002F276C"/>
    <w:rsid w:val="002F3153"/>
    <w:rsid w:val="00301273"/>
    <w:rsid w:val="00306D21"/>
    <w:rsid w:val="00307669"/>
    <w:rsid w:val="00311943"/>
    <w:rsid w:val="003125F2"/>
    <w:rsid w:val="003130A4"/>
    <w:rsid w:val="00313E8E"/>
    <w:rsid w:val="00313F9C"/>
    <w:rsid w:val="00315688"/>
    <w:rsid w:val="00315700"/>
    <w:rsid w:val="00315869"/>
    <w:rsid w:val="00321867"/>
    <w:rsid w:val="003234A1"/>
    <w:rsid w:val="003250A3"/>
    <w:rsid w:val="003310A5"/>
    <w:rsid w:val="00333599"/>
    <w:rsid w:val="003360DF"/>
    <w:rsid w:val="00336DD0"/>
    <w:rsid w:val="00337A23"/>
    <w:rsid w:val="00345E5A"/>
    <w:rsid w:val="0034712A"/>
    <w:rsid w:val="00352022"/>
    <w:rsid w:val="00355EC8"/>
    <w:rsid w:val="00356363"/>
    <w:rsid w:val="00357B3C"/>
    <w:rsid w:val="00360C40"/>
    <w:rsid w:val="0036297C"/>
    <w:rsid w:val="003638BF"/>
    <w:rsid w:val="00365B84"/>
    <w:rsid w:val="00366874"/>
    <w:rsid w:val="003700DC"/>
    <w:rsid w:val="00375170"/>
    <w:rsid w:val="00375D5D"/>
    <w:rsid w:val="003765C0"/>
    <w:rsid w:val="00376801"/>
    <w:rsid w:val="00376854"/>
    <w:rsid w:val="00377402"/>
    <w:rsid w:val="00377F8E"/>
    <w:rsid w:val="003806AF"/>
    <w:rsid w:val="00384C5A"/>
    <w:rsid w:val="00387FF3"/>
    <w:rsid w:val="00393212"/>
    <w:rsid w:val="003940A8"/>
    <w:rsid w:val="003A01BB"/>
    <w:rsid w:val="003A131C"/>
    <w:rsid w:val="003A5916"/>
    <w:rsid w:val="003A6A2D"/>
    <w:rsid w:val="003A707D"/>
    <w:rsid w:val="003A725E"/>
    <w:rsid w:val="003A7D67"/>
    <w:rsid w:val="003B005A"/>
    <w:rsid w:val="003B3CB1"/>
    <w:rsid w:val="003B4009"/>
    <w:rsid w:val="003B6268"/>
    <w:rsid w:val="003B68D2"/>
    <w:rsid w:val="003B6CEE"/>
    <w:rsid w:val="003B7600"/>
    <w:rsid w:val="003C0120"/>
    <w:rsid w:val="003C021E"/>
    <w:rsid w:val="003C0271"/>
    <w:rsid w:val="003C14B6"/>
    <w:rsid w:val="003C307C"/>
    <w:rsid w:val="003C4C11"/>
    <w:rsid w:val="003C5394"/>
    <w:rsid w:val="003C53DD"/>
    <w:rsid w:val="003C6029"/>
    <w:rsid w:val="003C67E0"/>
    <w:rsid w:val="003C6923"/>
    <w:rsid w:val="003C7107"/>
    <w:rsid w:val="003C7238"/>
    <w:rsid w:val="003C7AF5"/>
    <w:rsid w:val="003D329A"/>
    <w:rsid w:val="003D6DF6"/>
    <w:rsid w:val="003E035C"/>
    <w:rsid w:val="003E36A6"/>
    <w:rsid w:val="003E4C10"/>
    <w:rsid w:val="003E5F53"/>
    <w:rsid w:val="003E674A"/>
    <w:rsid w:val="003F0F08"/>
    <w:rsid w:val="003F2D4A"/>
    <w:rsid w:val="003F4B6B"/>
    <w:rsid w:val="003F646B"/>
    <w:rsid w:val="003F6F50"/>
    <w:rsid w:val="003F7480"/>
    <w:rsid w:val="00401756"/>
    <w:rsid w:val="00403216"/>
    <w:rsid w:val="00403D94"/>
    <w:rsid w:val="00404A86"/>
    <w:rsid w:val="00406121"/>
    <w:rsid w:val="00406865"/>
    <w:rsid w:val="00407F91"/>
    <w:rsid w:val="0041298F"/>
    <w:rsid w:val="004141EC"/>
    <w:rsid w:val="00414F9C"/>
    <w:rsid w:val="00415526"/>
    <w:rsid w:val="00415EA6"/>
    <w:rsid w:val="00417237"/>
    <w:rsid w:val="00417AD1"/>
    <w:rsid w:val="00420F09"/>
    <w:rsid w:val="00422741"/>
    <w:rsid w:val="0042381E"/>
    <w:rsid w:val="004256F5"/>
    <w:rsid w:val="00430F02"/>
    <w:rsid w:val="0043440D"/>
    <w:rsid w:val="00435320"/>
    <w:rsid w:val="004355BE"/>
    <w:rsid w:val="004361FE"/>
    <w:rsid w:val="00442736"/>
    <w:rsid w:val="0044441F"/>
    <w:rsid w:val="00446176"/>
    <w:rsid w:val="004461FC"/>
    <w:rsid w:val="0045429C"/>
    <w:rsid w:val="004550F4"/>
    <w:rsid w:val="0045546A"/>
    <w:rsid w:val="00455A66"/>
    <w:rsid w:val="004578F2"/>
    <w:rsid w:val="0046076A"/>
    <w:rsid w:val="00460D51"/>
    <w:rsid w:val="0046118B"/>
    <w:rsid w:val="004614E6"/>
    <w:rsid w:val="00462491"/>
    <w:rsid w:val="00462F74"/>
    <w:rsid w:val="00463849"/>
    <w:rsid w:val="00463F9F"/>
    <w:rsid w:val="00464B95"/>
    <w:rsid w:val="004652A4"/>
    <w:rsid w:val="00470F5E"/>
    <w:rsid w:val="00470F66"/>
    <w:rsid w:val="0047354D"/>
    <w:rsid w:val="00473F6E"/>
    <w:rsid w:val="00476D89"/>
    <w:rsid w:val="0048110A"/>
    <w:rsid w:val="00481A5C"/>
    <w:rsid w:val="004821B9"/>
    <w:rsid w:val="004848F4"/>
    <w:rsid w:val="00484B49"/>
    <w:rsid w:val="00486285"/>
    <w:rsid w:val="00486617"/>
    <w:rsid w:val="00486A54"/>
    <w:rsid w:val="00487612"/>
    <w:rsid w:val="00487D2B"/>
    <w:rsid w:val="00490A53"/>
    <w:rsid w:val="004915F8"/>
    <w:rsid w:val="004936C4"/>
    <w:rsid w:val="00495DD0"/>
    <w:rsid w:val="00497BBC"/>
    <w:rsid w:val="004A017B"/>
    <w:rsid w:val="004A0C7A"/>
    <w:rsid w:val="004A29EE"/>
    <w:rsid w:val="004A3D80"/>
    <w:rsid w:val="004A3EFD"/>
    <w:rsid w:val="004B0172"/>
    <w:rsid w:val="004B02DC"/>
    <w:rsid w:val="004B06F4"/>
    <w:rsid w:val="004B0B49"/>
    <w:rsid w:val="004B6F3B"/>
    <w:rsid w:val="004C1AB8"/>
    <w:rsid w:val="004C25D6"/>
    <w:rsid w:val="004C3767"/>
    <w:rsid w:val="004C3BF3"/>
    <w:rsid w:val="004C5730"/>
    <w:rsid w:val="004C5BE7"/>
    <w:rsid w:val="004C76B1"/>
    <w:rsid w:val="004C79AD"/>
    <w:rsid w:val="004C7E4D"/>
    <w:rsid w:val="004D099E"/>
    <w:rsid w:val="004D1F08"/>
    <w:rsid w:val="004D2C4D"/>
    <w:rsid w:val="004D2D2B"/>
    <w:rsid w:val="004D4311"/>
    <w:rsid w:val="004D52EC"/>
    <w:rsid w:val="004D5545"/>
    <w:rsid w:val="004D571C"/>
    <w:rsid w:val="004D7637"/>
    <w:rsid w:val="004E01E9"/>
    <w:rsid w:val="004E2CD6"/>
    <w:rsid w:val="004E3D6B"/>
    <w:rsid w:val="004E4285"/>
    <w:rsid w:val="004E5DDA"/>
    <w:rsid w:val="004E6825"/>
    <w:rsid w:val="004E7B1E"/>
    <w:rsid w:val="004F09C9"/>
    <w:rsid w:val="004F0C42"/>
    <w:rsid w:val="004F16C4"/>
    <w:rsid w:val="004F1BB8"/>
    <w:rsid w:val="004F5255"/>
    <w:rsid w:val="004F6094"/>
    <w:rsid w:val="005005BE"/>
    <w:rsid w:val="00500B24"/>
    <w:rsid w:val="00502192"/>
    <w:rsid w:val="00503C8F"/>
    <w:rsid w:val="005065F8"/>
    <w:rsid w:val="00512341"/>
    <w:rsid w:val="00514DE5"/>
    <w:rsid w:val="005150BC"/>
    <w:rsid w:val="00515451"/>
    <w:rsid w:val="00516163"/>
    <w:rsid w:val="00517FC2"/>
    <w:rsid w:val="00520AEB"/>
    <w:rsid w:val="00520B2D"/>
    <w:rsid w:val="00522B83"/>
    <w:rsid w:val="0052758B"/>
    <w:rsid w:val="00533A71"/>
    <w:rsid w:val="00534269"/>
    <w:rsid w:val="005350D8"/>
    <w:rsid w:val="0054105B"/>
    <w:rsid w:val="005442B6"/>
    <w:rsid w:val="005473DD"/>
    <w:rsid w:val="00550A5B"/>
    <w:rsid w:val="0055495D"/>
    <w:rsid w:val="0055536A"/>
    <w:rsid w:val="00561476"/>
    <w:rsid w:val="00562477"/>
    <w:rsid w:val="00563A96"/>
    <w:rsid w:val="00563CAC"/>
    <w:rsid w:val="00563E62"/>
    <w:rsid w:val="00563EE0"/>
    <w:rsid w:val="00564CC6"/>
    <w:rsid w:val="00566272"/>
    <w:rsid w:val="00570001"/>
    <w:rsid w:val="00570617"/>
    <w:rsid w:val="00571DC7"/>
    <w:rsid w:val="00572183"/>
    <w:rsid w:val="00573243"/>
    <w:rsid w:val="00575D7B"/>
    <w:rsid w:val="00575E41"/>
    <w:rsid w:val="005803D8"/>
    <w:rsid w:val="005847F1"/>
    <w:rsid w:val="00585E4A"/>
    <w:rsid w:val="00585EB1"/>
    <w:rsid w:val="005861F3"/>
    <w:rsid w:val="005862E2"/>
    <w:rsid w:val="00587041"/>
    <w:rsid w:val="00587C2F"/>
    <w:rsid w:val="0059212A"/>
    <w:rsid w:val="00592578"/>
    <w:rsid w:val="00596807"/>
    <w:rsid w:val="005968D1"/>
    <w:rsid w:val="00597DA1"/>
    <w:rsid w:val="005A4263"/>
    <w:rsid w:val="005A5B93"/>
    <w:rsid w:val="005A5D05"/>
    <w:rsid w:val="005A6CAC"/>
    <w:rsid w:val="005B037B"/>
    <w:rsid w:val="005B337F"/>
    <w:rsid w:val="005B38F0"/>
    <w:rsid w:val="005B77A1"/>
    <w:rsid w:val="005B7D36"/>
    <w:rsid w:val="005B7E3E"/>
    <w:rsid w:val="005C17B9"/>
    <w:rsid w:val="005C2D8B"/>
    <w:rsid w:val="005C343B"/>
    <w:rsid w:val="005C34FC"/>
    <w:rsid w:val="005C36EB"/>
    <w:rsid w:val="005C433C"/>
    <w:rsid w:val="005C5E8B"/>
    <w:rsid w:val="005C6CB8"/>
    <w:rsid w:val="005D004C"/>
    <w:rsid w:val="005D0CB4"/>
    <w:rsid w:val="005D27AE"/>
    <w:rsid w:val="005D2C7B"/>
    <w:rsid w:val="005D3E0F"/>
    <w:rsid w:val="005D59EE"/>
    <w:rsid w:val="005D77B0"/>
    <w:rsid w:val="005D7ADC"/>
    <w:rsid w:val="005E19CC"/>
    <w:rsid w:val="005E3EC0"/>
    <w:rsid w:val="005E7DDA"/>
    <w:rsid w:val="005F19F9"/>
    <w:rsid w:val="005F1C28"/>
    <w:rsid w:val="005F2EAD"/>
    <w:rsid w:val="005F32B5"/>
    <w:rsid w:val="005F44F4"/>
    <w:rsid w:val="005F4BA0"/>
    <w:rsid w:val="005F4BD4"/>
    <w:rsid w:val="005F5871"/>
    <w:rsid w:val="005F5E1D"/>
    <w:rsid w:val="005F66B6"/>
    <w:rsid w:val="005F7512"/>
    <w:rsid w:val="005F7C14"/>
    <w:rsid w:val="00601D73"/>
    <w:rsid w:val="0060210C"/>
    <w:rsid w:val="0060456B"/>
    <w:rsid w:val="006048BC"/>
    <w:rsid w:val="00605506"/>
    <w:rsid w:val="00607432"/>
    <w:rsid w:val="00607AE8"/>
    <w:rsid w:val="00611652"/>
    <w:rsid w:val="00612763"/>
    <w:rsid w:val="00612FBA"/>
    <w:rsid w:val="00617009"/>
    <w:rsid w:val="00620A04"/>
    <w:rsid w:val="00621346"/>
    <w:rsid w:val="00621383"/>
    <w:rsid w:val="00623A6E"/>
    <w:rsid w:val="00630097"/>
    <w:rsid w:val="0063213E"/>
    <w:rsid w:val="00633A16"/>
    <w:rsid w:val="00635E49"/>
    <w:rsid w:val="006406CF"/>
    <w:rsid w:val="0064574E"/>
    <w:rsid w:val="00646359"/>
    <w:rsid w:val="0064651F"/>
    <w:rsid w:val="006473E5"/>
    <w:rsid w:val="00650B94"/>
    <w:rsid w:val="00650DA5"/>
    <w:rsid w:val="00650DFE"/>
    <w:rsid w:val="00651B95"/>
    <w:rsid w:val="00651CA1"/>
    <w:rsid w:val="006524D4"/>
    <w:rsid w:val="0065518C"/>
    <w:rsid w:val="0065538E"/>
    <w:rsid w:val="0065539C"/>
    <w:rsid w:val="00655A90"/>
    <w:rsid w:val="00655D66"/>
    <w:rsid w:val="006573D4"/>
    <w:rsid w:val="00661402"/>
    <w:rsid w:val="00662A3B"/>
    <w:rsid w:val="006632F7"/>
    <w:rsid w:val="00665905"/>
    <w:rsid w:val="00666675"/>
    <w:rsid w:val="00667504"/>
    <w:rsid w:val="0066761F"/>
    <w:rsid w:val="0067008C"/>
    <w:rsid w:val="00670FA9"/>
    <w:rsid w:val="006737F6"/>
    <w:rsid w:val="00674C8D"/>
    <w:rsid w:val="00676102"/>
    <w:rsid w:val="006767D8"/>
    <w:rsid w:val="0067779C"/>
    <w:rsid w:val="00677DEA"/>
    <w:rsid w:val="00677F70"/>
    <w:rsid w:val="00680B13"/>
    <w:rsid w:val="006817C6"/>
    <w:rsid w:val="00683009"/>
    <w:rsid w:val="006846B5"/>
    <w:rsid w:val="00687D81"/>
    <w:rsid w:val="00687F6D"/>
    <w:rsid w:val="00691602"/>
    <w:rsid w:val="006929E2"/>
    <w:rsid w:val="006945EC"/>
    <w:rsid w:val="00694AB1"/>
    <w:rsid w:val="00695C46"/>
    <w:rsid w:val="00696102"/>
    <w:rsid w:val="006963DC"/>
    <w:rsid w:val="00696E21"/>
    <w:rsid w:val="006A041C"/>
    <w:rsid w:val="006A0440"/>
    <w:rsid w:val="006A064F"/>
    <w:rsid w:val="006A10EA"/>
    <w:rsid w:val="006A171F"/>
    <w:rsid w:val="006A2AB9"/>
    <w:rsid w:val="006A39B9"/>
    <w:rsid w:val="006A3F0C"/>
    <w:rsid w:val="006A4A9A"/>
    <w:rsid w:val="006A4F0C"/>
    <w:rsid w:val="006B0399"/>
    <w:rsid w:val="006B1946"/>
    <w:rsid w:val="006B1A3C"/>
    <w:rsid w:val="006B1B46"/>
    <w:rsid w:val="006B2221"/>
    <w:rsid w:val="006B2572"/>
    <w:rsid w:val="006B3BD8"/>
    <w:rsid w:val="006B404A"/>
    <w:rsid w:val="006B5416"/>
    <w:rsid w:val="006B61DD"/>
    <w:rsid w:val="006B749A"/>
    <w:rsid w:val="006B74A0"/>
    <w:rsid w:val="006B751F"/>
    <w:rsid w:val="006C0160"/>
    <w:rsid w:val="006C130F"/>
    <w:rsid w:val="006C66D0"/>
    <w:rsid w:val="006C6FF3"/>
    <w:rsid w:val="006C76D5"/>
    <w:rsid w:val="006D04D1"/>
    <w:rsid w:val="006D2FE1"/>
    <w:rsid w:val="006D4742"/>
    <w:rsid w:val="006D4F12"/>
    <w:rsid w:val="006D6C7E"/>
    <w:rsid w:val="006D749E"/>
    <w:rsid w:val="006E06CB"/>
    <w:rsid w:val="006E0E14"/>
    <w:rsid w:val="006E1078"/>
    <w:rsid w:val="006E32D0"/>
    <w:rsid w:val="006E3A86"/>
    <w:rsid w:val="006E4173"/>
    <w:rsid w:val="006E6488"/>
    <w:rsid w:val="006E6828"/>
    <w:rsid w:val="006F1D31"/>
    <w:rsid w:val="006F37DF"/>
    <w:rsid w:val="006F3E3F"/>
    <w:rsid w:val="006F40F6"/>
    <w:rsid w:val="006F647D"/>
    <w:rsid w:val="006F7076"/>
    <w:rsid w:val="00700D50"/>
    <w:rsid w:val="0070155B"/>
    <w:rsid w:val="00703B72"/>
    <w:rsid w:val="00703C4D"/>
    <w:rsid w:val="007042F4"/>
    <w:rsid w:val="00704D10"/>
    <w:rsid w:val="00706C06"/>
    <w:rsid w:val="0070719B"/>
    <w:rsid w:val="00711870"/>
    <w:rsid w:val="0071423E"/>
    <w:rsid w:val="00714409"/>
    <w:rsid w:val="00716223"/>
    <w:rsid w:val="00717CFD"/>
    <w:rsid w:val="0072234C"/>
    <w:rsid w:val="007269A3"/>
    <w:rsid w:val="0073259F"/>
    <w:rsid w:val="007339D8"/>
    <w:rsid w:val="007348C2"/>
    <w:rsid w:val="00734E0D"/>
    <w:rsid w:val="00735326"/>
    <w:rsid w:val="00735458"/>
    <w:rsid w:val="00736F1B"/>
    <w:rsid w:val="00740333"/>
    <w:rsid w:val="00740354"/>
    <w:rsid w:val="007409ED"/>
    <w:rsid w:val="00741961"/>
    <w:rsid w:val="007421CC"/>
    <w:rsid w:val="0074239F"/>
    <w:rsid w:val="00744F77"/>
    <w:rsid w:val="00745808"/>
    <w:rsid w:val="0074760F"/>
    <w:rsid w:val="00747706"/>
    <w:rsid w:val="00750C4D"/>
    <w:rsid w:val="00753F65"/>
    <w:rsid w:val="007565CD"/>
    <w:rsid w:val="00756A14"/>
    <w:rsid w:val="00756F2C"/>
    <w:rsid w:val="0076081F"/>
    <w:rsid w:val="007617EB"/>
    <w:rsid w:val="007638A2"/>
    <w:rsid w:val="007663F0"/>
    <w:rsid w:val="00767C47"/>
    <w:rsid w:val="007716FE"/>
    <w:rsid w:val="00773243"/>
    <w:rsid w:val="00773B29"/>
    <w:rsid w:val="00774672"/>
    <w:rsid w:val="00783191"/>
    <w:rsid w:val="0078360B"/>
    <w:rsid w:val="00785847"/>
    <w:rsid w:val="00785B00"/>
    <w:rsid w:val="0079025F"/>
    <w:rsid w:val="00790DB4"/>
    <w:rsid w:val="00791799"/>
    <w:rsid w:val="00791A0D"/>
    <w:rsid w:val="00791BD6"/>
    <w:rsid w:val="00794281"/>
    <w:rsid w:val="00795A26"/>
    <w:rsid w:val="007976E3"/>
    <w:rsid w:val="00797BE3"/>
    <w:rsid w:val="00797D35"/>
    <w:rsid w:val="007A2C1F"/>
    <w:rsid w:val="007A4932"/>
    <w:rsid w:val="007A51BC"/>
    <w:rsid w:val="007A5F80"/>
    <w:rsid w:val="007A7CD2"/>
    <w:rsid w:val="007B0A3B"/>
    <w:rsid w:val="007B205C"/>
    <w:rsid w:val="007B2A76"/>
    <w:rsid w:val="007B3251"/>
    <w:rsid w:val="007B3BC7"/>
    <w:rsid w:val="007B4FF7"/>
    <w:rsid w:val="007B686D"/>
    <w:rsid w:val="007B7CDE"/>
    <w:rsid w:val="007C0EF5"/>
    <w:rsid w:val="007C0FEA"/>
    <w:rsid w:val="007C2CD3"/>
    <w:rsid w:val="007C339A"/>
    <w:rsid w:val="007C37F5"/>
    <w:rsid w:val="007C4B94"/>
    <w:rsid w:val="007C6D2B"/>
    <w:rsid w:val="007D01B1"/>
    <w:rsid w:val="007D0D3C"/>
    <w:rsid w:val="007D2114"/>
    <w:rsid w:val="007D2A97"/>
    <w:rsid w:val="007D58B4"/>
    <w:rsid w:val="007D6EDC"/>
    <w:rsid w:val="007E2577"/>
    <w:rsid w:val="007E44AA"/>
    <w:rsid w:val="007E47E8"/>
    <w:rsid w:val="007E5740"/>
    <w:rsid w:val="007E5B6E"/>
    <w:rsid w:val="007E6DE2"/>
    <w:rsid w:val="007E6E56"/>
    <w:rsid w:val="007E73E5"/>
    <w:rsid w:val="007F0322"/>
    <w:rsid w:val="007F14D5"/>
    <w:rsid w:val="007F1697"/>
    <w:rsid w:val="007F241A"/>
    <w:rsid w:val="007F39D4"/>
    <w:rsid w:val="007F3B31"/>
    <w:rsid w:val="007F4472"/>
    <w:rsid w:val="007F4C2A"/>
    <w:rsid w:val="007F4F24"/>
    <w:rsid w:val="007F5E87"/>
    <w:rsid w:val="00801C25"/>
    <w:rsid w:val="00803202"/>
    <w:rsid w:val="00806E5B"/>
    <w:rsid w:val="00807921"/>
    <w:rsid w:val="00810936"/>
    <w:rsid w:val="00810AA6"/>
    <w:rsid w:val="008114E3"/>
    <w:rsid w:val="00817890"/>
    <w:rsid w:val="00817A62"/>
    <w:rsid w:val="00823F27"/>
    <w:rsid w:val="008248AA"/>
    <w:rsid w:val="0082597C"/>
    <w:rsid w:val="008268DA"/>
    <w:rsid w:val="008276B3"/>
    <w:rsid w:val="008310E0"/>
    <w:rsid w:val="008315CA"/>
    <w:rsid w:val="00831DD0"/>
    <w:rsid w:val="0083346B"/>
    <w:rsid w:val="00834D55"/>
    <w:rsid w:val="00835B28"/>
    <w:rsid w:val="008362CA"/>
    <w:rsid w:val="0083665B"/>
    <w:rsid w:val="0084087C"/>
    <w:rsid w:val="00841FBC"/>
    <w:rsid w:val="008423CD"/>
    <w:rsid w:val="00844084"/>
    <w:rsid w:val="008447F1"/>
    <w:rsid w:val="00844B08"/>
    <w:rsid w:val="00844C06"/>
    <w:rsid w:val="00846D1A"/>
    <w:rsid w:val="0084798F"/>
    <w:rsid w:val="00850BD7"/>
    <w:rsid w:val="008576FB"/>
    <w:rsid w:val="00857F0C"/>
    <w:rsid w:val="008605C5"/>
    <w:rsid w:val="008636D6"/>
    <w:rsid w:val="0086459C"/>
    <w:rsid w:val="008666DE"/>
    <w:rsid w:val="0086736F"/>
    <w:rsid w:val="00867898"/>
    <w:rsid w:val="00870CFC"/>
    <w:rsid w:val="0087122F"/>
    <w:rsid w:val="00871721"/>
    <w:rsid w:val="00873F98"/>
    <w:rsid w:val="00876387"/>
    <w:rsid w:val="00880823"/>
    <w:rsid w:val="00880F7D"/>
    <w:rsid w:val="00882FE4"/>
    <w:rsid w:val="0088321B"/>
    <w:rsid w:val="0088518C"/>
    <w:rsid w:val="00885360"/>
    <w:rsid w:val="00887BB0"/>
    <w:rsid w:val="00887CCB"/>
    <w:rsid w:val="00890A33"/>
    <w:rsid w:val="0089230C"/>
    <w:rsid w:val="00892750"/>
    <w:rsid w:val="00893187"/>
    <w:rsid w:val="00894EFC"/>
    <w:rsid w:val="00896C8E"/>
    <w:rsid w:val="008A2349"/>
    <w:rsid w:val="008A495C"/>
    <w:rsid w:val="008A623D"/>
    <w:rsid w:val="008A67F1"/>
    <w:rsid w:val="008A71D2"/>
    <w:rsid w:val="008B02C3"/>
    <w:rsid w:val="008B03DE"/>
    <w:rsid w:val="008B07F3"/>
    <w:rsid w:val="008B3067"/>
    <w:rsid w:val="008B328F"/>
    <w:rsid w:val="008B5DCC"/>
    <w:rsid w:val="008B6219"/>
    <w:rsid w:val="008B7F4D"/>
    <w:rsid w:val="008C030D"/>
    <w:rsid w:val="008C189B"/>
    <w:rsid w:val="008C6233"/>
    <w:rsid w:val="008C63BD"/>
    <w:rsid w:val="008C642E"/>
    <w:rsid w:val="008D4159"/>
    <w:rsid w:val="008D5058"/>
    <w:rsid w:val="008D57A6"/>
    <w:rsid w:val="008D5CF6"/>
    <w:rsid w:val="008D6D54"/>
    <w:rsid w:val="008D6E3D"/>
    <w:rsid w:val="008D6F31"/>
    <w:rsid w:val="008D7E55"/>
    <w:rsid w:val="008E0A83"/>
    <w:rsid w:val="008E1384"/>
    <w:rsid w:val="008E2100"/>
    <w:rsid w:val="008E43C6"/>
    <w:rsid w:val="008E61EC"/>
    <w:rsid w:val="008F10D9"/>
    <w:rsid w:val="008F19F5"/>
    <w:rsid w:val="008F1CE5"/>
    <w:rsid w:val="008F2471"/>
    <w:rsid w:val="008F4471"/>
    <w:rsid w:val="008F45B7"/>
    <w:rsid w:val="008F4D12"/>
    <w:rsid w:val="008F7278"/>
    <w:rsid w:val="00904B18"/>
    <w:rsid w:val="00905793"/>
    <w:rsid w:val="00906495"/>
    <w:rsid w:val="009111EF"/>
    <w:rsid w:val="0091557A"/>
    <w:rsid w:val="009155E0"/>
    <w:rsid w:val="0091646F"/>
    <w:rsid w:val="00916AE5"/>
    <w:rsid w:val="00923B66"/>
    <w:rsid w:val="00924556"/>
    <w:rsid w:val="00924D82"/>
    <w:rsid w:val="00925224"/>
    <w:rsid w:val="00927A8D"/>
    <w:rsid w:val="0093208A"/>
    <w:rsid w:val="00935DE1"/>
    <w:rsid w:val="009424B2"/>
    <w:rsid w:val="0094293D"/>
    <w:rsid w:val="00942D6F"/>
    <w:rsid w:val="00943A33"/>
    <w:rsid w:val="00944A32"/>
    <w:rsid w:val="00944BA8"/>
    <w:rsid w:val="00945A80"/>
    <w:rsid w:val="009503B1"/>
    <w:rsid w:val="00951260"/>
    <w:rsid w:val="00951F2E"/>
    <w:rsid w:val="009565D3"/>
    <w:rsid w:val="00956E1C"/>
    <w:rsid w:val="0096065F"/>
    <w:rsid w:val="00961B70"/>
    <w:rsid w:val="00961D9B"/>
    <w:rsid w:val="00962B27"/>
    <w:rsid w:val="0096390E"/>
    <w:rsid w:val="009639DC"/>
    <w:rsid w:val="00963B1E"/>
    <w:rsid w:val="00963BAF"/>
    <w:rsid w:val="00964949"/>
    <w:rsid w:val="00966512"/>
    <w:rsid w:val="009668BC"/>
    <w:rsid w:val="00972A08"/>
    <w:rsid w:val="00972E00"/>
    <w:rsid w:val="0097422A"/>
    <w:rsid w:val="00976954"/>
    <w:rsid w:val="00976D48"/>
    <w:rsid w:val="009778A1"/>
    <w:rsid w:val="009813A0"/>
    <w:rsid w:val="009826D3"/>
    <w:rsid w:val="00983C6E"/>
    <w:rsid w:val="00984739"/>
    <w:rsid w:val="00990AF3"/>
    <w:rsid w:val="00990DEB"/>
    <w:rsid w:val="009916BB"/>
    <w:rsid w:val="00992261"/>
    <w:rsid w:val="009924DD"/>
    <w:rsid w:val="00993B13"/>
    <w:rsid w:val="0099574D"/>
    <w:rsid w:val="00996028"/>
    <w:rsid w:val="009A470A"/>
    <w:rsid w:val="009A6570"/>
    <w:rsid w:val="009A6A76"/>
    <w:rsid w:val="009A7F61"/>
    <w:rsid w:val="009B103C"/>
    <w:rsid w:val="009B46D9"/>
    <w:rsid w:val="009B497C"/>
    <w:rsid w:val="009B5082"/>
    <w:rsid w:val="009B5F4B"/>
    <w:rsid w:val="009B7B5B"/>
    <w:rsid w:val="009C11D0"/>
    <w:rsid w:val="009C15A6"/>
    <w:rsid w:val="009C2775"/>
    <w:rsid w:val="009C2CBC"/>
    <w:rsid w:val="009C2F81"/>
    <w:rsid w:val="009C3B62"/>
    <w:rsid w:val="009C7F34"/>
    <w:rsid w:val="009D05E7"/>
    <w:rsid w:val="009D175A"/>
    <w:rsid w:val="009D2DD2"/>
    <w:rsid w:val="009D66C0"/>
    <w:rsid w:val="009D6FD1"/>
    <w:rsid w:val="009D70EF"/>
    <w:rsid w:val="009D79E4"/>
    <w:rsid w:val="009E1C6F"/>
    <w:rsid w:val="009E52E7"/>
    <w:rsid w:val="009E588C"/>
    <w:rsid w:val="009E5B83"/>
    <w:rsid w:val="009E7FA5"/>
    <w:rsid w:val="009F0683"/>
    <w:rsid w:val="009F32B3"/>
    <w:rsid w:val="009F339C"/>
    <w:rsid w:val="009F38A8"/>
    <w:rsid w:val="009F47F7"/>
    <w:rsid w:val="009F539A"/>
    <w:rsid w:val="009F776F"/>
    <w:rsid w:val="009F7D3D"/>
    <w:rsid w:val="00A00080"/>
    <w:rsid w:val="00A00F6F"/>
    <w:rsid w:val="00A0151D"/>
    <w:rsid w:val="00A02050"/>
    <w:rsid w:val="00A02056"/>
    <w:rsid w:val="00A033FC"/>
    <w:rsid w:val="00A04470"/>
    <w:rsid w:val="00A048DA"/>
    <w:rsid w:val="00A061F0"/>
    <w:rsid w:val="00A074A2"/>
    <w:rsid w:val="00A07E39"/>
    <w:rsid w:val="00A12936"/>
    <w:rsid w:val="00A16734"/>
    <w:rsid w:val="00A167F8"/>
    <w:rsid w:val="00A20A55"/>
    <w:rsid w:val="00A21F18"/>
    <w:rsid w:val="00A23C61"/>
    <w:rsid w:val="00A2532C"/>
    <w:rsid w:val="00A30233"/>
    <w:rsid w:val="00A41B22"/>
    <w:rsid w:val="00A41EC9"/>
    <w:rsid w:val="00A4241C"/>
    <w:rsid w:val="00A4601A"/>
    <w:rsid w:val="00A519AF"/>
    <w:rsid w:val="00A53521"/>
    <w:rsid w:val="00A54BBD"/>
    <w:rsid w:val="00A6021F"/>
    <w:rsid w:val="00A61FD4"/>
    <w:rsid w:val="00A62A5E"/>
    <w:rsid w:val="00A642AB"/>
    <w:rsid w:val="00A643A4"/>
    <w:rsid w:val="00A6450E"/>
    <w:rsid w:val="00A64629"/>
    <w:rsid w:val="00A70D56"/>
    <w:rsid w:val="00A749E9"/>
    <w:rsid w:val="00A74A1D"/>
    <w:rsid w:val="00A771EA"/>
    <w:rsid w:val="00A85921"/>
    <w:rsid w:val="00A868AD"/>
    <w:rsid w:val="00A87BDB"/>
    <w:rsid w:val="00A903B9"/>
    <w:rsid w:val="00A90E56"/>
    <w:rsid w:val="00A912D9"/>
    <w:rsid w:val="00A91496"/>
    <w:rsid w:val="00A91BEE"/>
    <w:rsid w:val="00A92897"/>
    <w:rsid w:val="00A931AD"/>
    <w:rsid w:val="00A93A3F"/>
    <w:rsid w:val="00A952A9"/>
    <w:rsid w:val="00A976EA"/>
    <w:rsid w:val="00A979B3"/>
    <w:rsid w:val="00AA1E01"/>
    <w:rsid w:val="00AA21C2"/>
    <w:rsid w:val="00AA318E"/>
    <w:rsid w:val="00AA57C1"/>
    <w:rsid w:val="00AA7882"/>
    <w:rsid w:val="00AB01A7"/>
    <w:rsid w:val="00AB085C"/>
    <w:rsid w:val="00AB30F7"/>
    <w:rsid w:val="00AB3AFF"/>
    <w:rsid w:val="00AB404D"/>
    <w:rsid w:val="00AB5EC6"/>
    <w:rsid w:val="00AB6CA2"/>
    <w:rsid w:val="00AB6E78"/>
    <w:rsid w:val="00AB777D"/>
    <w:rsid w:val="00AC2687"/>
    <w:rsid w:val="00AC5719"/>
    <w:rsid w:val="00AC7F3B"/>
    <w:rsid w:val="00AD0796"/>
    <w:rsid w:val="00AD373F"/>
    <w:rsid w:val="00AD3869"/>
    <w:rsid w:val="00AD3AA6"/>
    <w:rsid w:val="00AD3E9B"/>
    <w:rsid w:val="00AD5DEE"/>
    <w:rsid w:val="00AE050D"/>
    <w:rsid w:val="00AE3525"/>
    <w:rsid w:val="00AE3C97"/>
    <w:rsid w:val="00AE5F0C"/>
    <w:rsid w:val="00AF00A2"/>
    <w:rsid w:val="00AF049D"/>
    <w:rsid w:val="00AF2B24"/>
    <w:rsid w:val="00AF6C61"/>
    <w:rsid w:val="00AF74EC"/>
    <w:rsid w:val="00AF7DD6"/>
    <w:rsid w:val="00B00CF7"/>
    <w:rsid w:val="00B00D6C"/>
    <w:rsid w:val="00B02317"/>
    <w:rsid w:val="00B02F51"/>
    <w:rsid w:val="00B031C4"/>
    <w:rsid w:val="00B03CF2"/>
    <w:rsid w:val="00B0594D"/>
    <w:rsid w:val="00B0772A"/>
    <w:rsid w:val="00B07D08"/>
    <w:rsid w:val="00B1461C"/>
    <w:rsid w:val="00B14847"/>
    <w:rsid w:val="00B16A6F"/>
    <w:rsid w:val="00B17749"/>
    <w:rsid w:val="00B17C29"/>
    <w:rsid w:val="00B2259C"/>
    <w:rsid w:val="00B25177"/>
    <w:rsid w:val="00B2547E"/>
    <w:rsid w:val="00B270D8"/>
    <w:rsid w:val="00B2713F"/>
    <w:rsid w:val="00B27458"/>
    <w:rsid w:val="00B33911"/>
    <w:rsid w:val="00B33A0F"/>
    <w:rsid w:val="00B33B9D"/>
    <w:rsid w:val="00B35681"/>
    <w:rsid w:val="00B35DC6"/>
    <w:rsid w:val="00B362F7"/>
    <w:rsid w:val="00B363D6"/>
    <w:rsid w:val="00B36605"/>
    <w:rsid w:val="00B371F5"/>
    <w:rsid w:val="00B37EF4"/>
    <w:rsid w:val="00B42A1A"/>
    <w:rsid w:val="00B44A98"/>
    <w:rsid w:val="00B46026"/>
    <w:rsid w:val="00B47054"/>
    <w:rsid w:val="00B500C6"/>
    <w:rsid w:val="00B5198F"/>
    <w:rsid w:val="00B56674"/>
    <w:rsid w:val="00B61386"/>
    <w:rsid w:val="00B613C7"/>
    <w:rsid w:val="00B64B88"/>
    <w:rsid w:val="00B663BE"/>
    <w:rsid w:val="00B72732"/>
    <w:rsid w:val="00B72AC1"/>
    <w:rsid w:val="00B75F82"/>
    <w:rsid w:val="00B77280"/>
    <w:rsid w:val="00B77CC2"/>
    <w:rsid w:val="00B832DB"/>
    <w:rsid w:val="00B83736"/>
    <w:rsid w:val="00B8405B"/>
    <w:rsid w:val="00B850AC"/>
    <w:rsid w:val="00B85E67"/>
    <w:rsid w:val="00B925EF"/>
    <w:rsid w:val="00B95725"/>
    <w:rsid w:val="00B9612D"/>
    <w:rsid w:val="00B96411"/>
    <w:rsid w:val="00B97978"/>
    <w:rsid w:val="00B97DAA"/>
    <w:rsid w:val="00BA15A6"/>
    <w:rsid w:val="00BA1B9F"/>
    <w:rsid w:val="00BA1F33"/>
    <w:rsid w:val="00BA23C7"/>
    <w:rsid w:val="00BA258B"/>
    <w:rsid w:val="00BA3020"/>
    <w:rsid w:val="00BA3202"/>
    <w:rsid w:val="00BA428E"/>
    <w:rsid w:val="00BA4B84"/>
    <w:rsid w:val="00BA6D84"/>
    <w:rsid w:val="00BA6EDF"/>
    <w:rsid w:val="00BB23D5"/>
    <w:rsid w:val="00BB2D0E"/>
    <w:rsid w:val="00BB34FA"/>
    <w:rsid w:val="00BB4B59"/>
    <w:rsid w:val="00BB5410"/>
    <w:rsid w:val="00BB62FC"/>
    <w:rsid w:val="00BC1CB5"/>
    <w:rsid w:val="00BC4148"/>
    <w:rsid w:val="00BC6187"/>
    <w:rsid w:val="00BC6DD5"/>
    <w:rsid w:val="00BC7B73"/>
    <w:rsid w:val="00BC7F98"/>
    <w:rsid w:val="00BD192A"/>
    <w:rsid w:val="00BD219A"/>
    <w:rsid w:val="00BD28D1"/>
    <w:rsid w:val="00BD71D9"/>
    <w:rsid w:val="00BD72E8"/>
    <w:rsid w:val="00BD7E23"/>
    <w:rsid w:val="00BD7F94"/>
    <w:rsid w:val="00BE2200"/>
    <w:rsid w:val="00BE474C"/>
    <w:rsid w:val="00BE4F21"/>
    <w:rsid w:val="00BE51B1"/>
    <w:rsid w:val="00BE73F6"/>
    <w:rsid w:val="00BF06D5"/>
    <w:rsid w:val="00BF0C40"/>
    <w:rsid w:val="00BF0D43"/>
    <w:rsid w:val="00BF10C7"/>
    <w:rsid w:val="00BF46EC"/>
    <w:rsid w:val="00BF4B3E"/>
    <w:rsid w:val="00BF5DC0"/>
    <w:rsid w:val="00C03D12"/>
    <w:rsid w:val="00C04464"/>
    <w:rsid w:val="00C06A36"/>
    <w:rsid w:val="00C072DA"/>
    <w:rsid w:val="00C11CFD"/>
    <w:rsid w:val="00C12A83"/>
    <w:rsid w:val="00C13447"/>
    <w:rsid w:val="00C13D0C"/>
    <w:rsid w:val="00C14758"/>
    <w:rsid w:val="00C14ADC"/>
    <w:rsid w:val="00C14BCE"/>
    <w:rsid w:val="00C14D7D"/>
    <w:rsid w:val="00C16298"/>
    <w:rsid w:val="00C16BCE"/>
    <w:rsid w:val="00C174FC"/>
    <w:rsid w:val="00C20F7D"/>
    <w:rsid w:val="00C2105A"/>
    <w:rsid w:val="00C21E17"/>
    <w:rsid w:val="00C22315"/>
    <w:rsid w:val="00C22B5C"/>
    <w:rsid w:val="00C22C46"/>
    <w:rsid w:val="00C23808"/>
    <w:rsid w:val="00C2435C"/>
    <w:rsid w:val="00C25297"/>
    <w:rsid w:val="00C25338"/>
    <w:rsid w:val="00C25CDB"/>
    <w:rsid w:val="00C2649F"/>
    <w:rsid w:val="00C26563"/>
    <w:rsid w:val="00C26564"/>
    <w:rsid w:val="00C27347"/>
    <w:rsid w:val="00C3401E"/>
    <w:rsid w:val="00C34CFF"/>
    <w:rsid w:val="00C34D3F"/>
    <w:rsid w:val="00C34FFF"/>
    <w:rsid w:val="00C3518F"/>
    <w:rsid w:val="00C35B11"/>
    <w:rsid w:val="00C379DD"/>
    <w:rsid w:val="00C37E00"/>
    <w:rsid w:val="00C4198D"/>
    <w:rsid w:val="00C41E16"/>
    <w:rsid w:val="00C445CA"/>
    <w:rsid w:val="00C44D11"/>
    <w:rsid w:val="00C476AA"/>
    <w:rsid w:val="00C476E8"/>
    <w:rsid w:val="00C478E2"/>
    <w:rsid w:val="00C51CD0"/>
    <w:rsid w:val="00C529C0"/>
    <w:rsid w:val="00C552A9"/>
    <w:rsid w:val="00C55521"/>
    <w:rsid w:val="00C55A60"/>
    <w:rsid w:val="00C562AE"/>
    <w:rsid w:val="00C56A09"/>
    <w:rsid w:val="00C579C6"/>
    <w:rsid w:val="00C57BED"/>
    <w:rsid w:val="00C57F4B"/>
    <w:rsid w:val="00C60C14"/>
    <w:rsid w:val="00C62FFB"/>
    <w:rsid w:val="00C6357C"/>
    <w:rsid w:val="00C65789"/>
    <w:rsid w:val="00C67767"/>
    <w:rsid w:val="00C67D69"/>
    <w:rsid w:val="00C71FD6"/>
    <w:rsid w:val="00C7656E"/>
    <w:rsid w:val="00C7703B"/>
    <w:rsid w:val="00C83FB2"/>
    <w:rsid w:val="00C84E66"/>
    <w:rsid w:val="00C93518"/>
    <w:rsid w:val="00C9463A"/>
    <w:rsid w:val="00C961E3"/>
    <w:rsid w:val="00C964CC"/>
    <w:rsid w:val="00C97099"/>
    <w:rsid w:val="00CA0533"/>
    <w:rsid w:val="00CA2BBC"/>
    <w:rsid w:val="00CA3993"/>
    <w:rsid w:val="00CA4869"/>
    <w:rsid w:val="00CA57BE"/>
    <w:rsid w:val="00CA5C18"/>
    <w:rsid w:val="00CA65A9"/>
    <w:rsid w:val="00CB0040"/>
    <w:rsid w:val="00CB05E4"/>
    <w:rsid w:val="00CB0F7A"/>
    <w:rsid w:val="00CB3075"/>
    <w:rsid w:val="00CB4037"/>
    <w:rsid w:val="00CB569C"/>
    <w:rsid w:val="00CB6DDC"/>
    <w:rsid w:val="00CC0133"/>
    <w:rsid w:val="00CC0586"/>
    <w:rsid w:val="00CC1C1F"/>
    <w:rsid w:val="00CC2895"/>
    <w:rsid w:val="00CC2E19"/>
    <w:rsid w:val="00CC507B"/>
    <w:rsid w:val="00CC64F2"/>
    <w:rsid w:val="00CC6990"/>
    <w:rsid w:val="00CC69F8"/>
    <w:rsid w:val="00CD0ED4"/>
    <w:rsid w:val="00CD1316"/>
    <w:rsid w:val="00CD4830"/>
    <w:rsid w:val="00CD4FE8"/>
    <w:rsid w:val="00CD7E3F"/>
    <w:rsid w:val="00CE0CB9"/>
    <w:rsid w:val="00CE1796"/>
    <w:rsid w:val="00CE2E6A"/>
    <w:rsid w:val="00CE3C5C"/>
    <w:rsid w:val="00CE4CDB"/>
    <w:rsid w:val="00CE53E6"/>
    <w:rsid w:val="00CE54AE"/>
    <w:rsid w:val="00CF034E"/>
    <w:rsid w:val="00CF1669"/>
    <w:rsid w:val="00CF172D"/>
    <w:rsid w:val="00CF27D9"/>
    <w:rsid w:val="00CF2CE4"/>
    <w:rsid w:val="00CF384B"/>
    <w:rsid w:val="00CF500E"/>
    <w:rsid w:val="00CF5379"/>
    <w:rsid w:val="00CF567A"/>
    <w:rsid w:val="00CF5C4F"/>
    <w:rsid w:val="00CF766F"/>
    <w:rsid w:val="00D00E8D"/>
    <w:rsid w:val="00D04560"/>
    <w:rsid w:val="00D04CA4"/>
    <w:rsid w:val="00D05FB1"/>
    <w:rsid w:val="00D06530"/>
    <w:rsid w:val="00D072BF"/>
    <w:rsid w:val="00D07855"/>
    <w:rsid w:val="00D1160A"/>
    <w:rsid w:val="00D116BE"/>
    <w:rsid w:val="00D11857"/>
    <w:rsid w:val="00D14E52"/>
    <w:rsid w:val="00D1622A"/>
    <w:rsid w:val="00D20E06"/>
    <w:rsid w:val="00D21CAD"/>
    <w:rsid w:val="00D22668"/>
    <w:rsid w:val="00D2303D"/>
    <w:rsid w:val="00D24981"/>
    <w:rsid w:val="00D265AF"/>
    <w:rsid w:val="00D270DD"/>
    <w:rsid w:val="00D32327"/>
    <w:rsid w:val="00D32BF4"/>
    <w:rsid w:val="00D3399C"/>
    <w:rsid w:val="00D34831"/>
    <w:rsid w:val="00D373D4"/>
    <w:rsid w:val="00D40810"/>
    <w:rsid w:val="00D43D9A"/>
    <w:rsid w:val="00D44EA3"/>
    <w:rsid w:val="00D45E80"/>
    <w:rsid w:val="00D479C3"/>
    <w:rsid w:val="00D51695"/>
    <w:rsid w:val="00D51753"/>
    <w:rsid w:val="00D534F0"/>
    <w:rsid w:val="00D60D99"/>
    <w:rsid w:val="00D6221E"/>
    <w:rsid w:val="00D63DF6"/>
    <w:rsid w:val="00D6417D"/>
    <w:rsid w:val="00D64376"/>
    <w:rsid w:val="00D66C60"/>
    <w:rsid w:val="00D67152"/>
    <w:rsid w:val="00D673FC"/>
    <w:rsid w:val="00D67F14"/>
    <w:rsid w:val="00D70AE2"/>
    <w:rsid w:val="00D736CF"/>
    <w:rsid w:val="00D750D8"/>
    <w:rsid w:val="00D7757E"/>
    <w:rsid w:val="00D81EAA"/>
    <w:rsid w:val="00D82943"/>
    <w:rsid w:val="00D9067F"/>
    <w:rsid w:val="00D90E92"/>
    <w:rsid w:val="00D91482"/>
    <w:rsid w:val="00D93A82"/>
    <w:rsid w:val="00D952C0"/>
    <w:rsid w:val="00DA0436"/>
    <w:rsid w:val="00DA04FD"/>
    <w:rsid w:val="00DA33B6"/>
    <w:rsid w:val="00DA52A1"/>
    <w:rsid w:val="00DA563F"/>
    <w:rsid w:val="00DA5B6C"/>
    <w:rsid w:val="00DA5CA8"/>
    <w:rsid w:val="00DA62AE"/>
    <w:rsid w:val="00DA672F"/>
    <w:rsid w:val="00DA68CD"/>
    <w:rsid w:val="00DB2F14"/>
    <w:rsid w:val="00DB431A"/>
    <w:rsid w:val="00DB5BE3"/>
    <w:rsid w:val="00DC114C"/>
    <w:rsid w:val="00DC2C75"/>
    <w:rsid w:val="00DC5A35"/>
    <w:rsid w:val="00DC5BF0"/>
    <w:rsid w:val="00DC6E67"/>
    <w:rsid w:val="00DC777A"/>
    <w:rsid w:val="00DC7AA3"/>
    <w:rsid w:val="00DD048D"/>
    <w:rsid w:val="00DD1836"/>
    <w:rsid w:val="00DD219A"/>
    <w:rsid w:val="00DD5786"/>
    <w:rsid w:val="00DE1536"/>
    <w:rsid w:val="00DE1AA4"/>
    <w:rsid w:val="00DE2124"/>
    <w:rsid w:val="00DE2885"/>
    <w:rsid w:val="00DE2934"/>
    <w:rsid w:val="00DE2ABB"/>
    <w:rsid w:val="00DE2D2A"/>
    <w:rsid w:val="00DE4B87"/>
    <w:rsid w:val="00DE4F2D"/>
    <w:rsid w:val="00DE55A9"/>
    <w:rsid w:val="00DE5E2C"/>
    <w:rsid w:val="00DE6183"/>
    <w:rsid w:val="00DF0280"/>
    <w:rsid w:val="00DF028E"/>
    <w:rsid w:val="00DF2131"/>
    <w:rsid w:val="00E00CD3"/>
    <w:rsid w:val="00E029CE"/>
    <w:rsid w:val="00E02C91"/>
    <w:rsid w:val="00E030C0"/>
    <w:rsid w:val="00E03EB5"/>
    <w:rsid w:val="00E04925"/>
    <w:rsid w:val="00E050A5"/>
    <w:rsid w:val="00E061EB"/>
    <w:rsid w:val="00E120FD"/>
    <w:rsid w:val="00E16CB4"/>
    <w:rsid w:val="00E2103A"/>
    <w:rsid w:val="00E218D4"/>
    <w:rsid w:val="00E21A69"/>
    <w:rsid w:val="00E2389B"/>
    <w:rsid w:val="00E2597B"/>
    <w:rsid w:val="00E26393"/>
    <w:rsid w:val="00E32852"/>
    <w:rsid w:val="00E34331"/>
    <w:rsid w:val="00E357B3"/>
    <w:rsid w:val="00E362B0"/>
    <w:rsid w:val="00E3654F"/>
    <w:rsid w:val="00E41EF1"/>
    <w:rsid w:val="00E43ABE"/>
    <w:rsid w:val="00E449DB"/>
    <w:rsid w:val="00E44B78"/>
    <w:rsid w:val="00E46658"/>
    <w:rsid w:val="00E47078"/>
    <w:rsid w:val="00E475E2"/>
    <w:rsid w:val="00E50BA5"/>
    <w:rsid w:val="00E50F01"/>
    <w:rsid w:val="00E51446"/>
    <w:rsid w:val="00E54142"/>
    <w:rsid w:val="00E54F47"/>
    <w:rsid w:val="00E55EB5"/>
    <w:rsid w:val="00E56A5A"/>
    <w:rsid w:val="00E5777F"/>
    <w:rsid w:val="00E6001F"/>
    <w:rsid w:val="00E6227D"/>
    <w:rsid w:val="00E62C9D"/>
    <w:rsid w:val="00E638DB"/>
    <w:rsid w:val="00E706CC"/>
    <w:rsid w:val="00E742C8"/>
    <w:rsid w:val="00E7450C"/>
    <w:rsid w:val="00E76DBC"/>
    <w:rsid w:val="00E77CE3"/>
    <w:rsid w:val="00E802D4"/>
    <w:rsid w:val="00E82312"/>
    <w:rsid w:val="00E84665"/>
    <w:rsid w:val="00E865CD"/>
    <w:rsid w:val="00E87FCD"/>
    <w:rsid w:val="00E91B25"/>
    <w:rsid w:val="00E92A91"/>
    <w:rsid w:val="00E94FF9"/>
    <w:rsid w:val="00E951A8"/>
    <w:rsid w:val="00E95E67"/>
    <w:rsid w:val="00E96E7A"/>
    <w:rsid w:val="00E97CEB"/>
    <w:rsid w:val="00EA1293"/>
    <w:rsid w:val="00EA1AED"/>
    <w:rsid w:val="00EA370E"/>
    <w:rsid w:val="00EA4894"/>
    <w:rsid w:val="00EA667C"/>
    <w:rsid w:val="00EA75D7"/>
    <w:rsid w:val="00EB0912"/>
    <w:rsid w:val="00EB1780"/>
    <w:rsid w:val="00EB37C0"/>
    <w:rsid w:val="00EB4149"/>
    <w:rsid w:val="00EB459E"/>
    <w:rsid w:val="00EB7319"/>
    <w:rsid w:val="00EC36C3"/>
    <w:rsid w:val="00EC4B52"/>
    <w:rsid w:val="00EC69DF"/>
    <w:rsid w:val="00ED14A6"/>
    <w:rsid w:val="00ED329E"/>
    <w:rsid w:val="00ED3F81"/>
    <w:rsid w:val="00ED4E41"/>
    <w:rsid w:val="00ED6F7E"/>
    <w:rsid w:val="00ED7754"/>
    <w:rsid w:val="00EE0637"/>
    <w:rsid w:val="00EE3FF2"/>
    <w:rsid w:val="00EE52E5"/>
    <w:rsid w:val="00EE5EF6"/>
    <w:rsid w:val="00EE679F"/>
    <w:rsid w:val="00EF1D51"/>
    <w:rsid w:val="00EF32F0"/>
    <w:rsid w:val="00EF6573"/>
    <w:rsid w:val="00EF6D24"/>
    <w:rsid w:val="00F0027C"/>
    <w:rsid w:val="00F01FA1"/>
    <w:rsid w:val="00F042D7"/>
    <w:rsid w:val="00F04A60"/>
    <w:rsid w:val="00F070DE"/>
    <w:rsid w:val="00F070F1"/>
    <w:rsid w:val="00F10A33"/>
    <w:rsid w:val="00F12B1F"/>
    <w:rsid w:val="00F13712"/>
    <w:rsid w:val="00F140F7"/>
    <w:rsid w:val="00F15E2D"/>
    <w:rsid w:val="00F15EE6"/>
    <w:rsid w:val="00F179B3"/>
    <w:rsid w:val="00F23B5D"/>
    <w:rsid w:val="00F248D5"/>
    <w:rsid w:val="00F2546B"/>
    <w:rsid w:val="00F260B4"/>
    <w:rsid w:val="00F31C44"/>
    <w:rsid w:val="00F34746"/>
    <w:rsid w:val="00F34FBC"/>
    <w:rsid w:val="00F37B1A"/>
    <w:rsid w:val="00F417F5"/>
    <w:rsid w:val="00F42434"/>
    <w:rsid w:val="00F43007"/>
    <w:rsid w:val="00F43357"/>
    <w:rsid w:val="00F44FF9"/>
    <w:rsid w:val="00F45038"/>
    <w:rsid w:val="00F47015"/>
    <w:rsid w:val="00F52F40"/>
    <w:rsid w:val="00F572CA"/>
    <w:rsid w:val="00F6123D"/>
    <w:rsid w:val="00F62483"/>
    <w:rsid w:val="00F64549"/>
    <w:rsid w:val="00F6710C"/>
    <w:rsid w:val="00F67B7D"/>
    <w:rsid w:val="00F704A2"/>
    <w:rsid w:val="00F70A34"/>
    <w:rsid w:val="00F70E8D"/>
    <w:rsid w:val="00F710E0"/>
    <w:rsid w:val="00F72B23"/>
    <w:rsid w:val="00F73D95"/>
    <w:rsid w:val="00F76ED5"/>
    <w:rsid w:val="00F77C4C"/>
    <w:rsid w:val="00F800F1"/>
    <w:rsid w:val="00F826BF"/>
    <w:rsid w:val="00F826FF"/>
    <w:rsid w:val="00F831FA"/>
    <w:rsid w:val="00F87DEF"/>
    <w:rsid w:val="00F9136D"/>
    <w:rsid w:val="00F93306"/>
    <w:rsid w:val="00F93AB6"/>
    <w:rsid w:val="00F95720"/>
    <w:rsid w:val="00F97548"/>
    <w:rsid w:val="00FA29F6"/>
    <w:rsid w:val="00FA2BEA"/>
    <w:rsid w:val="00FA3031"/>
    <w:rsid w:val="00FA6208"/>
    <w:rsid w:val="00FA6683"/>
    <w:rsid w:val="00FA6AFC"/>
    <w:rsid w:val="00FA7532"/>
    <w:rsid w:val="00FB1097"/>
    <w:rsid w:val="00FB454F"/>
    <w:rsid w:val="00FB507B"/>
    <w:rsid w:val="00FB51A2"/>
    <w:rsid w:val="00FB57FF"/>
    <w:rsid w:val="00FB65C2"/>
    <w:rsid w:val="00FB660B"/>
    <w:rsid w:val="00FC09D6"/>
    <w:rsid w:val="00FC15B5"/>
    <w:rsid w:val="00FC16F9"/>
    <w:rsid w:val="00FC375C"/>
    <w:rsid w:val="00FC41FC"/>
    <w:rsid w:val="00FC5C43"/>
    <w:rsid w:val="00FC7213"/>
    <w:rsid w:val="00FD24C0"/>
    <w:rsid w:val="00FD3D3F"/>
    <w:rsid w:val="00FD5738"/>
    <w:rsid w:val="00FD57F3"/>
    <w:rsid w:val="00FD7632"/>
    <w:rsid w:val="00FE17FD"/>
    <w:rsid w:val="00FE185D"/>
    <w:rsid w:val="00FE37FD"/>
    <w:rsid w:val="00FE412C"/>
    <w:rsid w:val="00FE744D"/>
    <w:rsid w:val="00FE7EB8"/>
    <w:rsid w:val="00FF21BA"/>
    <w:rsid w:val="00FF3231"/>
    <w:rsid w:val="00FF43EC"/>
    <w:rsid w:val="00FF45A9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0CCA"/>
  <w15:chartTrackingRefBased/>
  <w15:docId w15:val="{23C82944-6034-40AF-8D9D-E7467C1D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21E17"/>
    <w:pPr>
      <w:spacing w:after="0"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B34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34DE"/>
    <w:rPr>
      <w:rFonts w:eastAsia="Times New Roman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B34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34DE"/>
    <w:rPr>
      <w:rFonts w:eastAsia="Times New Roman" w:cs="Times New Roman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6C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6CA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6CAC"/>
    <w:rPr>
      <w:rFonts w:eastAsia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6C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6CAC"/>
    <w:rPr>
      <w:rFonts w:eastAsia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6C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6CAC"/>
    <w:rPr>
      <w:rFonts w:ascii="Segoe UI" w:eastAsia="Times New Roman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CA57B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C710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7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5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4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0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7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2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7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3" ma:contentTypeDescription="Kurkite naują dokumentą." ma:contentTypeScope="" ma:versionID="d7ac09b064c47bf80daf078d0eaad500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263582785c1e94d83b38c7782c82fbc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16FA7-A664-4B21-AD32-9FF600BE0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94460-0EFA-4BE3-9473-3709F19E4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6C096-AAC6-4319-8D7C-A90A26531518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66af4d0a-6674-47fb-9139-f13fcb70dbc4"/>
    <ds:schemaRef ds:uri="01b67f5c-2d3d-4e26-9104-860f284410e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7FD9963-9F80-4BC7-A18D-89AB76DA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1768</TotalTime>
  <Pages>2</Pages>
  <Words>4087</Words>
  <Characters>2331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2020-11-20T08:50:00Z</dcterms:created>
  <dc:creator>Lina Svegzdaite</dc:creator>
  <cp:lastModifiedBy>Lina Svegzdaite</cp:lastModifiedBy>
  <cp:lastPrinted>2020-09-10T04:41:00Z</cp:lastPrinted>
  <dcterms:modified xsi:type="dcterms:W3CDTF">2020-12-08T18:48:00Z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