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DA" w:rsidRDefault="00C15ADA" w:rsidP="00B9167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5ADA">
        <w:rPr>
          <w:rFonts w:ascii="Times New Roman" w:hAnsi="Times New Roman"/>
          <w:b/>
          <w:color w:val="000000"/>
          <w:sz w:val="24"/>
          <w:szCs w:val="24"/>
        </w:rPr>
        <w:t>NUMATOMO TEISINIO REGULIAVIMO POVEIKIO VERTINIMO PAŽYM</w:t>
      </w:r>
      <w:r w:rsidR="00185596">
        <w:rPr>
          <w:rFonts w:ascii="Times New Roman" w:hAnsi="Times New Roman"/>
          <w:b/>
          <w:color w:val="000000"/>
          <w:sz w:val="24"/>
          <w:szCs w:val="24"/>
        </w:rPr>
        <w:t>A</w:t>
      </w:r>
    </w:p>
    <w:p w:rsidR="003737A6" w:rsidRDefault="003737A6" w:rsidP="00B9167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2268"/>
        <w:gridCol w:w="7371"/>
        <w:gridCol w:w="143"/>
      </w:tblGrid>
      <w:tr w:rsidR="00C15ADA" w:rsidRPr="00CA506A" w:rsidTr="00EF1BC5">
        <w:trPr>
          <w:gridAfter w:val="1"/>
          <w:wAfter w:w="143" w:type="dxa"/>
          <w:jc w:val="center"/>
        </w:trPr>
        <w:tc>
          <w:tcPr>
            <w:tcW w:w="2268" w:type="dxa"/>
            <w:shd w:val="clear" w:color="auto" w:fill="auto"/>
            <w:hideMark/>
          </w:tcPr>
          <w:p w:rsidR="00C15ADA" w:rsidRPr="00CA506A" w:rsidRDefault="00C15ADA" w:rsidP="00FA37C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DBE5F1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</w:t>
            </w:r>
            <w:r w:rsidRPr="00B9167D">
              <w:rPr>
                <w:rFonts w:ascii="Times New Roman" w:hAnsi="Times New Roman"/>
                <w:b/>
                <w:sz w:val="24"/>
                <w:szCs w:val="24"/>
                <w:shd w:val="clear" w:color="auto" w:fill="DBE5F1"/>
              </w:rPr>
              <w:t xml:space="preserve"> </w:t>
            </w: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371" w:type="dxa"/>
            <w:shd w:val="clear" w:color="auto" w:fill="auto"/>
          </w:tcPr>
          <w:p w:rsidR="00664346" w:rsidRPr="006C433B" w:rsidRDefault="006C433B" w:rsidP="006C433B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33B">
              <w:rPr>
                <w:rFonts w:ascii="Times New Roman" w:hAnsi="Times New Roman"/>
                <w:sz w:val="24"/>
                <w:szCs w:val="24"/>
              </w:rPr>
              <w:t xml:space="preserve">Lietuvos Respublikos Vyriausybės 2006 m. lapkričio 24 d. nutarimo Nr. 1168 „Dėl apmokestinamųjų gaminių ir pakuočių atliekų naudojimo ir (ar) perdirbimo užduočių patvirtinimo“ </w:t>
            </w:r>
            <w:r w:rsidR="00F21E2A" w:rsidRPr="006C433B">
              <w:rPr>
                <w:rFonts w:ascii="Times New Roman" w:hAnsi="Times New Roman"/>
                <w:sz w:val="24"/>
                <w:szCs w:val="24"/>
              </w:rPr>
              <w:t xml:space="preserve">pakeitimo </w:t>
            </w:r>
            <w:r w:rsidR="00D43E88" w:rsidRPr="006C433B">
              <w:rPr>
                <w:rFonts w:ascii="Times New Roman" w:hAnsi="Times New Roman"/>
                <w:sz w:val="24"/>
                <w:szCs w:val="24"/>
              </w:rPr>
              <w:t xml:space="preserve">projektas </w:t>
            </w:r>
            <w:bookmarkStart w:id="0" w:name="_GoBack"/>
            <w:r w:rsidR="004D607F" w:rsidRPr="006C433B">
              <w:rPr>
                <w:rFonts w:ascii="Times New Roman" w:hAnsi="Times New Roman"/>
                <w:sz w:val="24"/>
                <w:szCs w:val="24"/>
              </w:rPr>
              <w:t xml:space="preserve">(toliau – </w:t>
            </w:r>
            <w:r w:rsidRPr="006C433B">
              <w:rPr>
                <w:rFonts w:ascii="Times New Roman" w:hAnsi="Times New Roman"/>
                <w:sz w:val="24"/>
                <w:szCs w:val="24"/>
              </w:rPr>
              <w:t>Nutari</w:t>
            </w:r>
            <w:r w:rsidR="001860FE" w:rsidRPr="006C433B">
              <w:rPr>
                <w:rFonts w:ascii="Times New Roman" w:hAnsi="Times New Roman"/>
                <w:sz w:val="24"/>
                <w:szCs w:val="24"/>
              </w:rPr>
              <w:t>mo</w:t>
            </w:r>
            <w:r w:rsidR="00224D60" w:rsidRPr="006C433B">
              <w:rPr>
                <w:rFonts w:ascii="Times New Roman" w:hAnsi="Times New Roman"/>
                <w:sz w:val="24"/>
                <w:szCs w:val="24"/>
              </w:rPr>
              <w:t xml:space="preserve"> pakeitimo </w:t>
            </w:r>
            <w:r w:rsidR="004D607F" w:rsidRPr="006C433B">
              <w:rPr>
                <w:rFonts w:ascii="Times New Roman" w:hAnsi="Times New Roman"/>
                <w:sz w:val="24"/>
                <w:szCs w:val="24"/>
              </w:rPr>
              <w:t>projektas)</w:t>
            </w:r>
            <w:bookmarkEnd w:id="0"/>
            <w:r w:rsidR="00C15ADA" w:rsidRPr="006C43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ADA" w:rsidRPr="00CA506A" w:rsidTr="00EF1BC5">
        <w:trPr>
          <w:gridAfter w:val="1"/>
          <w:wAfter w:w="143" w:type="dxa"/>
          <w:jc w:val="center"/>
        </w:trPr>
        <w:tc>
          <w:tcPr>
            <w:tcW w:w="2268" w:type="dxa"/>
            <w:shd w:val="clear" w:color="auto" w:fill="auto"/>
            <w:hideMark/>
          </w:tcPr>
          <w:p w:rsidR="00C15ADA" w:rsidRPr="0050389F" w:rsidRDefault="00C15ADA" w:rsidP="00FA37C5">
            <w:pPr>
              <w:shd w:val="clear" w:color="auto" w:fill="FFFFFF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Projekto rengėjas</w:t>
            </w:r>
          </w:p>
        </w:tc>
        <w:tc>
          <w:tcPr>
            <w:tcW w:w="7371" w:type="dxa"/>
            <w:shd w:val="clear" w:color="auto" w:fill="auto"/>
            <w:hideMark/>
          </w:tcPr>
          <w:p w:rsidR="00C15ADA" w:rsidRPr="00CA506A" w:rsidRDefault="00C15ADA" w:rsidP="00FA37C5">
            <w:pPr>
              <w:shd w:val="clear" w:color="auto" w:fill="FFFFFF"/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89F">
              <w:rPr>
                <w:rFonts w:ascii="Times New Roman" w:hAnsi="Times New Roman"/>
                <w:sz w:val="24"/>
                <w:szCs w:val="24"/>
              </w:rPr>
              <w:t>Lietuvos Respublikos aplinkos ministerija</w:t>
            </w:r>
            <w:r w:rsidR="007269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ADA" w:rsidRPr="001860FE" w:rsidTr="00EF1BC5">
        <w:trPr>
          <w:jc w:val="center"/>
        </w:trPr>
        <w:tc>
          <w:tcPr>
            <w:tcW w:w="2268" w:type="dxa"/>
            <w:shd w:val="clear" w:color="auto" w:fill="auto"/>
            <w:hideMark/>
          </w:tcPr>
          <w:p w:rsidR="00C15ADA" w:rsidRPr="00B9167D" w:rsidRDefault="00C15ADA" w:rsidP="00FA37C5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 tikslas</w:t>
            </w:r>
          </w:p>
        </w:tc>
        <w:tc>
          <w:tcPr>
            <w:tcW w:w="7514" w:type="dxa"/>
            <w:gridSpan w:val="2"/>
            <w:shd w:val="clear" w:color="auto" w:fill="auto"/>
            <w:hideMark/>
          </w:tcPr>
          <w:p w:rsidR="00C15ADA" w:rsidRPr="0062676A" w:rsidRDefault="0062676A" w:rsidP="00CD14A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62676A">
              <w:rPr>
                <w:rFonts w:ascii="Times New Roman" w:hAnsi="Times New Roman"/>
                <w:sz w:val="24"/>
              </w:rPr>
              <w:t>ustatyti gaminių</w:t>
            </w:r>
            <w:r w:rsidR="00CD14AC">
              <w:rPr>
                <w:rFonts w:ascii="Times New Roman" w:hAnsi="Times New Roman"/>
                <w:sz w:val="24"/>
              </w:rPr>
              <w:t>,</w:t>
            </w:r>
            <w:r w:rsidR="00CD14AC" w:rsidRPr="0062676A">
              <w:rPr>
                <w:rFonts w:ascii="Times New Roman" w:hAnsi="Times New Roman"/>
                <w:sz w:val="24"/>
              </w:rPr>
              <w:t xml:space="preserve"> apmokestinamų</w:t>
            </w:r>
            <w:r w:rsidRPr="0062676A">
              <w:rPr>
                <w:rFonts w:ascii="Times New Roman" w:hAnsi="Times New Roman"/>
                <w:sz w:val="24"/>
              </w:rPr>
              <w:t xml:space="preserve"> </w:t>
            </w:r>
            <w:r w:rsidR="00CD14AC" w:rsidRPr="0043440F">
              <w:rPr>
                <w:rFonts w:ascii="Times New Roman" w:hAnsi="Times New Roman"/>
                <w:sz w:val="24"/>
              </w:rPr>
              <w:t>pagal Mokesčio už aplinkos teršimą įstatymą</w:t>
            </w:r>
            <w:r w:rsidR="00CD14AC">
              <w:rPr>
                <w:rFonts w:ascii="Times New Roman" w:hAnsi="Times New Roman"/>
                <w:sz w:val="24"/>
              </w:rPr>
              <w:t>,</w:t>
            </w:r>
            <w:r w:rsidR="00CD14AC" w:rsidRPr="0062676A">
              <w:rPr>
                <w:rFonts w:ascii="Times New Roman" w:hAnsi="Times New Roman"/>
                <w:sz w:val="24"/>
              </w:rPr>
              <w:t xml:space="preserve"> </w:t>
            </w:r>
            <w:r w:rsidRPr="0062676A">
              <w:rPr>
                <w:rFonts w:ascii="Times New Roman" w:hAnsi="Times New Roman"/>
                <w:sz w:val="24"/>
              </w:rPr>
              <w:t xml:space="preserve">ir pakuočių atliekų naudojimo ir (ar) perdirbimo 2021–2030 m. užduotis </w:t>
            </w:r>
            <w:r w:rsidR="000E6F0E" w:rsidRPr="000E6F0E">
              <w:rPr>
                <w:rFonts w:ascii="Times New Roman" w:hAnsi="Times New Roman"/>
                <w:sz w:val="24"/>
                <w:szCs w:val="24"/>
              </w:rPr>
              <w:t>atsižvelgiant į per ataskaitinį laikotarpį</w:t>
            </w:r>
            <w:r w:rsidRPr="0062676A">
              <w:rPr>
                <w:rFonts w:ascii="Times New Roman" w:hAnsi="Times New Roman"/>
                <w:sz w:val="24"/>
              </w:rPr>
              <w:t xml:space="preserve"> </w:t>
            </w:r>
            <w:r w:rsidR="000E6F0E" w:rsidRPr="0062676A">
              <w:rPr>
                <w:rFonts w:ascii="Times New Roman" w:hAnsi="Times New Roman"/>
                <w:sz w:val="24"/>
              </w:rPr>
              <w:t>patiekt</w:t>
            </w:r>
            <w:r w:rsidR="000E6F0E">
              <w:rPr>
                <w:rFonts w:ascii="Times New Roman" w:hAnsi="Times New Roman"/>
                <w:sz w:val="24"/>
              </w:rPr>
              <w:t>ą</w:t>
            </w:r>
            <w:r w:rsidR="000E6F0E" w:rsidRPr="0062676A">
              <w:rPr>
                <w:rFonts w:ascii="Times New Roman" w:hAnsi="Times New Roman"/>
                <w:sz w:val="24"/>
              </w:rPr>
              <w:t xml:space="preserve"> </w:t>
            </w:r>
            <w:r w:rsidRPr="0062676A">
              <w:rPr>
                <w:rFonts w:ascii="Times New Roman" w:hAnsi="Times New Roman"/>
                <w:sz w:val="24"/>
              </w:rPr>
              <w:t xml:space="preserve">vidaus rinkai </w:t>
            </w:r>
            <w:r w:rsidR="000E6F0E" w:rsidRPr="000E6F0E">
              <w:rPr>
                <w:rFonts w:ascii="Times New Roman" w:hAnsi="Times New Roman"/>
                <w:sz w:val="24"/>
                <w:szCs w:val="24"/>
              </w:rPr>
              <w:t>atitinkamų gaminių ir</w:t>
            </w:r>
            <w:r w:rsidR="000E6F0E">
              <w:t xml:space="preserve"> </w:t>
            </w:r>
            <w:r w:rsidRPr="0062676A">
              <w:rPr>
                <w:rFonts w:ascii="Times New Roman" w:hAnsi="Times New Roman"/>
                <w:sz w:val="24"/>
              </w:rPr>
              <w:t xml:space="preserve">pakuočių </w:t>
            </w:r>
            <w:r w:rsidR="000E6F0E">
              <w:rPr>
                <w:rFonts w:ascii="Times New Roman" w:hAnsi="Times New Roman"/>
                <w:sz w:val="24"/>
              </w:rPr>
              <w:t>kiekį</w:t>
            </w:r>
            <w:r w:rsidRPr="0062676A">
              <w:rPr>
                <w:rFonts w:ascii="Times New Roman" w:hAnsi="Times New Roman"/>
                <w:sz w:val="24"/>
              </w:rPr>
              <w:t xml:space="preserve">. Pakuočių atliekų naudojimo ir (ar) perdirbimo </w:t>
            </w:r>
            <w:r w:rsidR="000E6F0E" w:rsidRPr="0062676A">
              <w:rPr>
                <w:rFonts w:ascii="Times New Roman" w:hAnsi="Times New Roman"/>
                <w:sz w:val="24"/>
              </w:rPr>
              <w:t>užduot</w:t>
            </w:r>
            <w:r w:rsidR="000E6F0E">
              <w:rPr>
                <w:rFonts w:ascii="Times New Roman" w:hAnsi="Times New Roman"/>
                <w:sz w:val="24"/>
              </w:rPr>
              <w:t>i</w:t>
            </w:r>
            <w:r w:rsidR="000E6F0E" w:rsidRPr="0062676A">
              <w:rPr>
                <w:rFonts w:ascii="Times New Roman" w:hAnsi="Times New Roman"/>
                <w:sz w:val="24"/>
              </w:rPr>
              <w:t xml:space="preserve">s </w:t>
            </w:r>
            <w:r w:rsidRPr="0062676A">
              <w:rPr>
                <w:rFonts w:ascii="Times New Roman" w:hAnsi="Times New Roman"/>
                <w:sz w:val="24"/>
              </w:rPr>
              <w:t xml:space="preserve">nustatyti atsižvelgiant į </w:t>
            </w:r>
            <w:r w:rsidR="0043440F" w:rsidRPr="0043440F">
              <w:rPr>
                <w:rFonts w:ascii="Times New Roman" w:hAnsi="Times New Roman"/>
                <w:sz w:val="24"/>
                <w:szCs w:val="24"/>
              </w:rPr>
              <w:t>2018 m. gegužės 30 d. Europos Parlamento ir Tarybos direktyvo</w:t>
            </w:r>
            <w:r w:rsidR="0043440F">
              <w:rPr>
                <w:rFonts w:ascii="Times New Roman" w:hAnsi="Times New Roman"/>
                <w:sz w:val="24"/>
                <w:szCs w:val="24"/>
              </w:rPr>
              <w:t>je</w:t>
            </w:r>
            <w:r w:rsidR="0043440F" w:rsidRPr="0043440F">
              <w:rPr>
                <w:rFonts w:ascii="Times New Roman" w:hAnsi="Times New Roman"/>
                <w:sz w:val="24"/>
                <w:szCs w:val="24"/>
              </w:rPr>
              <w:t xml:space="preserve"> (ES) 2018/852</w:t>
            </w:r>
            <w:r w:rsidR="00CD14AC">
              <w:rPr>
                <w:rFonts w:ascii="Times New Roman" w:hAnsi="Times New Roman"/>
                <w:sz w:val="24"/>
                <w:szCs w:val="24"/>
              </w:rPr>
              <w:t>,</w:t>
            </w:r>
            <w:r w:rsidR="0043440F" w:rsidRPr="0043440F">
              <w:rPr>
                <w:rFonts w:ascii="Times New Roman" w:hAnsi="Times New Roman"/>
                <w:sz w:val="24"/>
                <w:szCs w:val="24"/>
              </w:rPr>
              <w:t xml:space="preserve"> kuria iš dalies keičiama Direktyva 94/62/EB dėl pakuočių ir pakuočių atliekų (toliau – Direktyva)</w:t>
            </w:r>
            <w:r w:rsidRPr="0062676A">
              <w:rPr>
                <w:rFonts w:ascii="Times New Roman" w:hAnsi="Times New Roman"/>
                <w:sz w:val="24"/>
              </w:rPr>
              <w:t xml:space="preserve"> nustatytus minimalius pakuočių atliekoms (pagal svorį) taikomus perdirbimo tikslus 2025 m. ir 2030 m., </w:t>
            </w:r>
            <w:r w:rsidR="00CD14AC">
              <w:rPr>
                <w:rFonts w:ascii="Times New Roman" w:hAnsi="Times New Roman"/>
                <w:sz w:val="24"/>
              </w:rPr>
              <w:t>prireikus</w:t>
            </w:r>
            <w:r w:rsidR="00CD14AC" w:rsidRPr="0062676A">
              <w:rPr>
                <w:rFonts w:ascii="Times New Roman" w:hAnsi="Times New Roman"/>
                <w:sz w:val="24"/>
              </w:rPr>
              <w:t xml:space="preserve"> </w:t>
            </w:r>
            <w:r w:rsidR="000E6F0E" w:rsidRPr="0062676A">
              <w:rPr>
                <w:rFonts w:ascii="Times New Roman" w:hAnsi="Times New Roman"/>
                <w:sz w:val="24"/>
              </w:rPr>
              <w:t>tiksl</w:t>
            </w:r>
            <w:r w:rsidR="000E6F0E">
              <w:rPr>
                <w:rFonts w:ascii="Times New Roman" w:hAnsi="Times New Roman"/>
                <w:sz w:val="24"/>
              </w:rPr>
              <w:t>ų</w:t>
            </w:r>
            <w:r w:rsidR="000E6F0E" w:rsidRPr="0062676A">
              <w:rPr>
                <w:rFonts w:ascii="Times New Roman" w:hAnsi="Times New Roman"/>
                <w:sz w:val="24"/>
              </w:rPr>
              <w:t xml:space="preserve"> </w:t>
            </w:r>
            <w:r w:rsidRPr="0062676A">
              <w:rPr>
                <w:rFonts w:ascii="Times New Roman" w:hAnsi="Times New Roman"/>
                <w:sz w:val="24"/>
              </w:rPr>
              <w:t>įgyvendinimo terimus pratęsti pagal Direktyvoje nurodytas sąlygas.</w:t>
            </w:r>
          </w:p>
        </w:tc>
      </w:tr>
    </w:tbl>
    <w:p w:rsidR="00C15ADA" w:rsidRPr="00B9167D" w:rsidRDefault="00C15ADA" w:rsidP="00FA37C5">
      <w:pPr>
        <w:spacing w:before="40" w:after="4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268"/>
        <w:gridCol w:w="7371"/>
      </w:tblGrid>
      <w:tr w:rsidR="00C15ADA" w:rsidRPr="00B9167D" w:rsidTr="00EF1BC5">
        <w:trPr>
          <w:trHeight w:val="415"/>
          <w:jc w:val="center"/>
        </w:trPr>
        <w:tc>
          <w:tcPr>
            <w:tcW w:w="2268" w:type="dxa"/>
            <w:shd w:val="clear" w:color="auto" w:fill="FFFFFF"/>
          </w:tcPr>
          <w:p w:rsidR="00C15ADA" w:rsidRPr="00B9167D" w:rsidRDefault="00C15ADA" w:rsidP="00FA37C5">
            <w:pPr>
              <w:shd w:val="clear" w:color="auto" w:fill="FFFFFF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/>
            <w:hideMark/>
          </w:tcPr>
          <w:p w:rsidR="00F013E5" w:rsidRDefault="00F013E5" w:rsidP="00F0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:rsidR="00F013E5" w:rsidRPr="0062676A" w:rsidRDefault="00F013E5" w:rsidP="0062676A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  <w:tr w:rsidR="00C15ADA" w:rsidRPr="00CA506A" w:rsidTr="00EF1BC5">
        <w:trPr>
          <w:jc w:val="center"/>
        </w:trPr>
        <w:tc>
          <w:tcPr>
            <w:tcW w:w="2268" w:type="dxa"/>
            <w:shd w:val="clear" w:color="auto" w:fill="FFFFFF"/>
          </w:tcPr>
          <w:p w:rsidR="00C15ADA" w:rsidRPr="00CB5FE9" w:rsidRDefault="00C15ADA" w:rsidP="000E6F0E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5FE9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  <w:r w:rsidR="000E6F0E">
              <w:rPr>
                <w:rFonts w:ascii="Times New Roman" w:hAnsi="Times New Roman"/>
                <w:b/>
                <w:sz w:val="24"/>
                <w:szCs w:val="24"/>
              </w:rPr>
              <w:t>aplinkai ir klimato kaitai</w:t>
            </w:r>
          </w:p>
        </w:tc>
        <w:tc>
          <w:tcPr>
            <w:tcW w:w="7371" w:type="dxa"/>
            <w:shd w:val="clear" w:color="auto" w:fill="FFFFFF"/>
          </w:tcPr>
          <w:p w:rsidR="00C15ADA" w:rsidRDefault="00F013E5" w:rsidP="00CB5FE9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Prognozuojamas t</w:t>
            </w:r>
            <w:r w:rsidR="00F56B6B" w:rsidRPr="00CB5FE9">
              <w:rPr>
                <w:rFonts w:ascii="Times New Roman" w:hAnsi="Times New Roman"/>
                <w:sz w:val="24"/>
                <w:szCs w:val="24"/>
              </w:rPr>
              <w:t xml:space="preserve">eigiamas poveikis. </w:t>
            </w:r>
            <w:r w:rsidR="008D4790" w:rsidRPr="00CB5FE9">
              <w:rPr>
                <w:rFonts w:ascii="Times New Roman" w:hAnsi="Times New Roman"/>
                <w:sz w:val="24"/>
                <w:szCs w:val="24"/>
              </w:rPr>
              <w:t xml:space="preserve">Nustačius </w:t>
            </w:r>
            <w:r w:rsidR="00FA6DB6" w:rsidRPr="00CB5FE9">
              <w:rPr>
                <w:rFonts w:ascii="Times New Roman" w:hAnsi="Times New Roman"/>
                <w:sz w:val="24"/>
                <w:szCs w:val="24"/>
              </w:rPr>
              <w:t>dides</w:t>
            </w:r>
            <w:r w:rsidR="008D4790" w:rsidRPr="00CB5FE9">
              <w:rPr>
                <w:rFonts w:ascii="Times New Roman" w:hAnsi="Times New Roman"/>
                <w:sz w:val="24"/>
                <w:szCs w:val="24"/>
              </w:rPr>
              <w:t>nes pakuočių atliekų perdirbimo užduotis,</w:t>
            </w:r>
            <w:r w:rsidR="00CB5FE9" w:rsidRPr="00CB5FE9">
              <w:rPr>
                <w:rFonts w:ascii="Times New Roman" w:hAnsi="Times New Roman"/>
                <w:sz w:val="24"/>
                <w:szCs w:val="24"/>
              </w:rPr>
              <w:t xml:space="preserve"> gamintojai skatinami rinktis perdirbamą ar </w:t>
            </w:r>
            <w:r w:rsidR="00CD14AC">
              <w:rPr>
                <w:rFonts w:ascii="Times New Roman" w:hAnsi="Times New Roman"/>
                <w:sz w:val="24"/>
                <w:szCs w:val="24"/>
              </w:rPr>
              <w:t>daugkartinę</w:t>
            </w:r>
            <w:r w:rsidR="00CB5FE9" w:rsidRPr="00CB5FE9">
              <w:rPr>
                <w:rFonts w:ascii="Times New Roman" w:hAnsi="Times New Roman"/>
                <w:sz w:val="24"/>
                <w:szCs w:val="24"/>
              </w:rPr>
              <w:t xml:space="preserve"> pakuotę gaminiams pakuoti. S</w:t>
            </w:r>
            <w:r w:rsidR="008D4790" w:rsidRPr="00CB5FE9">
              <w:rPr>
                <w:rFonts w:ascii="Times New Roman" w:hAnsi="Times New Roman"/>
                <w:sz w:val="24"/>
                <w:szCs w:val="24"/>
              </w:rPr>
              <w:t xml:space="preserve">upakuotus gaminius Lietuvos rinkai tiekiantys gamintojai ir importuotojai </w:t>
            </w:r>
            <w:r w:rsidR="00F56B6B" w:rsidRPr="00CB5FE9">
              <w:rPr>
                <w:rFonts w:ascii="Times New Roman" w:hAnsi="Times New Roman"/>
                <w:sz w:val="24"/>
                <w:szCs w:val="24"/>
              </w:rPr>
              <w:t>įpareigojami</w:t>
            </w:r>
            <w:r w:rsidR="008D4790" w:rsidRPr="00CB5FE9">
              <w:rPr>
                <w:rFonts w:ascii="Times New Roman" w:hAnsi="Times New Roman"/>
                <w:sz w:val="24"/>
                <w:szCs w:val="24"/>
              </w:rPr>
              <w:t xml:space="preserve"> surinkti ir perdirbti</w:t>
            </w:r>
            <w:r w:rsidR="00FA37C5" w:rsidRPr="00CB5FE9">
              <w:rPr>
                <w:rFonts w:ascii="Times New Roman" w:hAnsi="Times New Roman"/>
                <w:sz w:val="24"/>
                <w:szCs w:val="24"/>
              </w:rPr>
              <w:t xml:space="preserve"> didesnį pakuočių atliekų</w:t>
            </w:r>
            <w:r w:rsidR="006C433B" w:rsidRPr="00CB5FE9">
              <w:rPr>
                <w:rFonts w:ascii="Times New Roman" w:hAnsi="Times New Roman"/>
                <w:sz w:val="24"/>
                <w:szCs w:val="24"/>
              </w:rPr>
              <w:t xml:space="preserve"> kiekį</w:t>
            </w:r>
            <w:r w:rsidR="00CB5FE9" w:rsidRPr="00CB5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8AC" w:rsidRPr="00CB5FE9">
              <w:rPr>
                <w:rFonts w:ascii="Times New Roman" w:hAnsi="Times New Roman"/>
                <w:sz w:val="24"/>
                <w:szCs w:val="24"/>
              </w:rPr>
              <w:t xml:space="preserve">siekiant prisidėti </w:t>
            </w:r>
            <w:r w:rsidR="002479D1" w:rsidRPr="00CB5FE9">
              <w:rPr>
                <w:rFonts w:ascii="Times New Roman" w:hAnsi="Times New Roman"/>
                <w:sz w:val="24"/>
                <w:szCs w:val="24"/>
              </w:rPr>
              <w:t>pr</w:t>
            </w:r>
            <w:r w:rsidR="00D179D5" w:rsidRPr="00CB5FE9">
              <w:rPr>
                <w:rFonts w:ascii="Times New Roman" w:hAnsi="Times New Roman"/>
                <w:sz w:val="24"/>
                <w:szCs w:val="24"/>
              </w:rPr>
              <w:t>ie tvaresnės visuomenės kūrimo</w:t>
            </w:r>
            <w:r w:rsidR="00CB5FE9" w:rsidRPr="00CB5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B5FE9" w:rsidRPr="00CB5FE9">
              <w:rPr>
                <w:rFonts w:ascii="Times New Roman" w:hAnsi="Times New Roman"/>
                <w:sz w:val="24"/>
                <w:szCs w:val="24"/>
                <w:lang w:eastAsia="lt-LT"/>
              </w:rPr>
              <w:t>mažinant sąvartynuose šalinamų atliekų kiekį ir plėtojant racionalų atliekų medžiaginių ir energinių išteklių naudojimą</w:t>
            </w:r>
            <w:r w:rsidR="00D179D5" w:rsidRPr="00CB5F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2676A" w:rsidRPr="00CB5FE9" w:rsidRDefault="0062676A" w:rsidP="00CB5FE9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Neigiamas poveikis. Nenumatomas.</w:t>
            </w:r>
          </w:p>
        </w:tc>
      </w:tr>
      <w:tr w:rsidR="00C15ADA" w:rsidRPr="00CA506A" w:rsidTr="0050389F">
        <w:trPr>
          <w:jc w:val="center"/>
        </w:trPr>
        <w:tc>
          <w:tcPr>
            <w:tcW w:w="2268" w:type="dxa"/>
            <w:shd w:val="clear" w:color="auto" w:fill="FFFFFF"/>
            <w:hideMark/>
          </w:tcPr>
          <w:p w:rsidR="00C15ADA" w:rsidRPr="00CA506A" w:rsidRDefault="00C15ADA" w:rsidP="00FA37C5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</w:p>
          <w:p w:rsidR="00C15ADA" w:rsidRPr="00CA506A" w:rsidRDefault="00C15ADA" w:rsidP="00FA37C5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valstybės finansams</w:t>
            </w:r>
          </w:p>
        </w:tc>
        <w:tc>
          <w:tcPr>
            <w:tcW w:w="7371" w:type="dxa"/>
            <w:shd w:val="clear" w:color="auto" w:fill="auto"/>
            <w:hideMark/>
          </w:tcPr>
          <w:p w:rsidR="00C15ADA" w:rsidRPr="004D607F" w:rsidRDefault="00F013E5" w:rsidP="000E6F0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Papildomų lėšų </w:t>
            </w:r>
            <w:r w:rsidR="000E6F0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Nutarimo pakeitimo projekto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įgyvendinimui nereikės.</w:t>
            </w:r>
          </w:p>
        </w:tc>
      </w:tr>
      <w:tr w:rsidR="00C15ADA" w:rsidRPr="00CA506A" w:rsidTr="00B9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5ADA" w:rsidRPr="0074398C" w:rsidRDefault="00C15ADA" w:rsidP="00FA37C5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Poveikis administracinei naštai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15ADA" w:rsidRPr="00CA506A" w:rsidRDefault="00404BFE" w:rsidP="00FA37C5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Nenumatomas.</w:t>
            </w:r>
          </w:p>
        </w:tc>
      </w:tr>
      <w:tr w:rsidR="00C15ADA" w:rsidRPr="00CA506A" w:rsidTr="00B9167D">
        <w:tblPrEx>
          <w:shd w:val="clear" w:color="auto" w:fill="FFFFFF"/>
        </w:tblPrEx>
        <w:trPr>
          <w:trHeight w:val="379"/>
          <w:jc w:val="center"/>
        </w:trPr>
        <w:tc>
          <w:tcPr>
            <w:tcW w:w="9639" w:type="dxa"/>
            <w:gridSpan w:val="2"/>
            <w:vMerge w:val="restart"/>
            <w:shd w:val="clear" w:color="auto" w:fill="FFFFFF"/>
            <w:hideMark/>
          </w:tcPr>
          <w:p w:rsidR="00CB5FE9" w:rsidRDefault="00C15ADA" w:rsidP="00FA37C5">
            <w:pPr>
              <w:shd w:val="clear" w:color="auto" w:fill="FFFFFF"/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Kita svarbi </w:t>
            </w:r>
            <w:r w:rsidR="00AE58E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="00AE58E1" w:rsidRPr="00CA506A">
              <w:rPr>
                <w:rFonts w:ascii="Times New Roman" w:hAnsi="Times New Roman"/>
                <w:sz w:val="24"/>
                <w:szCs w:val="24"/>
              </w:rPr>
              <w:t>Nėra.</w:t>
            </w:r>
          </w:p>
          <w:p w:rsidR="00C15ADA" w:rsidRPr="00CA506A" w:rsidRDefault="00C15ADA" w:rsidP="00FA37C5">
            <w:pPr>
              <w:shd w:val="clear" w:color="auto" w:fill="FFFFFF"/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informacija</w:t>
            </w:r>
            <w:r w:rsidR="00664346" w:rsidRPr="00CA5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FE9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C15ADA" w:rsidRPr="00CA506A" w:rsidRDefault="00C15ADA" w:rsidP="00FA37C5">
            <w:pPr>
              <w:shd w:val="clear" w:color="auto" w:fill="FFFFFF"/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ADA" w:rsidRPr="00CA506A" w:rsidTr="00B9167D">
        <w:tblPrEx>
          <w:shd w:val="clear" w:color="auto" w:fill="FFFFFF"/>
        </w:tblPrEx>
        <w:trPr>
          <w:trHeight w:val="379"/>
          <w:jc w:val="center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C15ADA" w:rsidRPr="00CA506A" w:rsidRDefault="00C15ADA" w:rsidP="00EF1BC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5ADA" w:rsidRPr="00C15ADA" w:rsidRDefault="00C15ADA" w:rsidP="00EF1BC5">
      <w:pPr>
        <w:pStyle w:val="ListParagraph1"/>
        <w:spacing w:line="276" w:lineRule="auto"/>
        <w:ind w:left="0"/>
        <w:jc w:val="both"/>
        <w:rPr>
          <w:b/>
          <w:szCs w:val="24"/>
        </w:rPr>
      </w:pPr>
      <w:r w:rsidRPr="00C15ADA">
        <w:rPr>
          <w:b/>
          <w:szCs w:val="24"/>
        </w:rPr>
        <w:t>Informacija apie asmenį ir instituciją, atsakingą už poveikio vertinimą</w:t>
      </w:r>
    </w:p>
    <w:p w:rsidR="00C15ADA" w:rsidRPr="00C15ADA" w:rsidRDefault="00C15ADA" w:rsidP="00EF1BC5">
      <w:pPr>
        <w:pStyle w:val="ListParagraph1"/>
        <w:spacing w:line="276" w:lineRule="auto"/>
        <w:ind w:left="0"/>
        <w:jc w:val="both"/>
        <w:rPr>
          <w:b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804"/>
      </w:tblGrid>
      <w:tr w:rsidR="00C15ADA" w:rsidRPr="00CA506A" w:rsidTr="00F2069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15ADA" w:rsidRPr="00C15ADA" w:rsidRDefault="00C15ADA" w:rsidP="00EF1BC5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Vardas ir pavardė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ADA" w:rsidRPr="00CA506A" w:rsidRDefault="0005072F" w:rsidP="00EF1BC5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Ieva </w:t>
            </w:r>
            <w:proofErr w:type="spellStart"/>
            <w:r>
              <w:rPr>
                <w:szCs w:val="24"/>
              </w:rPr>
              <w:t>Kazulytė</w:t>
            </w:r>
            <w:proofErr w:type="spellEnd"/>
          </w:p>
        </w:tc>
      </w:tr>
      <w:tr w:rsidR="00C15ADA" w:rsidRPr="00CA506A" w:rsidTr="00F2069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15ADA" w:rsidRPr="00C15ADA" w:rsidRDefault="00C15ADA" w:rsidP="00EF1BC5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Pareigos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ADA" w:rsidRPr="00CA506A" w:rsidRDefault="00C15ADA" w:rsidP="00EF1BC5">
            <w:pPr>
              <w:pStyle w:val="ListParagraph1"/>
              <w:ind w:left="0"/>
              <w:rPr>
                <w:szCs w:val="24"/>
              </w:rPr>
            </w:pPr>
            <w:r w:rsidRPr="00CA506A">
              <w:rPr>
                <w:szCs w:val="24"/>
              </w:rPr>
              <w:t>Vyriausioji specialistė</w:t>
            </w:r>
          </w:p>
        </w:tc>
      </w:tr>
      <w:tr w:rsidR="00C15ADA" w:rsidRPr="00CA506A" w:rsidTr="00F2069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15ADA" w:rsidRPr="00C15ADA" w:rsidRDefault="00C15ADA" w:rsidP="00EF1BC5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Institucija (padalinys)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ADA" w:rsidRPr="00CA506A" w:rsidRDefault="00C15ADA" w:rsidP="0005072F">
            <w:pPr>
              <w:pStyle w:val="ListParagraph1"/>
              <w:ind w:left="0"/>
              <w:rPr>
                <w:szCs w:val="24"/>
              </w:rPr>
            </w:pPr>
            <w:r w:rsidRPr="00CA506A">
              <w:rPr>
                <w:szCs w:val="24"/>
              </w:rPr>
              <w:t xml:space="preserve">Lietuvos Respublikos aplinkos ministerijos </w:t>
            </w:r>
            <w:r w:rsidR="0005072F">
              <w:rPr>
                <w:szCs w:val="24"/>
              </w:rPr>
              <w:t>Atliekų politikos grupė</w:t>
            </w:r>
          </w:p>
        </w:tc>
      </w:tr>
      <w:tr w:rsidR="00C15ADA" w:rsidRPr="00CA506A" w:rsidTr="00F2069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C15ADA" w:rsidRPr="00C15ADA" w:rsidRDefault="00C15ADA" w:rsidP="00EF1BC5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Telefono numeris ir elektroninio pašto adresas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4D60" w:rsidRPr="00664346" w:rsidRDefault="00C15ADA" w:rsidP="00EF1BC5">
            <w:pPr>
              <w:pStyle w:val="ListParagraph1"/>
              <w:ind w:left="0"/>
              <w:rPr>
                <w:szCs w:val="24"/>
                <w:lang w:val="en-US"/>
              </w:rPr>
            </w:pPr>
            <w:r w:rsidRPr="00CA506A">
              <w:rPr>
                <w:szCs w:val="24"/>
              </w:rPr>
              <w:t xml:space="preserve">Tel. </w:t>
            </w:r>
            <w:r w:rsidR="0005072F">
              <w:rPr>
                <w:szCs w:val="24"/>
              </w:rPr>
              <w:t xml:space="preserve">8 </w:t>
            </w:r>
            <w:r w:rsidR="00EF29C3">
              <w:rPr>
                <w:szCs w:val="24"/>
                <w:lang w:val="en-US"/>
              </w:rPr>
              <w:t>696</w:t>
            </w:r>
            <w:r w:rsidR="00EF29C3">
              <w:rPr>
                <w:szCs w:val="24"/>
              </w:rPr>
              <w:t xml:space="preserve"> 49 647</w:t>
            </w:r>
            <w:r w:rsidR="00EF1BC5">
              <w:rPr>
                <w:szCs w:val="24"/>
              </w:rPr>
              <w:t>;</w:t>
            </w:r>
            <w:r w:rsidRPr="00CA506A">
              <w:rPr>
                <w:szCs w:val="24"/>
              </w:rPr>
              <w:t xml:space="preserve"> el. paštas</w:t>
            </w:r>
            <w:r w:rsidR="00CA506A" w:rsidRPr="00CA506A">
              <w:rPr>
                <w:szCs w:val="24"/>
              </w:rPr>
              <w:t xml:space="preserve">: </w:t>
            </w:r>
            <w:r w:rsidR="0005072F">
              <w:rPr>
                <w:szCs w:val="24"/>
              </w:rPr>
              <w:t>ieva.kazulyte</w:t>
            </w:r>
            <w:r w:rsidR="00664346">
              <w:rPr>
                <w:szCs w:val="24"/>
              </w:rPr>
              <w:t>@am.lt</w:t>
            </w:r>
          </w:p>
          <w:p w:rsidR="00C15ADA" w:rsidRPr="00CA506A" w:rsidRDefault="00CA506A" w:rsidP="00EF1BC5">
            <w:pPr>
              <w:pStyle w:val="ListParagraph1"/>
              <w:ind w:left="0"/>
              <w:rPr>
                <w:szCs w:val="24"/>
              </w:rPr>
            </w:pPr>
            <w:r w:rsidRPr="00CA506A">
              <w:rPr>
                <w:szCs w:val="24"/>
              </w:rPr>
              <w:t xml:space="preserve"> </w:t>
            </w:r>
          </w:p>
        </w:tc>
      </w:tr>
    </w:tbl>
    <w:p w:rsidR="00C15ADA" w:rsidRPr="00C15ADA" w:rsidRDefault="004D52BA" w:rsidP="00B9167D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>
        <w:rPr>
          <w:szCs w:val="24"/>
        </w:rPr>
        <w:t>______________</w:t>
      </w:r>
    </w:p>
    <w:sectPr w:rsidR="00C15ADA" w:rsidRPr="00C15ADA" w:rsidSect="00DE5D59">
      <w:pgSz w:w="11906" w:h="16838"/>
      <w:pgMar w:top="1077" w:right="567" w:bottom="107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DA"/>
    <w:rsid w:val="00033998"/>
    <w:rsid w:val="0005072F"/>
    <w:rsid w:val="0008130C"/>
    <w:rsid w:val="00097F64"/>
    <w:rsid w:val="000E6F0E"/>
    <w:rsid w:val="00125C9D"/>
    <w:rsid w:val="00126EFA"/>
    <w:rsid w:val="00185596"/>
    <w:rsid w:val="001860FE"/>
    <w:rsid w:val="001B7EA3"/>
    <w:rsid w:val="001E794A"/>
    <w:rsid w:val="00224D60"/>
    <w:rsid w:val="0023413B"/>
    <w:rsid w:val="002479D1"/>
    <w:rsid w:val="00252C23"/>
    <w:rsid w:val="0025522A"/>
    <w:rsid w:val="00270396"/>
    <w:rsid w:val="002A75F9"/>
    <w:rsid w:val="002D0BB7"/>
    <w:rsid w:val="0033233F"/>
    <w:rsid w:val="00344F17"/>
    <w:rsid w:val="003737A6"/>
    <w:rsid w:val="003917BD"/>
    <w:rsid w:val="00401B56"/>
    <w:rsid w:val="00404BFE"/>
    <w:rsid w:val="00431C9D"/>
    <w:rsid w:val="0043440F"/>
    <w:rsid w:val="004674A6"/>
    <w:rsid w:val="004D52BA"/>
    <w:rsid w:val="004D607F"/>
    <w:rsid w:val="005000D1"/>
    <w:rsid w:val="0050389F"/>
    <w:rsid w:val="00521D15"/>
    <w:rsid w:val="00527A81"/>
    <w:rsid w:val="0053631A"/>
    <w:rsid w:val="00546547"/>
    <w:rsid w:val="00560A33"/>
    <w:rsid w:val="00572BFD"/>
    <w:rsid w:val="00581CC9"/>
    <w:rsid w:val="005F563B"/>
    <w:rsid w:val="00601A1F"/>
    <w:rsid w:val="0062676A"/>
    <w:rsid w:val="00664346"/>
    <w:rsid w:val="00681DA3"/>
    <w:rsid w:val="006B063D"/>
    <w:rsid w:val="006C433B"/>
    <w:rsid w:val="006F3DB3"/>
    <w:rsid w:val="0072699A"/>
    <w:rsid w:val="0074398C"/>
    <w:rsid w:val="007440AA"/>
    <w:rsid w:val="007933E8"/>
    <w:rsid w:val="007D2BDD"/>
    <w:rsid w:val="007F32E2"/>
    <w:rsid w:val="00835E6F"/>
    <w:rsid w:val="00893594"/>
    <w:rsid w:val="008A2120"/>
    <w:rsid w:val="008C7E88"/>
    <w:rsid w:val="008D4790"/>
    <w:rsid w:val="00922C95"/>
    <w:rsid w:val="009A109B"/>
    <w:rsid w:val="009D7CD8"/>
    <w:rsid w:val="00A008E0"/>
    <w:rsid w:val="00A11D10"/>
    <w:rsid w:val="00A7083B"/>
    <w:rsid w:val="00A851D3"/>
    <w:rsid w:val="00A90717"/>
    <w:rsid w:val="00AA1EE6"/>
    <w:rsid w:val="00AA484C"/>
    <w:rsid w:val="00AB1AA7"/>
    <w:rsid w:val="00AD37E2"/>
    <w:rsid w:val="00AD42BC"/>
    <w:rsid w:val="00AE58E1"/>
    <w:rsid w:val="00B4736F"/>
    <w:rsid w:val="00B9167D"/>
    <w:rsid w:val="00BB1D20"/>
    <w:rsid w:val="00BC636E"/>
    <w:rsid w:val="00C15ADA"/>
    <w:rsid w:val="00C67CAA"/>
    <w:rsid w:val="00C861E2"/>
    <w:rsid w:val="00CA506A"/>
    <w:rsid w:val="00CB5FE9"/>
    <w:rsid w:val="00CD14AC"/>
    <w:rsid w:val="00CF4FA2"/>
    <w:rsid w:val="00D179D5"/>
    <w:rsid w:val="00D2394F"/>
    <w:rsid w:val="00D319D9"/>
    <w:rsid w:val="00D40B07"/>
    <w:rsid w:val="00D43DF5"/>
    <w:rsid w:val="00D43E88"/>
    <w:rsid w:val="00DA28AC"/>
    <w:rsid w:val="00DB7651"/>
    <w:rsid w:val="00DC790D"/>
    <w:rsid w:val="00DE5D59"/>
    <w:rsid w:val="00EC7614"/>
    <w:rsid w:val="00EF1BC5"/>
    <w:rsid w:val="00EF29C3"/>
    <w:rsid w:val="00F013E5"/>
    <w:rsid w:val="00F20699"/>
    <w:rsid w:val="00F21E2A"/>
    <w:rsid w:val="00F56B6B"/>
    <w:rsid w:val="00FA37C5"/>
    <w:rsid w:val="00FA6DB6"/>
    <w:rsid w:val="00FA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C15A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HeaderChar">
    <w:name w:val="Header Char"/>
    <w:aliases w:val="Char Char,Diagrama Char"/>
    <w:link w:val="Header"/>
    <w:uiPriority w:val="99"/>
    <w:rsid w:val="00C15ADA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qFormat/>
    <w:rsid w:val="00C15ADA"/>
    <w:pPr>
      <w:spacing w:after="0" w:line="240" w:lineRule="auto"/>
      <w:ind w:left="1296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uiPriority w:val="99"/>
    <w:unhideWhenUsed/>
    <w:rsid w:val="00CA506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DB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F3D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D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3DB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F3D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C15A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HeaderChar">
    <w:name w:val="Header Char"/>
    <w:aliases w:val="Char Char,Diagrama Char"/>
    <w:link w:val="Header"/>
    <w:uiPriority w:val="99"/>
    <w:rsid w:val="00C15ADA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qFormat/>
    <w:rsid w:val="00C15ADA"/>
    <w:pPr>
      <w:spacing w:after="0" w:line="240" w:lineRule="auto"/>
      <w:ind w:left="1296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uiPriority w:val="99"/>
    <w:unhideWhenUsed/>
    <w:rsid w:val="00CA506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DB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F3D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D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3DB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F3D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1D62A-0D4F-42AA-8F71-EA03F1B4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Kazulytė</dc:creator>
  <cp:lastModifiedBy>Neringa Paškauskaitė</cp:lastModifiedBy>
  <cp:revision>2</cp:revision>
  <dcterms:created xsi:type="dcterms:W3CDTF">2021-05-26T16:46:00Z</dcterms:created>
  <dcterms:modified xsi:type="dcterms:W3CDTF">2021-05-26T16:46:00Z</dcterms:modified>
</cp:coreProperties>
</file>