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F4" w:rsidRPr="00A80842" w:rsidRDefault="00C860F4" w:rsidP="00C860F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>DĖL LIETUVOS RESPUBLIKOS POZICIJ</w:t>
      </w:r>
      <w:r w:rsidR="00F363B1">
        <w:rPr>
          <w:rFonts w:hAnsi="Times New Roman" w:cs="Times New Roman"/>
          <w:b/>
          <w:caps/>
          <w:lang w:val="lt-LT"/>
        </w:rPr>
        <w:t>os</w:t>
      </w:r>
      <w:bookmarkStart w:id="0" w:name="_GoBack"/>
      <w:bookmarkEnd w:id="0"/>
      <w:r w:rsidRPr="00A80842">
        <w:rPr>
          <w:rFonts w:hAnsi="Times New Roman" w:cs="Times New Roman"/>
          <w:b/>
          <w:caps/>
          <w:lang w:val="lt-LT"/>
        </w:rPr>
        <w:t xml:space="preserve"> KLAUSIMAIS, KURIE BUS </w:t>
      </w:r>
    </w:p>
    <w:p w:rsidR="00C860F4" w:rsidRPr="00A80842" w:rsidRDefault="00C860F4" w:rsidP="00C860F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>SVAR</w:t>
      </w:r>
      <w:r w:rsidR="00D9022C">
        <w:rPr>
          <w:rFonts w:hAnsi="Times New Roman" w:cs="Times New Roman"/>
          <w:b/>
          <w:caps/>
          <w:lang w:val="lt-LT"/>
        </w:rPr>
        <w:t>S</w:t>
      </w:r>
      <w:r w:rsidRPr="00A80842">
        <w:rPr>
          <w:rFonts w:hAnsi="Times New Roman" w:cs="Times New Roman"/>
          <w:b/>
          <w:caps/>
          <w:lang w:val="lt-LT"/>
        </w:rPr>
        <w:t xml:space="preserve">TOMI 2021 M. LAPKRIČIO </w:t>
      </w:r>
      <w:r>
        <w:rPr>
          <w:rFonts w:hAnsi="Times New Roman" w:cs="Times New Roman"/>
          <w:b/>
          <w:caps/>
          <w:lang w:val="lt-LT"/>
        </w:rPr>
        <w:t>29</w:t>
      </w:r>
      <w:r w:rsidRPr="00A80842">
        <w:rPr>
          <w:rFonts w:hAnsi="Times New Roman" w:cs="Times New Roman"/>
          <w:b/>
          <w:caps/>
          <w:lang w:val="lt-LT"/>
        </w:rPr>
        <w:t xml:space="preserve"> D</w:t>
      </w:r>
      <w:r w:rsidR="00D9022C">
        <w:rPr>
          <w:rFonts w:hAnsi="Times New Roman" w:cs="Times New Roman"/>
          <w:b/>
          <w:caps/>
          <w:lang w:val="lt-LT"/>
        </w:rPr>
        <w:t>.</w:t>
      </w:r>
      <w:r>
        <w:rPr>
          <w:rFonts w:hAnsi="Times New Roman" w:cs="Times New Roman"/>
          <w:b/>
          <w:caps/>
          <w:lang w:val="lt-LT"/>
        </w:rPr>
        <w:t xml:space="preserve"> – gruodžio 3 d</w:t>
      </w:r>
      <w:r w:rsidRPr="00A80842">
        <w:rPr>
          <w:rFonts w:hAnsi="Times New Roman" w:cs="Times New Roman"/>
          <w:b/>
          <w:caps/>
          <w:lang w:val="lt-LT"/>
        </w:rPr>
        <w:t xml:space="preserve">. ES </w:t>
      </w:r>
    </w:p>
    <w:p w:rsidR="00C860F4" w:rsidRPr="00A80842" w:rsidRDefault="00C860F4" w:rsidP="00C860F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>UŽSIENIO REIKALŲ TARYBOS (Prekyba) POSĖDYJE</w:t>
      </w:r>
      <w:r>
        <w:rPr>
          <w:rFonts w:hAnsi="Times New Roman" w:cs="Times New Roman"/>
          <w:b/>
          <w:caps/>
          <w:lang w:val="lt-LT"/>
        </w:rPr>
        <w:t xml:space="preserve"> (ženeva)</w:t>
      </w:r>
    </w:p>
    <w:tbl>
      <w:tblPr>
        <w:tblpPr w:leftFromText="180" w:rightFromText="180" w:vertAnchor="text" w:horzAnchor="margin" w:tblpY="41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5"/>
      </w:tblGrid>
      <w:tr w:rsidR="009A73F2" w:rsidRPr="00F363B1" w:rsidTr="009915B7">
        <w:trPr>
          <w:trHeight w:val="48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3F2" w:rsidRPr="00A80842" w:rsidRDefault="009A73F2" w:rsidP="009A73F2">
            <w:pPr>
              <w:pStyle w:val="BodyA"/>
              <w:jc w:val="both"/>
              <w:rPr>
                <w:rFonts w:hAnsi="Times New Roman" w:cs="Times New Roman"/>
                <w:bCs/>
                <w:lang w:val="lt-LT"/>
              </w:rPr>
            </w:pPr>
            <w:r w:rsidRPr="00A80842">
              <w:rPr>
                <w:rFonts w:hAnsi="Times New Roman" w:cs="Times New Roman"/>
                <w:b/>
                <w:bCs/>
                <w:lang w:val="lt-LT"/>
              </w:rPr>
              <w:t>12-</w:t>
            </w:r>
            <w:r>
              <w:rPr>
                <w:rFonts w:hAnsi="Times New Roman" w:cs="Times New Roman"/>
                <w:b/>
                <w:bCs/>
                <w:lang w:val="lt-LT"/>
              </w:rPr>
              <w:t xml:space="preserve">oji </w:t>
            </w:r>
            <w:r w:rsidR="009915B7">
              <w:rPr>
                <w:rFonts w:hAnsi="Times New Roman" w:cs="Times New Roman"/>
                <w:b/>
                <w:bCs/>
                <w:lang w:val="lt-LT"/>
              </w:rPr>
              <w:t>PPO ministrų konferencija</w:t>
            </w:r>
          </w:p>
          <w:p w:rsidR="009A73F2" w:rsidRPr="00A80842" w:rsidRDefault="009A73F2" w:rsidP="009A73F2">
            <w:pPr>
              <w:pStyle w:val="BodyA"/>
              <w:jc w:val="both"/>
              <w:rPr>
                <w:rFonts w:hAnsi="Times New Roman" w:cs="Times New Roman"/>
                <w:bCs/>
                <w:lang w:val="lt-LT"/>
              </w:rPr>
            </w:pPr>
          </w:p>
          <w:p w:rsidR="009A73F2" w:rsidRDefault="009A73F2" w:rsidP="009A73F2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A80842">
              <w:rPr>
                <w:rFonts w:hAnsi="Times New Roman" w:cs="Times New Roman"/>
                <w:b/>
                <w:u w:val="single"/>
                <w:lang w:val="lt-LT"/>
              </w:rPr>
              <w:t>Klausimo esmė.</w:t>
            </w:r>
            <w:r w:rsidRPr="00A80842">
              <w:rPr>
                <w:rFonts w:hAnsi="Times New Roman" w:cs="Times New Roman"/>
                <w:b/>
                <w:lang w:val="lt-LT"/>
              </w:rPr>
              <w:t xml:space="preserve"> </w:t>
            </w:r>
          </w:p>
          <w:p w:rsidR="003F3477" w:rsidRDefault="003F3477" w:rsidP="009A73F2">
            <w:pPr>
              <w:ind w:firstLine="357"/>
              <w:jc w:val="both"/>
              <w:rPr>
                <w:lang w:val="lt-LT"/>
              </w:rPr>
            </w:pPr>
            <w:r>
              <w:rPr>
                <w:lang w:val="lt-LT"/>
              </w:rPr>
              <w:t>Užsienio reikalų taryba (prekybos klausimai)</w:t>
            </w:r>
            <w:r w:rsidR="00A7491A">
              <w:rPr>
                <w:lang w:val="lt-LT"/>
              </w:rPr>
              <w:t xml:space="preserve"> yra </w:t>
            </w:r>
            <w:r>
              <w:rPr>
                <w:lang w:val="lt-LT"/>
              </w:rPr>
              <w:t xml:space="preserve">skirta aptarti ir derinti ES pozicijas ir taktiką derybose, kurios vyks </w:t>
            </w:r>
            <w:r w:rsidRPr="003F3477">
              <w:rPr>
                <w:lang w:val="lt-LT"/>
              </w:rPr>
              <w:t>12-</w:t>
            </w:r>
            <w:r w:rsidR="00D9022C">
              <w:rPr>
                <w:lang w:val="lt-LT"/>
              </w:rPr>
              <w:t>oj</w:t>
            </w:r>
            <w:r w:rsidRPr="003F3477">
              <w:rPr>
                <w:lang w:val="lt-LT"/>
              </w:rPr>
              <w:t xml:space="preserve">oje PPO ministrų konferencijoje (toliau </w:t>
            </w:r>
            <w:r w:rsidR="00D9022C">
              <w:rPr>
                <w:lang w:val="lt-LT"/>
              </w:rPr>
              <w:t>‒</w:t>
            </w:r>
            <w:r w:rsidRPr="003F3477">
              <w:rPr>
                <w:lang w:val="lt-LT"/>
              </w:rPr>
              <w:t xml:space="preserve"> MC12)</w:t>
            </w:r>
            <w:r w:rsidRPr="00A80842">
              <w:rPr>
                <w:lang w:val="lt-LT"/>
              </w:rPr>
              <w:t xml:space="preserve"> š. m. lapkričio </w:t>
            </w:r>
            <w:r>
              <w:rPr>
                <w:lang w:val="lt-LT"/>
              </w:rPr>
              <w:t>30</w:t>
            </w:r>
            <w:r w:rsidRPr="00A80842">
              <w:rPr>
                <w:lang w:val="lt-LT"/>
              </w:rPr>
              <w:t xml:space="preserve"> d. </w:t>
            </w:r>
            <w:r w:rsidR="00D9022C">
              <w:rPr>
                <w:lang w:val="lt-LT"/>
              </w:rPr>
              <w:t xml:space="preserve">‒ </w:t>
            </w:r>
            <w:r w:rsidRPr="00A80842">
              <w:rPr>
                <w:lang w:val="lt-LT"/>
              </w:rPr>
              <w:t xml:space="preserve">gruodžio 3 d. Ženevoje (Šveicarija).  </w:t>
            </w:r>
          </w:p>
          <w:p w:rsidR="003F3477" w:rsidRDefault="003F3477" w:rsidP="009A73F2">
            <w:pPr>
              <w:ind w:firstLine="357"/>
              <w:jc w:val="both"/>
              <w:rPr>
                <w:lang w:val="lt-LT"/>
              </w:rPr>
            </w:pPr>
            <w:r>
              <w:rPr>
                <w:lang w:val="lt-LT"/>
              </w:rPr>
              <w:t>Ruošiantis MC12, š</w:t>
            </w:r>
            <w:r w:rsidR="009A73F2" w:rsidRPr="00A80842">
              <w:rPr>
                <w:lang w:val="lt-LT"/>
              </w:rPr>
              <w:t xml:space="preserve">iuo metu </w:t>
            </w:r>
            <w:r w:rsidR="009A73F2">
              <w:rPr>
                <w:lang w:val="lt-LT"/>
              </w:rPr>
              <w:t xml:space="preserve">PPO intensyviai vyksta derybos </w:t>
            </w:r>
            <w:r>
              <w:rPr>
                <w:lang w:val="lt-LT"/>
              </w:rPr>
              <w:t>siekiant rezultatų, kurie pademonstruotų PPO indėlį sprendžiant pasaulinius iššūkius</w:t>
            </w:r>
            <w:r w:rsidR="00D9022C">
              <w:rPr>
                <w:lang w:val="lt-LT"/>
              </w:rPr>
              <w:t>:</w:t>
            </w:r>
            <w:r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>PPO atsak</w:t>
            </w:r>
            <w:r>
              <w:rPr>
                <w:lang w:val="lt-LT"/>
              </w:rPr>
              <w:t>as</w:t>
            </w:r>
            <w:r w:rsidRPr="00A80842">
              <w:rPr>
                <w:lang w:val="lt-LT"/>
              </w:rPr>
              <w:t xml:space="preserve"> į pandemiją</w:t>
            </w:r>
            <w:r>
              <w:rPr>
                <w:lang w:val="lt-LT"/>
              </w:rPr>
              <w:t xml:space="preserve"> ir</w:t>
            </w:r>
            <w:r w:rsidRPr="00A80842">
              <w:rPr>
                <w:lang w:val="lt-LT"/>
              </w:rPr>
              <w:t xml:space="preserve"> </w:t>
            </w:r>
            <w:r>
              <w:rPr>
                <w:lang w:val="lt-LT"/>
              </w:rPr>
              <w:t>s</w:t>
            </w:r>
            <w:r w:rsidRPr="00A80842">
              <w:rPr>
                <w:lang w:val="lt-LT"/>
              </w:rPr>
              <w:t>usitarim</w:t>
            </w:r>
            <w:r>
              <w:rPr>
                <w:lang w:val="lt-LT"/>
              </w:rPr>
              <w:t>as</w:t>
            </w:r>
            <w:r w:rsidRPr="00A80842">
              <w:rPr>
                <w:lang w:val="lt-LT"/>
              </w:rPr>
              <w:t xml:space="preserve"> dėl žuvininkystės subsidijų apribojimo</w:t>
            </w:r>
            <w:r>
              <w:rPr>
                <w:lang w:val="lt-LT"/>
              </w:rPr>
              <w:t>.</w:t>
            </w:r>
          </w:p>
          <w:p w:rsidR="00795577" w:rsidRDefault="003F3477" w:rsidP="00795577">
            <w:pPr>
              <w:ind w:firstLine="357"/>
              <w:jc w:val="both"/>
              <w:rPr>
                <w:lang w:val="lt-LT"/>
              </w:rPr>
            </w:pPr>
            <w:r w:rsidRPr="00A64F3F">
              <w:rPr>
                <w:lang w:val="lt-LT"/>
              </w:rPr>
              <w:t xml:space="preserve">Dauguma šalių sutaria, kad PPO turi </w:t>
            </w:r>
            <w:r>
              <w:rPr>
                <w:lang w:val="lt-LT"/>
              </w:rPr>
              <w:t>įtvirtinti</w:t>
            </w:r>
            <w:r w:rsidRPr="00A64F3F">
              <w:rPr>
                <w:lang w:val="lt-LT"/>
              </w:rPr>
              <w:t xml:space="preserve"> savo vaidmenį tiek sprendžiant </w:t>
            </w:r>
            <w:r>
              <w:rPr>
                <w:lang w:val="lt-LT"/>
              </w:rPr>
              <w:t>COVID-19</w:t>
            </w:r>
            <w:r w:rsidRPr="00A64F3F">
              <w:rPr>
                <w:lang w:val="lt-LT"/>
              </w:rPr>
              <w:t xml:space="preserve"> </w:t>
            </w:r>
            <w:r w:rsidR="00D9022C">
              <w:rPr>
                <w:lang w:val="lt-LT"/>
              </w:rPr>
              <w:t xml:space="preserve">ligos </w:t>
            </w:r>
            <w:r w:rsidRPr="00A64F3F">
              <w:rPr>
                <w:lang w:val="lt-LT"/>
              </w:rPr>
              <w:t xml:space="preserve">pandemijos </w:t>
            </w:r>
            <w:r w:rsidR="00D9022C">
              <w:rPr>
                <w:lang w:val="lt-LT"/>
              </w:rPr>
              <w:t>keliamus klausimus</w:t>
            </w:r>
            <w:r w:rsidRPr="00A64F3F">
              <w:rPr>
                <w:lang w:val="lt-LT"/>
              </w:rPr>
              <w:t xml:space="preserve">, tiek pasirengti </w:t>
            </w:r>
            <w:r>
              <w:rPr>
                <w:lang w:val="lt-LT"/>
              </w:rPr>
              <w:t>reaguoti</w:t>
            </w:r>
            <w:r w:rsidRPr="00A64F3F">
              <w:rPr>
                <w:lang w:val="lt-LT"/>
              </w:rPr>
              <w:t xml:space="preserve"> ateityje susidūrus su panašiomis krizėmis. </w:t>
            </w:r>
            <w:r>
              <w:rPr>
                <w:lang w:val="lt-LT"/>
              </w:rPr>
              <w:t>Siekiama, kad MC12 rezultat</w:t>
            </w:r>
            <w:r w:rsidR="00D9022C">
              <w:rPr>
                <w:lang w:val="lt-LT"/>
              </w:rPr>
              <w:t>as</w:t>
            </w:r>
            <w:r>
              <w:rPr>
                <w:lang w:val="lt-LT"/>
              </w:rPr>
              <w:t xml:space="preserve"> būtų numatyta</w:t>
            </w:r>
            <w:r w:rsidR="00D9022C">
              <w:rPr>
                <w:lang w:val="lt-LT"/>
              </w:rPr>
              <w:t>s</w:t>
            </w:r>
            <w:r w:rsidR="00795577">
              <w:rPr>
                <w:lang w:val="lt-LT"/>
              </w:rPr>
              <w:t xml:space="preserve"> prekybos palengvinimas ir prekybos medicininėm</w:t>
            </w:r>
            <w:r w:rsidR="00D9022C">
              <w:rPr>
                <w:lang w:val="lt-LT"/>
              </w:rPr>
              <w:t>i</w:t>
            </w:r>
            <w:r w:rsidR="00795577">
              <w:rPr>
                <w:lang w:val="lt-LT"/>
              </w:rPr>
              <w:t>s prekėm</w:t>
            </w:r>
            <w:r w:rsidR="00D9022C">
              <w:rPr>
                <w:lang w:val="lt-LT"/>
              </w:rPr>
              <w:t>i</w:t>
            </w:r>
            <w:r w:rsidR="00795577">
              <w:rPr>
                <w:lang w:val="lt-LT"/>
              </w:rPr>
              <w:t>s</w:t>
            </w:r>
            <w:r w:rsidR="00D9022C">
              <w:rPr>
                <w:lang w:val="lt-LT"/>
              </w:rPr>
              <w:t xml:space="preserve"> ribojimų mažinimas</w:t>
            </w:r>
            <w:r w:rsidR="00795577">
              <w:rPr>
                <w:lang w:val="lt-LT"/>
              </w:rPr>
              <w:t xml:space="preserve">, skaidrumo priemonės, </w:t>
            </w:r>
            <w:r w:rsidR="00D9022C">
              <w:rPr>
                <w:lang w:val="lt-LT"/>
              </w:rPr>
              <w:t xml:space="preserve">aktyvesnis </w:t>
            </w:r>
            <w:r w:rsidR="00795577">
              <w:rPr>
                <w:lang w:val="lt-LT"/>
              </w:rPr>
              <w:t xml:space="preserve">bendradarbiavimas su kitomis tarptautinėmis organizacijomis bei verslu. </w:t>
            </w:r>
            <w:r w:rsidRPr="00795577">
              <w:rPr>
                <w:b/>
                <w:lang w:val="lt-LT"/>
              </w:rPr>
              <w:t>Derybas dėl PPO atsako į pandemiją</w:t>
            </w:r>
            <w:r>
              <w:rPr>
                <w:lang w:val="lt-LT"/>
              </w:rPr>
              <w:t xml:space="preserve"> sunkina skirtingi šalių ambicijų lygiai, nesutarimas dėl </w:t>
            </w:r>
            <w:r w:rsidR="00795577">
              <w:rPr>
                <w:lang w:val="lt-LT"/>
              </w:rPr>
              <w:t>pandemijos</w:t>
            </w:r>
            <w:r>
              <w:rPr>
                <w:lang w:val="lt-LT"/>
              </w:rPr>
              <w:t xml:space="preserve"> situacijoje taikytinų </w:t>
            </w:r>
            <w:r w:rsidR="00795577">
              <w:rPr>
                <w:lang w:val="lt-LT"/>
              </w:rPr>
              <w:t>prekybos priemonių sąrašo</w:t>
            </w:r>
            <w:r>
              <w:rPr>
                <w:lang w:val="lt-LT"/>
              </w:rPr>
              <w:t xml:space="preserve"> ir skirtingi požiūriai į </w:t>
            </w:r>
            <w:r w:rsidRPr="00A64F3F">
              <w:rPr>
                <w:lang w:val="lt-LT"/>
              </w:rPr>
              <w:t>intelektinės nuosavybės apsaugos laikin</w:t>
            </w:r>
            <w:r>
              <w:rPr>
                <w:lang w:val="lt-LT"/>
              </w:rPr>
              <w:t>ą</w:t>
            </w:r>
            <w:r w:rsidRPr="00A64F3F">
              <w:rPr>
                <w:lang w:val="lt-LT"/>
              </w:rPr>
              <w:t xml:space="preserve"> netaikym</w:t>
            </w:r>
            <w:r>
              <w:rPr>
                <w:lang w:val="lt-LT"/>
              </w:rPr>
              <w:t>ą</w:t>
            </w:r>
            <w:r w:rsidRPr="00A64F3F">
              <w:rPr>
                <w:lang w:val="lt-LT"/>
              </w:rPr>
              <w:t xml:space="preserve"> COVID-19 </w:t>
            </w:r>
            <w:r w:rsidR="00D9022C">
              <w:rPr>
                <w:lang w:val="lt-LT"/>
              </w:rPr>
              <w:t xml:space="preserve">ligos </w:t>
            </w:r>
            <w:r w:rsidRPr="00A64F3F">
              <w:rPr>
                <w:lang w:val="lt-LT"/>
              </w:rPr>
              <w:t>gydymui skirtiems vaistams, vakcinoms ir diagnostikos priemonėms.</w:t>
            </w:r>
          </w:p>
          <w:p w:rsidR="003F3477" w:rsidRPr="00795577" w:rsidRDefault="00795577" w:rsidP="00795577">
            <w:pPr>
              <w:ind w:firstLine="357"/>
              <w:jc w:val="both"/>
              <w:rPr>
                <w:lang w:val="lt-LT"/>
              </w:rPr>
            </w:pPr>
            <w:r>
              <w:rPr>
                <w:rFonts w:eastAsiaTheme="minorHAnsi"/>
                <w:b/>
                <w:bdr w:val="none" w:sz="0" w:space="0" w:color="auto"/>
                <w:lang w:val="lt-LT"/>
              </w:rPr>
              <w:t>D</w:t>
            </w:r>
            <w:r w:rsidR="003F3477" w:rsidRPr="00795577">
              <w:rPr>
                <w:rFonts w:eastAsiaTheme="minorHAnsi"/>
                <w:b/>
                <w:bdr w:val="none" w:sz="0" w:space="0" w:color="auto"/>
                <w:lang w:val="lt-LT"/>
              </w:rPr>
              <w:t>erybose</w:t>
            </w:r>
            <w:r>
              <w:rPr>
                <w:rFonts w:eastAsiaTheme="minorHAnsi"/>
                <w:b/>
                <w:bdr w:val="none" w:sz="0" w:space="0" w:color="auto"/>
                <w:lang w:val="lt-LT"/>
              </w:rPr>
              <w:t xml:space="preserve"> dėl žuvininkystės subsidijų apribojimų</w:t>
            </w:r>
            <w:r w:rsidR="003F3477" w:rsidRPr="001F2FF3">
              <w:rPr>
                <w:rFonts w:eastAsiaTheme="minorHAnsi"/>
                <w:bdr w:val="none" w:sz="0" w:space="0" w:color="auto"/>
                <w:lang w:val="lt-LT"/>
              </w:rPr>
              <w:t xml:space="preserve"> </w:t>
            </w:r>
            <w:r>
              <w:rPr>
                <w:rFonts w:eastAsiaTheme="minorHAnsi"/>
                <w:bdr w:val="none" w:sz="0" w:space="0" w:color="auto"/>
                <w:lang w:val="lt-LT"/>
              </w:rPr>
              <w:t xml:space="preserve">siekiama apriboti subsidijas labiausiai žalingoms žuvininkystės veikloms. Šių derybų </w:t>
            </w:r>
            <w:r w:rsidR="003F3477" w:rsidRPr="001F2FF3">
              <w:rPr>
                <w:rFonts w:eastAsiaTheme="minorHAnsi"/>
                <w:bdr w:val="none" w:sz="0" w:space="0" w:color="auto"/>
                <w:lang w:val="lt-LT"/>
              </w:rPr>
              <w:t>pagrindinė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 problema </w:t>
            </w:r>
            <w:r>
              <w:rPr>
                <w:rFonts w:eastAsiaTheme="minorHAnsi"/>
                <w:bdr w:val="none" w:sz="0" w:space="0" w:color="auto"/>
                <w:lang w:val="lt-LT"/>
              </w:rPr>
              <w:t>–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 išimtys besivystančio</w:t>
            </w:r>
            <w:r w:rsidR="003F3477">
              <w:rPr>
                <w:rFonts w:eastAsiaTheme="minorHAnsi"/>
                <w:bdr w:val="none" w:sz="0" w:space="0" w:color="auto"/>
                <w:lang w:val="lt-LT"/>
              </w:rPr>
              <w:t>m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>s šalims</w:t>
            </w:r>
            <w:r w:rsidR="003F3477">
              <w:rPr>
                <w:rFonts w:eastAsiaTheme="minorHAnsi"/>
                <w:bdr w:val="none" w:sz="0" w:space="0" w:color="auto"/>
                <w:lang w:val="lt-LT"/>
              </w:rPr>
              <w:t xml:space="preserve">, 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kurių </w:t>
            </w:r>
            <w:r>
              <w:rPr>
                <w:rFonts w:eastAsiaTheme="minorHAnsi"/>
                <w:bdr w:val="none" w:sz="0" w:space="0" w:color="auto"/>
                <w:lang w:val="lt-LT"/>
              </w:rPr>
              <w:t>pastarosios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 reikalauja faktiškai </w:t>
            </w:r>
            <w:r>
              <w:rPr>
                <w:rFonts w:eastAsiaTheme="minorHAnsi"/>
                <w:bdr w:val="none" w:sz="0" w:space="0" w:color="auto"/>
                <w:lang w:val="lt-LT"/>
              </w:rPr>
              <w:t>dėl visų disciplinų, o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 </w:t>
            </w:r>
            <w:r w:rsidR="003F3477">
              <w:rPr>
                <w:rFonts w:eastAsiaTheme="minorHAnsi"/>
                <w:bdr w:val="none" w:sz="0" w:space="0" w:color="auto"/>
                <w:lang w:val="lt-LT"/>
              </w:rPr>
              <w:t xml:space="preserve">JAV 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>prieštarauja plačiam išimčių taikymui</w:t>
            </w:r>
            <w:r w:rsidR="003F3477">
              <w:rPr>
                <w:rFonts w:eastAsiaTheme="minorHAnsi"/>
                <w:bdr w:val="none" w:sz="0" w:space="0" w:color="auto"/>
                <w:lang w:val="lt-LT"/>
              </w:rPr>
              <w:t xml:space="preserve">. 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ES </w:t>
            </w:r>
            <w:r>
              <w:rPr>
                <w:rFonts w:eastAsiaTheme="minorHAnsi"/>
                <w:bdr w:val="none" w:sz="0" w:space="0" w:color="auto"/>
                <w:lang w:val="lt-LT"/>
              </w:rPr>
              <w:t xml:space="preserve">siekia rezultato, kuris 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>patvirtint</w:t>
            </w:r>
            <w:r>
              <w:rPr>
                <w:rFonts w:eastAsiaTheme="minorHAnsi"/>
                <w:bdr w:val="none" w:sz="0" w:space="0" w:color="auto"/>
                <w:lang w:val="lt-LT"/>
              </w:rPr>
              <w:t>ų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 išimtis turimiems dvišaliams tvarios žuvininkystės susitarimams ir kuro </w:t>
            </w:r>
            <w:r w:rsidR="003F3477">
              <w:rPr>
                <w:rFonts w:eastAsiaTheme="minorHAnsi"/>
                <w:bdr w:val="none" w:sz="0" w:space="0" w:color="auto"/>
                <w:lang w:val="lt-LT"/>
              </w:rPr>
              <w:t>mokesčių lengvatų</w:t>
            </w:r>
            <w:r w:rsidR="003F3477" w:rsidRPr="009644AA">
              <w:rPr>
                <w:rFonts w:eastAsiaTheme="minorHAnsi"/>
                <w:bdr w:val="none" w:sz="0" w:space="0" w:color="auto"/>
                <w:lang w:val="lt-LT"/>
              </w:rPr>
              <w:t xml:space="preserve"> schemoms</w:t>
            </w:r>
            <w:r w:rsidR="003F3477">
              <w:rPr>
                <w:rFonts w:eastAsiaTheme="minorHAnsi"/>
                <w:bdr w:val="none" w:sz="0" w:space="0" w:color="auto"/>
                <w:lang w:val="lt-LT"/>
              </w:rPr>
              <w:t>.</w:t>
            </w:r>
          </w:p>
          <w:p w:rsidR="003F3477" w:rsidRDefault="003F3477" w:rsidP="003F3477">
            <w:pPr>
              <w:ind w:firstLine="357"/>
              <w:jc w:val="both"/>
              <w:rPr>
                <w:lang w:val="lt-LT"/>
              </w:rPr>
            </w:pPr>
            <w:r>
              <w:rPr>
                <w:lang w:val="lt-LT"/>
              </w:rPr>
              <w:t>Dalis PPO</w:t>
            </w:r>
            <w:r w:rsidRPr="00A80842">
              <w:rPr>
                <w:lang w:val="lt-LT"/>
              </w:rPr>
              <w:t xml:space="preserve"> šalių</w:t>
            </w:r>
            <w:r>
              <w:rPr>
                <w:lang w:val="lt-LT"/>
              </w:rPr>
              <w:t xml:space="preserve"> primygtinai</w:t>
            </w:r>
            <w:r w:rsidRPr="00A80842">
              <w:rPr>
                <w:lang w:val="lt-LT"/>
              </w:rPr>
              <w:t xml:space="preserve"> reikalauja rezultatų ir </w:t>
            </w:r>
            <w:r w:rsidRPr="00795577">
              <w:rPr>
                <w:b/>
                <w:lang w:val="lt-LT"/>
              </w:rPr>
              <w:t>žemės ūkio klausimais</w:t>
            </w:r>
            <w:r w:rsidRPr="00A80842">
              <w:rPr>
                <w:lang w:val="lt-LT"/>
              </w:rPr>
              <w:t xml:space="preserve">, bet </w:t>
            </w:r>
            <w:r>
              <w:rPr>
                <w:lang w:val="lt-LT"/>
              </w:rPr>
              <w:t>šalių</w:t>
            </w:r>
            <w:r w:rsidRPr="00A80842">
              <w:rPr>
                <w:lang w:val="lt-LT"/>
              </w:rPr>
              <w:t xml:space="preserve"> pozicijos </w:t>
            </w:r>
            <w:r w:rsidR="00874A32">
              <w:rPr>
                <w:lang w:val="lt-LT"/>
              </w:rPr>
              <w:t>pernelyg</w:t>
            </w:r>
            <w:r w:rsidRPr="00A80842">
              <w:rPr>
                <w:lang w:val="lt-LT"/>
              </w:rPr>
              <w:t xml:space="preserve"> skirtingos, kad būtų </w:t>
            </w:r>
            <w:r w:rsidR="00874A32">
              <w:rPr>
                <w:lang w:val="lt-LT"/>
              </w:rPr>
              <w:t>įmanoma</w:t>
            </w:r>
            <w:r w:rsidR="00874A32" w:rsidRPr="00A80842">
              <w:rPr>
                <w:lang w:val="lt-LT"/>
              </w:rPr>
              <w:t xml:space="preserve"> </w:t>
            </w:r>
            <w:r>
              <w:rPr>
                <w:lang w:val="lt-LT"/>
              </w:rPr>
              <w:t>pasiekti rezultatą</w:t>
            </w:r>
            <w:r w:rsidRPr="00A80842">
              <w:rPr>
                <w:lang w:val="lt-LT"/>
              </w:rPr>
              <w:t xml:space="preserve">. </w:t>
            </w:r>
          </w:p>
          <w:p w:rsidR="009A73F2" w:rsidRDefault="00795577" w:rsidP="009A73F2">
            <w:pPr>
              <w:ind w:firstLine="35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Tarp pagrindinių ES tikslų MC12 taip pat yra </w:t>
            </w:r>
            <w:r w:rsidR="009A73F2" w:rsidRPr="00795577">
              <w:rPr>
                <w:b/>
                <w:lang w:val="lt-LT"/>
              </w:rPr>
              <w:t xml:space="preserve">mandato deryboms dėl PPO reformos </w:t>
            </w:r>
            <w:r w:rsidRPr="00795577">
              <w:rPr>
                <w:b/>
                <w:lang w:val="lt-LT"/>
              </w:rPr>
              <w:t>patvirtinimas</w:t>
            </w:r>
            <w:r w:rsidR="009A73F2">
              <w:rPr>
                <w:lang w:val="lt-LT"/>
              </w:rPr>
              <w:t xml:space="preserve">. PPO pastaruoju metu </w:t>
            </w:r>
            <w:r w:rsidR="00874A32">
              <w:rPr>
                <w:lang w:val="lt-LT"/>
              </w:rPr>
              <w:t>kyla nemažai</w:t>
            </w:r>
            <w:r w:rsidR="00B81D9B">
              <w:rPr>
                <w:lang w:val="lt-LT"/>
              </w:rPr>
              <w:t xml:space="preserve"> iššūkių:</w:t>
            </w:r>
            <w:r w:rsidR="009A73F2">
              <w:rPr>
                <w:lang w:val="lt-LT"/>
              </w:rPr>
              <w:t xml:space="preserve"> neveikia ginčų sprendimo mechanizmas,</w:t>
            </w:r>
            <w:r w:rsidR="00BC237F">
              <w:rPr>
                <w:lang w:val="lt-LT"/>
              </w:rPr>
              <w:t xml:space="preserve"> o</w:t>
            </w:r>
            <w:r w:rsidR="009A73F2">
              <w:rPr>
                <w:lang w:val="lt-LT"/>
              </w:rPr>
              <w:t xml:space="preserve"> esamos taisyklės </w:t>
            </w:r>
            <w:r w:rsidR="00874A32">
              <w:rPr>
                <w:lang w:val="lt-LT"/>
              </w:rPr>
              <w:t xml:space="preserve">netinkamos </w:t>
            </w:r>
            <w:r w:rsidR="009A73F2">
              <w:rPr>
                <w:lang w:val="lt-LT"/>
              </w:rPr>
              <w:t xml:space="preserve">spręsti nesąžiningos konkurencijos sukeltų problemų, todėl būtina pertvarkyti organizaciją, kad ji išliktų tarptautinės prekybos centriniu elementu. </w:t>
            </w:r>
            <w:r w:rsidR="00BC237F">
              <w:rPr>
                <w:lang w:val="lt-LT"/>
              </w:rPr>
              <w:t xml:space="preserve">Vis dėlto </w:t>
            </w:r>
            <w:r w:rsidR="00874A32">
              <w:rPr>
                <w:lang w:val="lt-LT"/>
              </w:rPr>
              <w:t xml:space="preserve"> situacija </w:t>
            </w:r>
            <w:r w:rsidR="00BC237F">
              <w:rPr>
                <w:lang w:val="lt-LT"/>
              </w:rPr>
              <w:t>šiose d</w:t>
            </w:r>
            <w:r w:rsidR="009A73F2">
              <w:rPr>
                <w:lang w:val="lt-LT"/>
              </w:rPr>
              <w:t xml:space="preserve">erybose </w:t>
            </w:r>
            <w:r w:rsidR="00874A32">
              <w:rPr>
                <w:lang w:val="lt-LT"/>
              </w:rPr>
              <w:t>tebėra</w:t>
            </w:r>
            <w:r w:rsidR="009A73F2">
              <w:rPr>
                <w:lang w:val="lt-LT"/>
              </w:rPr>
              <w:t xml:space="preserve"> sudėtinga ir reikės didžiulių pastangų norint pasiekti ambicingų rezultatų. </w:t>
            </w:r>
          </w:p>
          <w:p w:rsidR="009A73F2" w:rsidRPr="007A1B52" w:rsidRDefault="009A73F2" w:rsidP="00BC237F">
            <w:pPr>
              <w:ind w:firstLine="357"/>
              <w:jc w:val="both"/>
              <w:rPr>
                <w:rFonts w:eastAsiaTheme="minorHAnsi"/>
                <w:color w:val="000000"/>
                <w:bdr w:val="none" w:sz="0" w:space="0" w:color="auto"/>
                <w:lang w:val="lt-LT"/>
              </w:rPr>
            </w:pPr>
            <w:proofErr w:type="spellStart"/>
            <w:r w:rsidRPr="00BC237F">
              <w:rPr>
                <w:b/>
                <w:lang w:val="lt-LT"/>
              </w:rPr>
              <w:t>Keliašalėse</w:t>
            </w:r>
            <w:proofErr w:type="spellEnd"/>
            <w:r w:rsidRPr="00BC237F">
              <w:rPr>
                <w:b/>
                <w:lang w:val="lt-LT"/>
              </w:rPr>
              <w:t xml:space="preserve"> deryb</w:t>
            </w:r>
            <w:r w:rsidR="00BC237F" w:rsidRPr="00BC237F">
              <w:rPr>
                <w:b/>
                <w:lang w:val="lt-LT"/>
              </w:rPr>
              <w:t>ose</w:t>
            </w:r>
            <w:r w:rsidR="00BC237F">
              <w:rPr>
                <w:lang w:val="lt-LT"/>
              </w:rPr>
              <w:t>, priešingai nei daugiašaliuose procesuose</w:t>
            </w:r>
            <w:r w:rsidRPr="00B37987">
              <w:rPr>
                <w:lang w:val="lt-LT"/>
              </w:rPr>
              <w:t xml:space="preserve">, jau </w:t>
            </w:r>
            <w:r w:rsidR="00874A32">
              <w:rPr>
                <w:lang w:val="lt-LT"/>
              </w:rPr>
              <w:t>sulaukta sėkmės</w:t>
            </w:r>
            <w:r w:rsidR="00BC237F">
              <w:rPr>
                <w:lang w:val="lt-LT"/>
              </w:rPr>
              <w:t xml:space="preserve"> – </w:t>
            </w:r>
            <w:r w:rsidR="00874A32">
              <w:rPr>
                <w:lang w:val="lt-LT"/>
              </w:rPr>
              <w:t>sudarytas</w:t>
            </w:r>
            <w:r w:rsidR="00874A32" w:rsidRPr="00B37987">
              <w:rPr>
                <w:lang w:val="lt-LT"/>
              </w:rPr>
              <w:t xml:space="preserve"> </w:t>
            </w:r>
            <w:r w:rsidR="00BC237F">
              <w:rPr>
                <w:lang w:val="lt-LT"/>
              </w:rPr>
              <w:t>s</w:t>
            </w:r>
            <w:r w:rsidRPr="00B37987">
              <w:rPr>
                <w:lang w:val="lt-LT"/>
              </w:rPr>
              <w:t xml:space="preserve">usitarimas dėl paslaugų reguliavimo šalies viduje. </w:t>
            </w:r>
            <w:r w:rsidR="00874A32">
              <w:rPr>
                <w:lang w:val="lt-LT"/>
              </w:rPr>
              <w:t>Nemažas</w:t>
            </w:r>
            <w:r w:rsidR="00874A32" w:rsidRPr="00B37987">
              <w:rPr>
                <w:lang w:val="lt-LT"/>
              </w:rPr>
              <w:t xml:space="preserve"> </w:t>
            </w:r>
            <w:r w:rsidRPr="00B37987">
              <w:rPr>
                <w:lang w:val="lt-LT"/>
              </w:rPr>
              <w:t>progresas</w:t>
            </w:r>
            <w:r w:rsidR="00BC237F">
              <w:rPr>
                <w:lang w:val="lt-LT"/>
              </w:rPr>
              <w:t xml:space="preserve"> taip pat </w:t>
            </w:r>
            <w:r w:rsidR="00874A32">
              <w:rPr>
                <w:lang w:val="lt-LT"/>
              </w:rPr>
              <w:t>įvyko</w:t>
            </w:r>
            <w:r w:rsidR="00874A32" w:rsidRPr="00B37987">
              <w:rPr>
                <w:lang w:val="lt-LT"/>
              </w:rPr>
              <w:t xml:space="preserve"> </w:t>
            </w:r>
            <w:r w:rsidRPr="00B37987">
              <w:rPr>
                <w:lang w:val="lt-LT"/>
              </w:rPr>
              <w:t>derybose dėl elektroninės prekybos</w:t>
            </w:r>
            <w:r w:rsidR="00874A32">
              <w:rPr>
                <w:lang w:val="lt-LT"/>
              </w:rPr>
              <w:t>,</w:t>
            </w:r>
            <w:r w:rsidRPr="00B37987">
              <w:rPr>
                <w:lang w:val="lt-LT"/>
              </w:rPr>
              <w:t xml:space="preserve"> MC12 ministrai pri</w:t>
            </w:r>
            <w:r w:rsidR="00874A32">
              <w:rPr>
                <w:lang w:val="lt-LT"/>
              </w:rPr>
              <w:t>si</w:t>
            </w:r>
            <w:r w:rsidRPr="00B37987">
              <w:rPr>
                <w:lang w:val="lt-LT"/>
              </w:rPr>
              <w:t>im</w:t>
            </w:r>
            <w:r w:rsidR="00BC237F">
              <w:rPr>
                <w:lang w:val="lt-LT"/>
              </w:rPr>
              <w:t>s</w:t>
            </w:r>
            <w:r w:rsidRPr="00B37987">
              <w:rPr>
                <w:lang w:val="lt-LT"/>
              </w:rPr>
              <w:t xml:space="preserve"> įsipareigojimus dėl jų užbaigimo termino. </w:t>
            </w:r>
            <w:r w:rsidR="00BC237F">
              <w:rPr>
                <w:lang w:val="lt-LT"/>
              </w:rPr>
              <w:t xml:space="preserve">Derinami </w:t>
            </w:r>
            <w:proofErr w:type="spellStart"/>
            <w:r w:rsidR="00BC237F">
              <w:rPr>
                <w:lang w:val="lt-LT"/>
              </w:rPr>
              <w:t>keliašaliai</w:t>
            </w:r>
            <w:proofErr w:type="spellEnd"/>
            <w:r w:rsidRPr="00B37987">
              <w:rPr>
                <w:lang w:val="lt-LT"/>
              </w:rPr>
              <w:t xml:space="preserve"> ministrų parei</w:t>
            </w:r>
            <w:r>
              <w:rPr>
                <w:lang w:val="lt-LT"/>
              </w:rPr>
              <w:t>š</w:t>
            </w:r>
            <w:r w:rsidRPr="00B37987">
              <w:rPr>
                <w:lang w:val="lt-LT"/>
              </w:rPr>
              <w:t xml:space="preserve">kimai </w:t>
            </w:r>
            <w:r w:rsidR="00BC237F">
              <w:rPr>
                <w:lang w:val="lt-LT"/>
              </w:rPr>
              <w:t>dėl</w:t>
            </w:r>
            <w:r>
              <w:rPr>
                <w:lang w:val="lt-LT"/>
              </w:rPr>
              <w:t xml:space="preserve"> deryb</w:t>
            </w:r>
            <w:r w:rsidR="00BC237F">
              <w:rPr>
                <w:lang w:val="lt-LT"/>
              </w:rPr>
              <w:t>ų</w:t>
            </w:r>
            <w:r>
              <w:rPr>
                <w:lang w:val="lt-LT"/>
              </w:rPr>
              <w:t xml:space="preserve"> </w:t>
            </w:r>
            <w:r w:rsidRPr="00B37987">
              <w:rPr>
                <w:lang w:val="lt-LT"/>
              </w:rPr>
              <w:t xml:space="preserve">dėl </w:t>
            </w:r>
            <w:r w:rsidR="00BC237F">
              <w:rPr>
                <w:lang w:val="lt-LT"/>
              </w:rPr>
              <w:t>i</w:t>
            </w:r>
            <w:r w:rsidRPr="00B37987">
              <w:rPr>
                <w:rFonts w:eastAsiaTheme="minorHAnsi"/>
                <w:color w:val="000000"/>
                <w:bdr w:val="none" w:sz="0" w:space="0" w:color="auto"/>
                <w:lang w:val="lt-LT"/>
              </w:rPr>
              <w:t>nvesticijų palengvinim</w:t>
            </w:r>
            <w:r>
              <w:rPr>
                <w:rFonts w:eastAsiaTheme="minorHAnsi"/>
                <w:color w:val="000000"/>
                <w:bdr w:val="none" w:sz="0" w:space="0" w:color="auto"/>
                <w:lang w:val="lt-LT"/>
              </w:rPr>
              <w:t>o susitarimo</w:t>
            </w:r>
            <w:r w:rsidR="00BC237F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 užbaigimo, </w:t>
            </w:r>
            <w:r>
              <w:rPr>
                <w:rFonts w:eastAsiaTheme="minorHAnsi"/>
                <w:color w:val="000000"/>
                <w:bdr w:val="none" w:sz="0" w:space="0" w:color="auto"/>
                <w:lang w:val="lt-LT"/>
              </w:rPr>
              <w:t>deryb</w:t>
            </w:r>
            <w:r w:rsidR="00BC237F">
              <w:rPr>
                <w:rFonts w:eastAsiaTheme="minorHAnsi"/>
                <w:color w:val="000000"/>
                <w:bdr w:val="none" w:sz="0" w:space="0" w:color="auto"/>
                <w:lang w:val="lt-LT"/>
              </w:rPr>
              <w:t>ų</w:t>
            </w:r>
            <w:r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 dėl</w:t>
            </w:r>
            <w:r w:rsidRPr="00B37987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 prekybos ir aplinkosaugos</w:t>
            </w:r>
            <w:r w:rsidR="00BC237F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 inicijavimo</w:t>
            </w:r>
            <w:r w:rsidRPr="00B37987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. </w:t>
            </w:r>
            <w:r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Taip pat planuojama patvirtinti </w:t>
            </w:r>
            <w:r w:rsidR="00874A32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nemažai </w:t>
            </w:r>
            <w:r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kitų tarptautinę prekybą skatinančių sprendimų ir numatyti darbus ateičiai. </w:t>
            </w:r>
            <w:r w:rsidRPr="007A1B52">
              <w:rPr>
                <w:rFonts w:eastAsiaTheme="minorHAnsi"/>
                <w:color w:val="000000"/>
                <w:bdr w:val="none" w:sz="0" w:space="0" w:color="auto"/>
                <w:lang w:val="lt-LT"/>
              </w:rPr>
              <w:t xml:space="preserve"> </w:t>
            </w:r>
          </w:p>
          <w:p w:rsidR="009A73F2" w:rsidRDefault="009A73F2" w:rsidP="009A73F2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</w:p>
          <w:p w:rsidR="009A73F2" w:rsidRPr="00A80842" w:rsidRDefault="009A73F2" w:rsidP="009A73F2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>
              <w:rPr>
                <w:rFonts w:hAnsi="Times New Roman" w:cs="Times New Roman"/>
                <w:b/>
                <w:u w:val="single"/>
                <w:lang w:val="lt-LT"/>
              </w:rPr>
              <w:t>Lietuvos pozicija</w:t>
            </w:r>
            <w:r w:rsidR="00BC237F">
              <w:rPr>
                <w:rFonts w:hAnsi="Times New Roman" w:cs="Times New Roman"/>
                <w:b/>
                <w:u w:val="single"/>
                <w:lang w:val="lt-LT"/>
              </w:rPr>
              <w:t>.</w:t>
            </w:r>
          </w:p>
          <w:p w:rsidR="00BC237F" w:rsidRDefault="009A73F2" w:rsidP="00BC237F">
            <w:pPr>
              <w:jc w:val="both"/>
              <w:rPr>
                <w:lang w:val="lt-LT"/>
              </w:rPr>
            </w:pPr>
            <w:r w:rsidRPr="00A80842">
              <w:rPr>
                <w:bCs/>
                <w:lang w:val="lt-LT"/>
              </w:rPr>
              <w:t xml:space="preserve">      </w:t>
            </w:r>
            <w:r>
              <w:rPr>
                <w:bCs/>
                <w:lang w:val="lt-LT"/>
              </w:rPr>
              <w:t>Remiame pastangas</w:t>
            </w:r>
            <w:r w:rsidRPr="00A80842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siekti</w:t>
            </w:r>
            <w:r w:rsidRPr="00A80842">
              <w:rPr>
                <w:bCs/>
                <w:lang w:val="lt-LT"/>
              </w:rPr>
              <w:t xml:space="preserve"> rezultatų dėl </w:t>
            </w:r>
            <w:r w:rsidRPr="00BC237F">
              <w:rPr>
                <w:b/>
                <w:bCs/>
                <w:lang w:val="lt-LT"/>
              </w:rPr>
              <w:t>žuvininkystės subsidijų apribojimo</w:t>
            </w:r>
            <w:r>
              <w:rPr>
                <w:bCs/>
                <w:lang w:val="lt-LT"/>
              </w:rPr>
              <w:t xml:space="preserve"> bei</w:t>
            </w:r>
            <w:r w:rsidRPr="00A80842">
              <w:rPr>
                <w:bCs/>
                <w:lang w:val="lt-LT"/>
              </w:rPr>
              <w:t xml:space="preserve"> </w:t>
            </w:r>
            <w:r w:rsidRPr="00BC237F">
              <w:rPr>
                <w:b/>
                <w:bCs/>
                <w:lang w:val="lt-LT"/>
              </w:rPr>
              <w:t>pandemij</w:t>
            </w:r>
            <w:r w:rsidR="00874A32">
              <w:rPr>
                <w:b/>
                <w:bCs/>
                <w:lang w:val="lt-LT"/>
              </w:rPr>
              <w:t>os valdymo</w:t>
            </w:r>
            <w:r>
              <w:rPr>
                <w:bCs/>
                <w:lang w:val="lt-LT"/>
              </w:rPr>
              <w:t xml:space="preserve">, kurie </w:t>
            </w:r>
            <w:r w:rsidR="00874A32">
              <w:rPr>
                <w:bCs/>
                <w:lang w:val="lt-LT"/>
              </w:rPr>
              <w:t>įrodytų</w:t>
            </w:r>
            <w:r>
              <w:rPr>
                <w:bCs/>
                <w:lang w:val="lt-LT"/>
              </w:rPr>
              <w:t xml:space="preserve"> PPO </w:t>
            </w:r>
            <w:r w:rsidR="00874A32">
              <w:rPr>
                <w:bCs/>
                <w:lang w:val="lt-LT"/>
              </w:rPr>
              <w:t>gebėjimus</w:t>
            </w:r>
            <w:r>
              <w:rPr>
                <w:bCs/>
                <w:lang w:val="lt-LT"/>
              </w:rPr>
              <w:t xml:space="preserve"> reaguoti į globalius iššūkius.</w:t>
            </w:r>
            <w:r w:rsidRPr="00A80842">
              <w:rPr>
                <w:bCs/>
                <w:lang w:val="lt-LT"/>
              </w:rPr>
              <w:t xml:space="preserve"> </w:t>
            </w:r>
            <w:r w:rsidRPr="00A80842">
              <w:rPr>
                <w:lang w:val="lt-LT"/>
              </w:rPr>
              <w:t xml:space="preserve">Pritariame, kad PPO turi numatyti kompleksinį prekybinių priemonių paketą, kuris </w:t>
            </w:r>
            <w:r w:rsidR="00874A32">
              <w:rPr>
                <w:lang w:val="lt-LT"/>
              </w:rPr>
              <w:t>palengvintų atsaką į</w:t>
            </w:r>
            <w:r>
              <w:rPr>
                <w:lang w:val="lt-LT"/>
              </w:rPr>
              <w:t xml:space="preserve"> pandemijos iššūkius</w:t>
            </w:r>
            <w:r w:rsidRPr="00A80842">
              <w:rPr>
                <w:lang w:val="lt-LT"/>
              </w:rPr>
              <w:t>.</w:t>
            </w:r>
          </w:p>
          <w:p w:rsidR="009A73F2" w:rsidRDefault="00056ABA" w:rsidP="004511EB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  </w:t>
            </w:r>
            <w:r w:rsidR="00874A32">
              <w:rPr>
                <w:bCs/>
                <w:lang w:val="lt-LT"/>
              </w:rPr>
              <w:t>Be to,</w:t>
            </w:r>
            <w:r w:rsidR="009A73F2" w:rsidRPr="00A80842">
              <w:rPr>
                <w:bCs/>
                <w:lang w:val="lt-LT"/>
              </w:rPr>
              <w:t xml:space="preserve"> </w:t>
            </w:r>
            <w:r w:rsidR="009A73F2">
              <w:rPr>
                <w:bCs/>
                <w:lang w:val="lt-LT"/>
              </w:rPr>
              <w:t>svarbu</w:t>
            </w:r>
            <w:r w:rsidR="009A73F2" w:rsidRPr="00A80842">
              <w:rPr>
                <w:bCs/>
                <w:lang w:val="lt-LT"/>
              </w:rPr>
              <w:t xml:space="preserve"> </w:t>
            </w:r>
            <w:r w:rsidR="009A73F2">
              <w:rPr>
                <w:bCs/>
                <w:lang w:val="lt-LT"/>
              </w:rPr>
              <w:t>susitarti dėl</w:t>
            </w:r>
            <w:r w:rsidR="009A73F2" w:rsidRPr="00A80842">
              <w:rPr>
                <w:bCs/>
                <w:lang w:val="lt-LT"/>
              </w:rPr>
              <w:t xml:space="preserve"> </w:t>
            </w:r>
            <w:r w:rsidR="00BC237F">
              <w:rPr>
                <w:bCs/>
                <w:lang w:val="lt-LT"/>
              </w:rPr>
              <w:t xml:space="preserve">derybinio mandato, kuris įgaliotų </w:t>
            </w:r>
            <w:r w:rsidR="009A73F2">
              <w:rPr>
                <w:bCs/>
                <w:lang w:val="lt-LT"/>
              </w:rPr>
              <w:t xml:space="preserve">pradėti </w:t>
            </w:r>
            <w:r w:rsidR="009A73F2" w:rsidRPr="00BC237F">
              <w:rPr>
                <w:b/>
                <w:bCs/>
                <w:lang w:val="lt-LT"/>
              </w:rPr>
              <w:t>derybas dėl institucinės PPO reformos</w:t>
            </w:r>
            <w:r w:rsidR="009A73F2" w:rsidRPr="00A80842">
              <w:rPr>
                <w:bCs/>
                <w:lang w:val="lt-LT"/>
              </w:rPr>
              <w:t>, siekia</w:t>
            </w:r>
            <w:r w:rsidR="009A73F2">
              <w:rPr>
                <w:bCs/>
                <w:lang w:val="lt-LT"/>
              </w:rPr>
              <w:t>nt</w:t>
            </w:r>
            <w:r w:rsidR="009A73F2" w:rsidRPr="00A80842">
              <w:rPr>
                <w:bCs/>
                <w:lang w:val="lt-LT"/>
              </w:rPr>
              <w:t xml:space="preserve"> atgaivinti pagrindines organizacijos funkcijas – derybinę, ginčų sprendimo ir prekybos taisyklių įgyvendinimo </w:t>
            </w:r>
            <w:r w:rsidR="00874A32">
              <w:rPr>
                <w:bCs/>
                <w:lang w:val="lt-LT"/>
              </w:rPr>
              <w:t>stebėsenos</w:t>
            </w:r>
            <w:r w:rsidR="009A73F2" w:rsidRPr="00A80842">
              <w:rPr>
                <w:bCs/>
                <w:lang w:val="lt-LT"/>
              </w:rPr>
              <w:t xml:space="preserve">. </w:t>
            </w:r>
            <w:r w:rsidR="009A73F2">
              <w:rPr>
                <w:bCs/>
                <w:lang w:val="lt-LT"/>
              </w:rPr>
              <w:t xml:space="preserve">Lietuvai </w:t>
            </w:r>
            <w:r w:rsidR="00874A32">
              <w:rPr>
                <w:bCs/>
                <w:lang w:val="lt-LT"/>
              </w:rPr>
              <w:t xml:space="preserve">itin </w:t>
            </w:r>
            <w:r w:rsidR="009A73F2">
              <w:rPr>
                <w:bCs/>
                <w:lang w:val="lt-LT"/>
              </w:rPr>
              <w:t xml:space="preserve">svarbus PPO derybinės funkcijos stiprinimas, </w:t>
            </w:r>
            <w:r w:rsidR="00874A32">
              <w:rPr>
                <w:bCs/>
                <w:lang w:val="lt-LT"/>
              </w:rPr>
              <w:t xml:space="preserve">teikiantis </w:t>
            </w:r>
            <w:r w:rsidR="009A73F2">
              <w:rPr>
                <w:bCs/>
                <w:lang w:val="lt-LT"/>
              </w:rPr>
              <w:t>galimyb</w:t>
            </w:r>
            <w:r w:rsidR="00874A32">
              <w:rPr>
                <w:bCs/>
                <w:lang w:val="lt-LT"/>
              </w:rPr>
              <w:t>ių</w:t>
            </w:r>
            <w:r w:rsidR="009A73F2">
              <w:rPr>
                <w:bCs/>
                <w:lang w:val="lt-LT"/>
              </w:rPr>
              <w:t xml:space="preserve"> priimti </w:t>
            </w:r>
            <w:r w:rsidR="009A73F2" w:rsidRPr="00BC237F">
              <w:rPr>
                <w:b/>
                <w:bCs/>
                <w:lang w:val="lt-LT"/>
              </w:rPr>
              <w:t xml:space="preserve">sprendimus dėl konkurencinio neutralumo ir prekybą iškraipančių </w:t>
            </w:r>
            <w:r w:rsidR="00874A32" w:rsidRPr="00BC237F">
              <w:rPr>
                <w:b/>
                <w:bCs/>
                <w:lang w:val="lt-LT"/>
              </w:rPr>
              <w:t>pramo</w:t>
            </w:r>
            <w:r w:rsidR="00874A32">
              <w:rPr>
                <w:b/>
                <w:bCs/>
                <w:lang w:val="lt-LT"/>
              </w:rPr>
              <w:t>nės</w:t>
            </w:r>
            <w:r w:rsidR="00874A32" w:rsidRPr="00BC237F">
              <w:rPr>
                <w:b/>
                <w:bCs/>
                <w:lang w:val="lt-LT"/>
              </w:rPr>
              <w:t xml:space="preserve"> </w:t>
            </w:r>
            <w:r w:rsidR="009A73F2" w:rsidRPr="00BC237F">
              <w:rPr>
                <w:b/>
                <w:bCs/>
                <w:lang w:val="lt-LT"/>
              </w:rPr>
              <w:t xml:space="preserve">subsidijų </w:t>
            </w:r>
            <w:r w:rsidR="00874A32">
              <w:rPr>
                <w:b/>
                <w:bCs/>
                <w:lang w:val="lt-LT"/>
              </w:rPr>
              <w:t>teikimo sugriežtinimo</w:t>
            </w:r>
            <w:r w:rsidR="009A73F2" w:rsidRPr="00A80842">
              <w:rPr>
                <w:bCs/>
                <w:lang w:val="lt-LT"/>
              </w:rPr>
              <w:t>.</w:t>
            </w:r>
            <w:r w:rsidR="009A73F2">
              <w:rPr>
                <w:bCs/>
                <w:lang w:val="lt-LT"/>
              </w:rPr>
              <w:t xml:space="preserve"> </w:t>
            </w:r>
          </w:p>
          <w:p w:rsidR="001130A7" w:rsidRPr="007A1B52" w:rsidRDefault="001130A7" w:rsidP="004511EB">
            <w:pPr>
              <w:jc w:val="both"/>
              <w:rPr>
                <w:lang w:val="lt-LT"/>
              </w:rPr>
            </w:pPr>
          </w:p>
        </w:tc>
      </w:tr>
    </w:tbl>
    <w:p w:rsidR="009C7A25" w:rsidRPr="009A73F2" w:rsidRDefault="009C7A25" w:rsidP="009915B7">
      <w:pPr>
        <w:pStyle w:val="BodyA"/>
        <w:jc w:val="center"/>
        <w:rPr>
          <w:rFonts w:hAnsi="Times New Roman" w:cs="Times New Roman"/>
          <w:caps/>
          <w:lang w:val="lt-LT"/>
        </w:rPr>
      </w:pPr>
    </w:p>
    <w:sectPr w:rsidR="009C7A25" w:rsidRPr="009A73F2" w:rsidSect="009915B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1D" w:rsidRDefault="00381F1D">
      <w:r>
        <w:separator/>
      </w:r>
    </w:p>
  </w:endnote>
  <w:endnote w:type="continuationSeparator" w:id="0">
    <w:p w:rsidR="00381F1D" w:rsidRDefault="0038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4B217F" w:rsidP="004E23AC">
    <w:pPr>
      <w:pStyle w:val="Footer"/>
    </w:pPr>
  </w:p>
  <w:p w:rsidR="004E23AC" w:rsidRPr="004E23AC" w:rsidRDefault="004E23AC" w:rsidP="004E2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94" w:rsidRDefault="00B70894" w:rsidP="00B70894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  <w:p w:rsidR="00B70894" w:rsidRDefault="00B7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1D" w:rsidRDefault="00381F1D">
      <w:r>
        <w:separator/>
      </w:r>
    </w:p>
  </w:footnote>
  <w:footnote w:type="continuationSeparator" w:id="0">
    <w:p w:rsidR="00381F1D" w:rsidRDefault="0038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EE1216" w:rsidP="00C44458">
    <w:pPr>
      <w:pStyle w:val="BodyA"/>
      <w:tabs>
        <w:tab w:val="center" w:pos="4153"/>
        <w:tab w:val="right" w:pos="8306"/>
      </w:tabs>
      <w:jc w:val="right"/>
    </w:pPr>
    <w: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F3" w:rsidRDefault="00EF0DF3" w:rsidP="00EF0D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CA3765D"/>
    <w:multiLevelType w:val="multilevel"/>
    <w:tmpl w:val="207A35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693C30"/>
    <w:multiLevelType w:val="multilevel"/>
    <w:tmpl w:val="8224FE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11F75BDB"/>
    <w:multiLevelType w:val="multilevel"/>
    <w:tmpl w:val="407EAD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12672E40"/>
    <w:multiLevelType w:val="multilevel"/>
    <w:tmpl w:val="15D261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" w15:restartNumberingAfterBreak="0">
    <w:nsid w:val="14EA14F9"/>
    <w:multiLevelType w:val="multilevel"/>
    <w:tmpl w:val="79DA2AF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9" w15:restartNumberingAfterBreak="0">
    <w:nsid w:val="21685452"/>
    <w:multiLevelType w:val="multilevel"/>
    <w:tmpl w:val="2B7219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0" w15:restartNumberingAfterBreak="0">
    <w:nsid w:val="25817624"/>
    <w:multiLevelType w:val="hybridMultilevel"/>
    <w:tmpl w:val="37CCD67E"/>
    <w:lvl w:ilvl="0" w:tplc="E648E1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2" w15:restartNumberingAfterBreak="0">
    <w:nsid w:val="268330E6"/>
    <w:multiLevelType w:val="multilevel"/>
    <w:tmpl w:val="485417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A3D242A"/>
    <w:multiLevelType w:val="multilevel"/>
    <w:tmpl w:val="1FE2787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5" w15:restartNumberingAfterBreak="0">
    <w:nsid w:val="2B4B1500"/>
    <w:multiLevelType w:val="multilevel"/>
    <w:tmpl w:val="C7F6C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CA5714F"/>
    <w:multiLevelType w:val="multilevel"/>
    <w:tmpl w:val="7CB0F5D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7" w15:restartNumberingAfterBreak="0">
    <w:nsid w:val="31C33270"/>
    <w:multiLevelType w:val="multilevel"/>
    <w:tmpl w:val="4446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8" w15:restartNumberingAfterBreak="0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9" w15:restartNumberingAfterBreak="0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0" w15:restartNumberingAfterBreak="0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21" w15:restartNumberingAfterBreak="0">
    <w:nsid w:val="3D8973AC"/>
    <w:multiLevelType w:val="multilevel"/>
    <w:tmpl w:val="C762A1A2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22" w15:restartNumberingAfterBreak="0">
    <w:nsid w:val="3FF90373"/>
    <w:multiLevelType w:val="multilevel"/>
    <w:tmpl w:val="EE722CF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3" w15:restartNumberingAfterBreak="0">
    <w:nsid w:val="40FC5633"/>
    <w:multiLevelType w:val="multilevel"/>
    <w:tmpl w:val="44FA7E7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42533C3A"/>
    <w:multiLevelType w:val="multilevel"/>
    <w:tmpl w:val="6C102FE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6" w15:restartNumberingAfterBreak="0">
    <w:nsid w:val="434624EE"/>
    <w:multiLevelType w:val="multilevel"/>
    <w:tmpl w:val="E9FE3E6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 w15:restartNumberingAfterBreak="0">
    <w:nsid w:val="44A1223B"/>
    <w:multiLevelType w:val="multilevel"/>
    <w:tmpl w:val="B00657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8" w15:restartNumberingAfterBreak="0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9" w15:restartNumberingAfterBreak="0">
    <w:nsid w:val="47A251FC"/>
    <w:multiLevelType w:val="multilevel"/>
    <w:tmpl w:val="E05CE3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0" w15:restartNumberingAfterBreak="0">
    <w:nsid w:val="485B1E65"/>
    <w:multiLevelType w:val="multilevel"/>
    <w:tmpl w:val="8F423D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31" w15:restartNumberingAfterBreak="0">
    <w:nsid w:val="488670F4"/>
    <w:multiLevelType w:val="multilevel"/>
    <w:tmpl w:val="46CA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2" w15:restartNumberingAfterBreak="0">
    <w:nsid w:val="4E70734F"/>
    <w:multiLevelType w:val="multilevel"/>
    <w:tmpl w:val="ECA8AED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3" w15:restartNumberingAfterBreak="0">
    <w:nsid w:val="5DFB3867"/>
    <w:multiLevelType w:val="multilevel"/>
    <w:tmpl w:val="FA9E3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 w15:restartNumberingAfterBreak="0">
    <w:nsid w:val="63B15B1C"/>
    <w:multiLevelType w:val="multilevel"/>
    <w:tmpl w:val="1B50326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5" w15:restartNumberingAfterBreak="0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6" w15:restartNumberingAfterBreak="0">
    <w:nsid w:val="7AA43186"/>
    <w:multiLevelType w:val="hybridMultilevel"/>
    <w:tmpl w:val="9FF06C4C"/>
    <w:lvl w:ilvl="0" w:tplc="EB6ACE58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23"/>
  </w:num>
  <w:num w:numId="5">
    <w:abstractNumId w:val="14"/>
  </w:num>
  <w:num w:numId="6">
    <w:abstractNumId w:val="9"/>
  </w:num>
  <w:num w:numId="7">
    <w:abstractNumId w:val="12"/>
  </w:num>
  <w:num w:numId="8">
    <w:abstractNumId w:val="18"/>
  </w:num>
  <w:num w:numId="9">
    <w:abstractNumId w:val="30"/>
  </w:num>
  <w:num w:numId="10">
    <w:abstractNumId w:val="13"/>
  </w:num>
  <w:num w:numId="11">
    <w:abstractNumId w:val="20"/>
  </w:num>
  <w:num w:numId="12">
    <w:abstractNumId w:val="2"/>
  </w:num>
  <w:num w:numId="13">
    <w:abstractNumId w:val="24"/>
  </w:num>
  <w:num w:numId="14">
    <w:abstractNumId w:val="25"/>
  </w:num>
  <w:num w:numId="15">
    <w:abstractNumId w:val="3"/>
  </w:num>
  <w:num w:numId="16">
    <w:abstractNumId w:val="26"/>
  </w:num>
  <w:num w:numId="17">
    <w:abstractNumId w:val="28"/>
  </w:num>
  <w:num w:numId="18">
    <w:abstractNumId w:val="32"/>
  </w:num>
  <w:num w:numId="19">
    <w:abstractNumId w:val="5"/>
  </w:num>
  <w:num w:numId="20">
    <w:abstractNumId w:val="4"/>
  </w:num>
  <w:num w:numId="21">
    <w:abstractNumId w:val="16"/>
  </w:num>
  <w:num w:numId="22">
    <w:abstractNumId w:val="34"/>
  </w:num>
  <w:num w:numId="23">
    <w:abstractNumId w:val="0"/>
  </w:num>
  <w:num w:numId="24">
    <w:abstractNumId w:val="27"/>
  </w:num>
  <w:num w:numId="25">
    <w:abstractNumId w:val="33"/>
  </w:num>
  <w:num w:numId="26">
    <w:abstractNumId w:val="1"/>
  </w:num>
  <w:num w:numId="27">
    <w:abstractNumId w:val="22"/>
  </w:num>
  <w:num w:numId="28">
    <w:abstractNumId w:val="15"/>
  </w:num>
  <w:num w:numId="29">
    <w:abstractNumId w:val="19"/>
  </w:num>
  <w:num w:numId="30">
    <w:abstractNumId w:val="17"/>
  </w:num>
  <w:num w:numId="31">
    <w:abstractNumId w:val="29"/>
  </w:num>
  <w:num w:numId="32">
    <w:abstractNumId w:val="11"/>
  </w:num>
  <w:num w:numId="33">
    <w:abstractNumId w:val="31"/>
  </w:num>
  <w:num w:numId="34">
    <w:abstractNumId w:val="7"/>
  </w:num>
  <w:num w:numId="35">
    <w:abstractNumId w:val="35"/>
  </w:num>
  <w:num w:numId="3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7F"/>
    <w:rsid w:val="0000753C"/>
    <w:rsid w:val="00024D05"/>
    <w:rsid w:val="00042E3F"/>
    <w:rsid w:val="00055CC3"/>
    <w:rsid w:val="00056ABA"/>
    <w:rsid w:val="00064045"/>
    <w:rsid w:val="000A6D3E"/>
    <w:rsid w:val="000E2DD6"/>
    <w:rsid w:val="000E5724"/>
    <w:rsid w:val="001130A7"/>
    <w:rsid w:val="00115E71"/>
    <w:rsid w:val="001178FD"/>
    <w:rsid w:val="0014076E"/>
    <w:rsid w:val="00143A9F"/>
    <w:rsid w:val="00170936"/>
    <w:rsid w:val="00184254"/>
    <w:rsid w:val="001857D8"/>
    <w:rsid w:val="001870FB"/>
    <w:rsid w:val="001A360A"/>
    <w:rsid w:val="001A5F82"/>
    <w:rsid w:val="001B43F8"/>
    <w:rsid w:val="001B7FE1"/>
    <w:rsid w:val="001C0AF7"/>
    <w:rsid w:val="001D28DC"/>
    <w:rsid w:val="001F2FF3"/>
    <w:rsid w:val="001F467C"/>
    <w:rsid w:val="002154ED"/>
    <w:rsid w:val="00220505"/>
    <w:rsid w:val="00280AA1"/>
    <w:rsid w:val="002956A7"/>
    <w:rsid w:val="002974E5"/>
    <w:rsid w:val="002E711C"/>
    <w:rsid w:val="00334029"/>
    <w:rsid w:val="00344799"/>
    <w:rsid w:val="00344D1E"/>
    <w:rsid w:val="00366585"/>
    <w:rsid w:val="00381F1D"/>
    <w:rsid w:val="00383640"/>
    <w:rsid w:val="00385E73"/>
    <w:rsid w:val="00386090"/>
    <w:rsid w:val="00394B89"/>
    <w:rsid w:val="003B5A2A"/>
    <w:rsid w:val="003B5DBA"/>
    <w:rsid w:val="003C6810"/>
    <w:rsid w:val="003D18C9"/>
    <w:rsid w:val="003E2F37"/>
    <w:rsid w:val="003F3477"/>
    <w:rsid w:val="003F58E0"/>
    <w:rsid w:val="003F6B3A"/>
    <w:rsid w:val="004033F4"/>
    <w:rsid w:val="0041045A"/>
    <w:rsid w:val="00411F19"/>
    <w:rsid w:val="00417687"/>
    <w:rsid w:val="004511EB"/>
    <w:rsid w:val="00463D99"/>
    <w:rsid w:val="00475AD3"/>
    <w:rsid w:val="004862EA"/>
    <w:rsid w:val="00486610"/>
    <w:rsid w:val="00492A0B"/>
    <w:rsid w:val="004A22AB"/>
    <w:rsid w:val="004A500A"/>
    <w:rsid w:val="004B217F"/>
    <w:rsid w:val="004B5275"/>
    <w:rsid w:val="004E23AC"/>
    <w:rsid w:val="004E5E62"/>
    <w:rsid w:val="004E67D7"/>
    <w:rsid w:val="00557D5B"/>
    <w:rsid w:val="00566ADD"/>
    <w:rsid w:val="00571A42"/>
    <w:rsid w:val="005D7D9B"/>
    <w:rsid w:val="005F42CA"/>
    <w:rsid w:val="005F4610"/>
    <w:rsid w:val="0062100E"/>
    <w:rsid w:val="00624B3C"/>
    <w:rsid w:val="00633CCE"/>
    <w:rsid w:val="00640259"/>
    <w:rsid w:val="006432C5"/>
    <w:rsid w:val="00651D35"/>
    <w:rsid w:val="0068533E"/>
    <w:rsid w:val="00694AF5"/>
    <w:rsid w:val="006B200C"/>
    <w:rsid w:val="006B5404"/>
    <w:rsid w:val="006B6C99"/>
    <w:rsid w:val="006C0F66"/>
    <w:rsid w:val="0070702D"/>
    <w:rsid w:val="0071349C"/>
    <w:rsid w:val="00745DD4"/>
    <w:rsid w:val="007643A7"/>
    <w:rsid w:val="0076615A"/>
    <w:rsid w:val="00767BA3"/>
    <w:rsid w:val="00780C63"/>
    <w:rsid w:val="00795577"/>
    <w:rsid w:val="007A1B52"/>
    <w:rsid w:val="007F411F"/>
    <w:rsid w:val="008076BE"/>
    <w:rsid w:val="00814035"/>
    <w:rsid w:val="00874A32"/>
    <w:rsid w:val="008B4733"/>
    <w:rsid w:val="008D23EC"/>
    <w:rsid w:val="008D5545"/>
    <w:rsid w:val="00905668"/>
    <w:rsid w:val="009057B4"/>
    <w:rsid w:val="00921DC3"/>
    <w:rsid w:val="00946548"/>
    <w:rsid w:val="009469ED"/>
    <w:rsid w:val="009814A7"/>
    <w:rsid w:val="00990805"/>
    <w:rsid w:val="009915B7"/>
    <w:rsid w:val="009949BB"/>
    <w:rsid w:val="009A6BB6"/>
    <w:rsid w:val="009A73F2"/>
    <w:rsid w:val="009B519A"/>
    <w:rsid w:val="009B7DFC"/>
    <w:rsid w:val="009C5B65"/>
    <w:rsid w:val="009C7A25"/>
    <w:rsid w:val="009D0F61"/>
    <w:rsid w:val="00A0725D"/>
    <w:rsid w:val="00A239FD"/>
    <w:rsid w:val="00A33567"/>
    <w:rsid w:val="00A420B3"/>
    <w:rsid w:val="00A64F3F"/>
    <w:rsid w:val="00A7491A"/>
    <w:rsid w:val="00A80842"/>
    <w:rsid w:val="00A83199"/>
    <w:rsid w:val="00A96520"/>
    <w:rsid w:val="00AA5232"/>
    <w:rsid w:val="00AB41F6"/>
    <w:rsid w:val="00AC19E4"/>
    <w:rsid w:val="00AD7E3A"/>
    <w:rsid w:val="00B03FB8"/>
    <w:rsid w:val="00B258A2"/>
    <w:rsid w:val="00B304DD"/>
    <w:rsid w:val="00B37987"/>
    <w:rsid w:val="00B577EC"/>
    <w:rsid w:val="00B67F14"/>
    <w:rsid w:val="00B70894"/>
    <w:rsid w:val="00B745C2"/>
    <w:rsid w:val="00B81D9B"/>
    <w:rsid w:val="00BA186A"/>
    <w:rsid w:val="00BC237F"/>
    <w:rsid w:val="00BC29C1"/>
    <w:rsid w:val="00BD3FC1"/>
    <w:rsid w:val="00BF37CB"/>
    <w:rsid w:val="00BF678C"/>
    <w:rsid w:val="00C00A44"/>
    <w:rsid w:val="00C121AE"/>
    <w:rsid w:val="00C44458"/>
    <w:rsid w:val="00C619DF"/>
    <w:rsid w:val="00C66552"/>
    <w:rsid w:val="00C842BA"/>
    <w:rsid w:val="00C860F4"/>
    <w:rsid w:val="00CA7F84"/>
    <w:rsid w:val="00CB5D07"/>
    <w:rsid w:val="00CB5FE6"/>
    <w:rsid w:val="00CF443A"/>
    <w:rsid w:val="00CF537D"/>
    <w:rsid w:val="00D036C2"/>
    <w:rsid w:val="00D12DA2"/>
    <w:rsid w:val="00D2252B"/>
    <w:rsid w:val="00D33800"/>
    <w:rsid w:val="00D34348"/>
    <w:rsid w:val="00D35DFC"/>
    <w:rsid w:val="00D37DC3"/>
    <w:rsid w:val="00D75AFA"/>
    <w:rsid w:val="00D83CD1"/>
    <w:rsid w:val="00D83FBE"/>
    <w:rsid w:val="00D8622F"/>
    <w:rsid w:val="00D9022C"/>
    <w:rsid w:val="00D96B3F"/>
    <w:rsid w:val="00DA0675"/>
    <w:rsid w:val="00DA4E67"/>
    <w:rsid w:val="00DB1369"/>
    <w:rsid w:val="00DB410B"/>
    <w:rsid w:val="00DD59A8"/>
    <w:rsid w:val="00DE70DD"/>
    <w:rsid w:val="00E11102"/>
    <w:rsid w:val="00E2040B"/>
    <w:rsid w:val="00E27760"/>
    <w:rsid w:val="00E363EB"/>
    <w:rsid w:val="00E5380F"/>
    <w:rsid w:val="00E803AA"/>
    <w:rsid w:val="00EB2FC8"/>
    <w:rsid w:val="00EB3885"/>
    <w:rsid w:val="00EB42DE"/>
    <w:rsid w:val="00EC38D6"/>
    <w:rsid w:val="00ED1E52"/>
    <w:rsid w:val="00EE1216"/>
    <w:rsid w:val="00EE3657"/>
    <w:rsid w:val="00EF0DF3"/>
    <w:rsid w:val="00F0466D"/>
    <w:rsid w:val="00F12DE2"/>
    <w:rsid w:val="00F363B1"/>
    <w:rsid w:val="00F50BA6"/>
    <w:rsid w:val="00F562E4"/>
    <w:rsid w:val="00F60EAF"/>
    <w:rsid w:val="00FC01D1"/>
    <w:rsid w:val="00FC4CB7"/>
    <w:rsid w:val="00FD5AD3"/>
    <w:rsid w:val="00FD77E4"/>
    <w:rsid w:val="00FE3CFE"/>
    <w:rsid w:val="00FE7DD2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2C9BC"/>
  <w15:docId w15:val="{B8FD9486-7C19-49F5-8AC8-7E68A51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3D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uiPriority w:val="99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7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2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5"/>
      </w:numPr>
    </w:pPr>
  </w:style>
  <w:style w:type="numbering" w:customStyle="1" w:styleId="ImportedStyle11">
    <w:name w:val="Imported Style 11"/>
  </w:style>
  <w:style w:type="paragraph" w:styleId="Header">
    <w:name w:val="header"/>
    <w:basedOn w:val="Normal"/>
    <w:link w:val="Head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67"/>
    <w:rPr>
      <w:sz w:val="24"/>
      <w:szCs w:val="24"/>
    </w:rPr>
  </w:style>
  <w:style w:type="character" w:customStyle="1" w:styleId="tlid-translation">
    <w:name w:val="tlid-translation"/>
    <w:basedOn w:val="DefaultParagraphFont"/>
    <w:rsid w:val="0070702D"/>
  </w:style>
  <w:style w:type="paragraph" w:styleId="BalloonText">
    <w:name w:val="Balloon Text"/>
    <w:basedOn w:val="Normal"/>
    <w:link w:val="BalloonTextChar"/>
    <w:uiPriority w:val="99"/>
    <w:semiHidden/>
    <w:unhideWhenUsed/>
    <w:rsid w:val="00CF5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_rels/theme1.xml.rels><?xml version="1.0" encoding="UTF-8" standalone="yes"?>
<Relationships xmlns="http://schemas.openxmlformats.org/package/2006/relationships">
   <Relationship Id="rId1" Target="../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1FC0-E5EA-4C29-8496-B39DB722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2021-11-19T11:26:00Z</dcterms:created>
  <dc:creator>Margarita Antanaitė</dc:creator>
  <cp:lastModifiedBy>Justė MILEVIČIŪTĖ-SLIŽIENĖ</cp:lastModifiedBy>
  <cp:lastPrinted>2021-11-15T09:14:00Z</cp:lastPrinted>
  <dcterms:modified xsi:type="dcterms:W3CDTF">2021-11-19T12:14:00Z</dcterms:modified>
  <cp:revision>8</cp:revision>
</cp:coreProperties>
</file>