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81" w:type="dxa"/>
        <w:tblLayout w:type="fixed"/>
        <w:tblLook w:val="04A0" w:firstRow="1" w:lastRow="0" w:firstColumn="1" w:lastColumn="0" w:noHBand="0" w:noVBand="1"/>
      </w:tblPr>
      <w:tblGrid>
        <w:gridCol w:w="795"/>
        <w:gridCol w:w="6103"/>
        <w:gridCol w:w="990"/>
        <w:gridCol w:w="1718"/>
        <w:gridCol w:w="5075"/>
      </w:tblGrid>
      <w:tr w:rsidRPr="00624DE8" w:rsidR="000703B7" w:rsidTr="387AE1C5" w14:paraId="6838E150" w14:textId="77777777">
        <w:trPr>
          <w:trHeight w:val="312"/>
        </w:trPr>
        <w:tc>
          <w:tcPr>
            <w:tcW w:w="7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02295D" w:rsidR="000703B7" w:rsidP="00624DE8" w:rsidRDefault="000703B7" w14:paraId="413AE010" w14:textId="77777777">
            <w:pPr>
              <w:jc w:val="center"/>
              <w:rPr>
                <w:sz w:val="24"/>
                <w:szCs w:val="24"/>
                <w:lang w:val="lt-LT"/>
              </w:rPr>
            </w:pPr>
            <w:r w:rsidRPr="0002295D">
              <w:rPr>
                <w:b/>
                <w:bCs/>
                <w:sz w:val="24"/>
                <w:szCs w:val="24"/>
                <w:lang w:val="lt-LT"/>
              </w:rPr>
              <w:t>LRV TVIRTINIMUI</w:t>
            </w:r>
          </w:p>
        </w:tc>
        <w:tc>
          <w:tcPr>
            <w:tcW w:w="6793" w:type="dxa"/>
            <w:gridSpan w:val="2"/>
            <w:tcBorders>
              <w:left w:val="single" w:color="auto" w:sz="4" w:space="0"/>
            </w:tcBorders>
            <w:noWrap/>
            <w:tcMar/>
            <w:hideMark/>
          </w:tcPr>
          <w:p w:rsidRPr="0002295D" w:rsidR="000703B7" w:rsidP="00624DE8" w:rsidRDefault="000703B7" w14:paraId="5A1E7FF7" w14:textId="16EC3DD6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02295D">
              <w:rPr>
                <w:b/>
                <w:sz w:val="24"/>
                <w:szCs w:val="24"/>
                <w:lang w:val="lt-LT"/>
              </w:rPr>
              <w:t>Detalesnės priemonės 2021 m. (tvirtinamos ministro įsakymu)</w:t>
            </w:r>
          </w:p>
        </w:tc>
      </w:tr>
      <w:tr w:rsidRPr="00624DE8" w:rsidR="000703B7" w:rsidTr="387AE1C5" w14:paraId="6502809B" w14:textId="77777777">
        <w:trPr>
          <w:trHeight w:val="1440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0703B7" w:rsidP="00624DE8" w:rsidRDefault="000703B7" w14:paraId="6E7BEAA2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 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624DE8" w:rsidRDefault="000703B7" w14:paraId="3B511585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LĖŠŲ PASKIRTIS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624DE8" w:rsidR="000703B7" w:rsidP="00624DE8" w:rsidRDefault="000703B7" w14:paraId="46F3CEAF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 xml:space="preserve">2021 m. bendra suma, mln. </w:t>
            </w:r>
            <w:proofErr w:type="spellStart"/>
            <w:r w:rsidRPr="00624DE8">
              <w:rPr>
                <w:b/>
                <w:bCs/>
                <w:lang w:val="lt-LT"/>
              </w:rPr>
              <w:t>Eur</w:t>
            </w:r>
            <w:proofErr w:type="spellEnd"/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tcMar/>
            <w:vAlign w:val="center"/>
            <w:hideMark/>
          </w:tcPr>
          <w:p w:rsidRPr="00624DE8" w:rsidR="000703B7" w:rsidP="00624DE8" w:rsidRDefault="000703B7" w14:paraId="0781258F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 xml:space="preserve">2021 m. detali suma, mln. </w:t>
            </w:r>
            <w:proofErr w:type="spellStart"/>
            <w:r w:rsidRPr="00624DE8">
              <w:rPr>
                <w:b/>
                <w:bCs/>
                <w:lang w:val="lt-LT"/>
              </w:rPr>
              <w:t>Eur</w:t>
            </w:r>
            <w:proofErr w:type="spellEnd"/>
          </w:p>
        </w:tc>
        <w:tc>
          <w:tcPr>
            <w:tcW w:w="5075" w:type="dxa"/>
            <w:shd w:val="clear" w:color="auto" w:fill="EAF1DD" w:themeFill="accent3" w:themeFillTint="33"/>
            <w:tcMar/>
            <w:vAlign w:val="center"/>
            <w:hideMark/>
          </w:tcPr>
          <w:p w:rsidRPr="00624DE8" w:rsidR="000703B7" w:rsidRDefault="000703B7" w14:paraId="308C1BFE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Priemonių detalizavimas ( paramos intensyvumas proc.)</w:t>
            </w:r>
          </w:p>
        </w:tc>
      </w:tr>
      <w:tr w:rsidRPr="00624DE8" w:rsidR="00E6389D" w:rsidTr="387AE1C5" w14:paraId="0D32E222" w14:textId="77777777">
        <w:trPr>
          <w:trHeight w:val="312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E42DF" w:rsidR="00E6389D" w:rsidP="00624DE8" w:rsidRDefault="00E6389D" w14:paraId="2C212B45" w14:textId="77777777">
            <w:pPr>
              <w:rPr>
                <w:b/>
                <w:lang w:val="lt-LT"/>
              </w:rPr>
            </w:pPr>
            <w:r w:rsidRPr="003E42DF">
              <w:rPr>
                <w:b/>
                <w:lang w:val="lt-LT"/>
              </w:rPr>
              <w:t>I.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E42DF" w:rsidR="00E6389D" w:rsidP="00624DE8" w:rsidRDefault="00E6389D" w14:paraId="56B3203C" w14:textId="77777777">
            <w:pPr>
              <w:rPr>
                <w:b/>
                <w:lang w:val="lt-LT"/>
              </w:rPr>
            </w:pPr>
            <w:r w:rsidRPr="003E42DF">
              <w:rPr>
                <w:b/>
                <w:lang w:val="lt-LT"/>
              </w:rPr>
              <w:t xml:space="preserve">PROGRAMOS PRAĖJUSIO LAIKOTARPIO LĖŠŲ LIKUTIS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624DE8" w:rsidR="00E6389D" w:rsidP="0002295D" w:rsidRDefault="00E6389D" w14:paraId="672A6659" w14:textId="77777777">
            <w:pPr>
              <w:jc w:val="center"/>
              <w:rPr>
                <w:lang w:val="lt-LT"/>
              </w:rPr>
            </w:pPr>
          </w:p>
        </w:tc>
        <w:tc>
          <w:tcPr>
            <w:tcW w:w="1718" w:type="dxa"/>
            <w:vMerge w:val="restart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</w:tcPr>
          <w:p w:rsidRPr="00624DE8" w:rsidR="00E6389D" w:rsidP="0002295D" w:rsidRDefault="00E6389D" w14:paraId="0A37501D" w14:textId="77777777">
            <w:pPr>
              <w:jc w:val="center"/>
              <w:rPr>
                <w:lang w:val="lt-LT"/>
              </w:rPr>
            </w:pPr>
          </w:p>
        </w:tc>
        <w:tc>
          <w:tcPr>
            <w:tcW w:w="5075" w:type="dxa"/>
            <w:vMerge w:val="restart"/>
            <w:shd w:val="clear" w:color="auto" w:fill="EAF1DD" w:themeFill="accent3" w:themeFillTint="33"/>
            <w:noWrap/>
            <w:tcMar/>
            <w:hideMark/>
          </w:tcPr>
          <w:p w:rsidRPr="00624DE8" w:rsidR="00E6389D" w:rsidP="00624DE8" w:rsidRDefault="00E6389D" w14:paraId="5DAB6C7B" w14:textId="77777777">
            <w:pPr>
              <w:rPr>
                <w:lang w:val="lt-LT"/>
              </w:rPr>
            </w:pPr>
          </w:p>
        </w:tc>
      </w:tr>
      <w:tr w:rsidRPr="00624DE8" w:rsidR="00E6389D" w:rsidTr="387AE1C5" w14:paraId="1DDF173F" w14:textId="77777777">
        <w:trPr>
          <w:trHeight w:val="312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E6389D" w:rsidP="00624DE8" w:rsidRDefault="00E6389D" w14:paraId="649841BE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E6389D" w:rsidP="00624DE8" w:rsidRDefault="00E6389D" w14:paraId="7A7B8381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Praėjusio laikotarpio nerezervuotų lėšų likutis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E6389D" w:rsidP="0002295D" w:rsidRDefault="00E6389D" w14:paraId="5AD67CB5" w14:textId="7777777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81,6</w:t>
            </w:r>
          </w:p>
        </w:tc>
        <w:tc>
          <w:tcPr>
            <w:tcW w:w="1718" w:type="dxa"/>
            <w:vMerge/>
            <w:noWrap/>
            <w:tcMar/>
            <w:vAlign w:val="center"/>
            <w:hideMark/>
          </w:tcPr>
          <w:p w:rsidRPr="00624DE8" w:rsidR="00E6389D" w:rsidP="0002295D" w:rsidRDefault="00E6389D" w14:paraId="5A39BBE3" w14:textId="77777777">
            <w:pPr>
              <w:jc w:val="center"/>
              <w:rPr>
                <w:lang w:val="lt-LT"/>
              </w:rPr>
            </w:pPr>
          </w:p>
        </w:tc>
        <w:tc>
          <w:tcPr>
            <w:tcW w:w="5075" w:type="dxa"/>
            <w:vMerge/>
            <w:noWrap/>
            <w:tcMar/>
            <w:hideMark/>
          </w:tcPr>
          <w:p w:rsidRPr="00624DE8" w:rsidR="00E6389D" w:rsidP="00624DE8" w:rsidRDefault="00E6389D" w14:paraId="41C8F396" w14:textId="77777777">
            <w:pPr>
              <w:rPr>
                <w:lang w:val="lt-LT"/>
              </w:rPr>
            </w:pPr>
          </w:p>
        </w:tc>
      </w:tr>
      <w:tr w:rsidRPr="00624DE8" w:rsidR="00E6389D" w:rsidTr="387AE1C5" w14:paraId="3997420C" w14:textId="77777777">
        <w:trPr>
          <w:trHeight w:val="312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E6389D" w:rsidP="00624DE8" w:rsidRDefault="00E6389D" w14:paraId="18F999B5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2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E6389D" w:rsidP="00624DE8" w:rsidRDefault="00744B97" w14:paraId="02E7B5F6" w14:textId="36936117">
            <w:pPr>
              <w:rPr>
                <w:lang w:val="lt-LT"/>
              </w:rPr>
            </w:pPr>
            <w:r>
              <w:rPr>
                <w:lang w:val="lt-LT"/>
              </w:rPr>
              <w:t>Rezervuotų pagal 2017</w:t>
            </w:r>
            <w:r w:rsidRPr="00624DE8" w:rsidR="00E6389D">
              <w:rPr>
                <w:lang w:val="lt-LT"/>
              </w:rPr>
              <w:t>-2020 m. gautas paraiškas ir (ar) skirtą finansavimą  lėšų likutis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E6389D" w:rsidP="0002295D" w:rsidRDefault="00E6389D" w14:paraId="02F93054" w14:textId="7777777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108,3</w:t>
            </w:r>
          </w:p>
        </w:tc>
        <w:tc>
          <w:tcPr>
            <w:tcW w:w="1718" w:type="dxa"/>
            <w:vMerge/>
            <w:noWrap/>
            <w:tcMar/>
            <w:vAlign w:val="center"/>
            <w:hideMark/>
          </w:tcPr>
          <w:p w:rsidRPr="00624DE8" w:rsidR="00E6389D" w:rsidP="0002295D" w:rsidRDefault="00E6389D" w14:paraId="0D0B940D" w14:textId="77777777">
            <w:pPr>
              <w:jc w:val="center"/>
              <w:rPr>
                <w:lang w:val="lt-LT"/>
              </w:rPr>
            </w:pPr>
          </w:p>
        </w:tc>
        <w:tc>
          <w:tcPr>
            <w:tcW w:w="5075" w:type="dxa"/>
            <w:vMerge/>
            <w:noWrap/>
            <w:tcMar/>
            <w:hideMark/>
          </w:tcPr>
          <w:p w:rsidRPr="00624DE8" w:rsidR="00E6389D" w:rsidP="00624DE8" w:rsidRDefault="00E6389D" w14:paraId="0E27B00A" w14:textId="77777777">
            <w:pPr>
              <w:rPr>
                <w:lang w:val="lt-LT"/>
              </w:rPr>
            </w:pPr>
          </w:p>
        </w:tc>
      </w:tr>
      <w:tr w:rsidRPr="00624DE8" w:rsidR="00E6389D" w:rsidTr="387AE1C5" w14:paraId="5514703A" w14:textId="77777777">
        <w:trPr>
          <w:trHeight w:val="312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E6389D" w:rsidP="00624DE8" w:rsidRDefault="00E6389D" w14:paraId="4B94D5A5" w14:textId="77777777">
            <w:pPr>
              <w:rPr>
                <w:lang w:val="lt-LT"/>
              </w:rPr>
            </w:pP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E6389D" w:rsidP="00624DE8" w:rsidRDefault="00E6389D" w14:paraId="3C7C0A33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IŠ VISO: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E6389D" w:rsidP="0002295D" w:rsidRDefault="00E6389D" w14:paraId="56B689D2" w14:textId="7777777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189,9</w:t>
            </w:r>
          </w:p>
        </w:tc>
        <w:tc>
          <w:tcPr>
            <w:tcW w:w="1718" w:type="dxa"/>
            <w:vMerge/>
            <w:noWrap/>
            <w:tcMar/>
            <w:vAlign w:val="center"/>
            <w:hideMark/>
          </w:tcPr>
          <w:p w:rsidRPr="00624DE8" w:rsidR="00E6389D" w:rsidP="0002295D" w:rsidRDefault="00E6389D" w14:paraId="3DEEC669" w14:textId="77777777">
            <w:pPr>
              <w:jc w:val="center"/>
              <w:rPr>
                <w:lang w:val="lt-LT"/>
              </w:rPr>
            </w:pPr>
          </w:p>
        </w:tc>
        <w:tc>
          <w:tcPr>
            <w:tcW w:w="5075" w:type="dxa"/>
            <w:vMerge/>
            <w:noWrap/>
            <w:tcMar/>
            <w:hideMark/>
          </w:tcPr>
          <w:p w:rsidRPr="00624DE8" w:rsidR="00E6389D" w:rsidP="00624DE8" w:rsidRDefault="00E6389D" w14:paraId="3656B9AB" w14:textId="77777777">
            <w:pPr>
              <w:rPr>
                <w:lang w:val="lt-LT"/>
              </w:rPr>
            </w:pPr>
          </w:p>
        </w:tc>
      </w:tr>
      <w:tr w:rsidRPr="00624DE8" w:rsidR="00E6389D" w:rsidTr="387AE1C5" w14:paraId="13F5C5E7" w14:textId="77777777">
        <w:trPr>
          <w:trHeight w:val="312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E42DF" w:rsidR="00E6389D" w:rsidP="00624DE8" w:rsidRDefault="00E6389D" w14:paraId="4B56B8ED" w14:textId="77777777">
            <w:pPr>
              <w:rPr>
                <w:b/>
                <w:lang w:val="lt-LT"/>
              </w:rPr>
            </w:pPr>
            <w:r w:rsidRPr="003E42DF">
              <w:rPr>
                <w:b/>
                <w:lang w:val="lt-LT"/>
              </w:rPr>
              <w:t>II.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E42DF" w:rsidR="00E6389D" w:rsidP="2D7C5307" w:rsidRDefault="00E6389D" w14:paraId="57B90791" w14:textId="63ED5DC5">
            <w:pPr>
              <w:rPr>
                <w:b/>
                <w:bCs/>
                <w:lang w:val="lt-LT"/>
              </w:rPr>
            </w:pPr>
            <w:r w:rsidRPr="2D7C5307">
              <w:rPr>
                <w:b/>
                <w:bCs/>
                <w:lang w:val="lt-LT"/>
              </w:rPr>
              <w:t xml:space="preserve">2021 M. PROGRAMOS </w:t>
            </w:r>
            <w:r w:rsidRPr="2D7C5307" w:rsidR="6C0742B4">
              <w:rPr>
                <w:b/>
                <w:bCs/>
                <w:lang w:val="lt-LT"/>
              </w:rPr>
              <w:t>LĖŠOS</w:t>
            </w:r>
            <w:r w:rsidRPr="2D7C5307" w:rsidR="724D0EB6">
              <w:rPr>
                <w:b/>
                <w:bCs/>
                <w:lang w:val="lt-LT"/>
              </w:rPr>
              <w:t xml:space="preserve"> (TINKAMOS SKIRSTYTI LĖŠOS  FINANSAVIMUI)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E6389D" w:rsidP="0002295D" w:rsidRDefault="00E6389D" w14:paraId="53128261" w14:textId="77777777">
            <w:pPr>
              <w:jc w:val="center"/>
              <w:rPr>
                <w:lang w:val="lt-LT"/>
              </w:rPr>
            </w:pPr>
          </w:p>
        </w:tc>
        <w:tc>
          <w:tcPr>
            <w:tcW w:w="1718" w:type="dxa"/>
            <w:vMerge/>
            <w:noWrap/>
            <w:tcMar/>
            <w:vAlign w:val="center"/>
            <w:hideMark/>
          </w:tcPr>
          <w:p w:rsidRPr="00624DE8" w:rsidR="00E6389D" w:rsidP="0002295D" w:rsidRDefault="00E6389D" w14:paraId="62486C05" w14:textId="77777777">
            <w:pPr>
              <w:jc w:val="center"/>
              <w:rPr>
                <w:lang w:val="lt-LT"/>
              </w:rPr>
            </w:pPr>
          </w:p>
        </w:tc>
        <w:tc>
          <w:tcPr>
            <w:tcW w:w="5075" w:type="dxa"/>
            <w:vMerge/>
            <w:noWrap/>
            <w:tcMar/>
            <w:hideMark/>
          </w:tcPr>
          <w:p w:rsidRPr="00624DE8" w:rsidR="00E6389D" w:rsidP="00624DE8" w:rsidRDefault="00E6389D" w14:paraId="4101652C" w14:textId="77777777">
            <w:pPr>
              <w:rPr>
                <w:lang w:val="lt-LT"/>
              </w:rPr>
            </w:pPr>
          </w:p>
        </w:tc>
      </w:tr>
      <w:tr w:rsidRPr="00624DE8" w:rsidR="00E6389D" w:rsidTr="387AE1C5" w14:paraId="1D7743AA" w14:textId="77777777">
        <w:trPr>
          <w:trHeight w:val="487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E6389D" w:rsidP="00624DE8" w:rsidRDefault="00E6389D" w14:paraId="0135CBF0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624DE8" w:rsidR="00E6389D" w:rsidP="00624DE8" w:rsidRDefault="00E6389D" w14:paraId="294AA831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2021 m. planuojamos gauti pajamos už aukciono būdu parduotus apyvartinius taršos leidimus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44B97" w:rsidR="00E6389D" w:rsidP="0002295D" w:rsidRDefault="00E6389D" w14:paraId="0F8EA849" w14:textId="77777777">
            <w:pPr>
              <w:jc w:val="center"/>
              <w:rPr>
                <w:bCs/>
                <w:lang w:val="lt-LT"/>
              </w:rPr>
            </w:pPr>
            <w:r w:rsidRPr="00744B97">
              <w:rPr>
                <w:bCs/>
                <w:lang w:val="lt-LT"/>
              </w:rPr>
              <w:t>80</w:t>
            </w:r>
          </w:p>
        </w:tc>
        <w:tc>
          <w:tcPr>
            <w:tcW w:w="1718" w:type="dxa"/>
            <w:vMerge/>
            <w:noWrap/>
            <w:tcMar/>
            <w:vAlign w:val="center"/>
            <w:hideMark/>
          </w:tcPr>
          <w:p w:rsidRPr="00624DE8" w:rsidR="00E6389D" w:rsidP="0002295D" w:rsidRDefault="00E6389D" w14:paraId="4DDBEF00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5075" w:type="dxa"/>
            <w:vMerge/>
            <w:noWrap/>
            <w:tcMar/>
            <w:hideMark/>
          </w:tcPr>
          <w:p w:rsidRPr="00624DE8" w:rsidR="00E6389D" w:rsidP="00624DE8" w:rsidRDefault="00E6389D" w14:paraId="3461D779" w14:textId="77777777">
            <w:pPr>
              <w:rPr>
                <w:lang w:val="lt-LT"/>
              </w:rPr>
            </w:pPr>
          </w:p>
        </w:tc>
      </w:tr>
      <w:tr w:rsidRPr="00624DE8" w:rsidR="00744B97" w:rsidTr="387AE1C5" w14:paraId="7C626A47" w14:textId="77777777">
        <w:trPr>
          <w:trHeight w:val="363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</w:tcPr>
          <w:p w:rsidRPr="00624DE8" w:rsidR="00744B97" w:rsidP="00624DE8" w:rsidRDefault="00744B97" w14:paraId="2AB6CAE0" w14:textId="0BF62BD3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624DE8" w:rsidR="00744B97" w:rsidP="00624DE8" w:rsidRDefault="00FE3879" w14:paraId="4191B83C" w14:textId="4585242A">
            <w:pPr>
              <w:rPr>
                <w:lang w:val="lt-LT"/>
              </w:rPr>
            </w:pPr>
            <w:r w:rsidRPr="00FE3879">
              <w:rPr>
                <w:lang w:val="lt-LT"/>
              </w:rPr>
              <w:t>Praėjusio laikotarpio nerezervuotų lėšų likutis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744B97" w:rsidR="00744B97" w:rsidP="0002295D" w:rsidRDefault="00FE3879" w14:paraId="0E55ACDE" w14:textId="1FC9268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81,6</w:t>
            </w:r>
          </w:p>
        </w:tc>
        <w:tc>
          <w:tcPr>
            <w:tcW w:w="1718" w:type="dxa"/>
            <w:vMerge/>
            <w:noWrap/>
            <w:tcMar/>
            <w:vAlign w:val="center"/>
          </w:tcPr>
          <w:p w:rsidRPr="00624DE8" w:rsidR="00744B97" w:rsidP="0002295D" w:rsidRDefault="00744B97" w14:paraId="07D576AD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5075" w:type="dxa"/>
            <w:vMerge/>
            <w:noWrap/>
            <w:tcMar/>
          </w:tcPr>
          <w:p w:rsidRPr="00624DE8" w:rsidR="00744B97" w:rsidP="00624DE8" w:rsidRDefault="00744B97" w14:paraId="23367CE7" w14:textId="77777777">
            <w:pPr>
              <w:rPr>
                <w:lang w:val="lt-LT"/>
              </w:rPr>
            </w:pPr>
          </w:p>
        </w:tc>
      </w:tr>
      <w:tr w:rsidRPr="00624DE8" w:rsidR="00E6389D" w:rsidTr="387AE1C5" w14:paraId="12C7706B" w14:textId="77777777">
        <w:trPr>
          <w:trHeight w:val="312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E6389D" w:rsidP="00624DE8" w:rsidRDefault="00E6389D" w14:paraId="3CF2D8B6" w14:textId="77777777">
            <w:pPr>
              <w:rPr>
                <w:lang w:val="lt-LT"/>
              </w:rPr>
            </w:pP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E6389D" w:rsidP="00624DE8" w:rsidRDefault="00E6389D" w14:paraId="0BF0D1B8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IŠ VISO: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E6389D" w:rsidP="0002295D" w:rsidRDefault="003F029B" w14:paraId="44BA5723" w14:textId="78439106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161,8</w:t>
            </w:r>
          </w:p>
        </w:tc>
        <w:tc>
          <w:tcPr>
            <w:tcW w:w="1718" w:type="dxa"/>
            <w:vMerge/>
            <w:noWrap/>
            <w:tcMar/>
            <w:vAlign w:val="center"/>
            <w:hideMark/>
          </w:tcPr>
          <w:p w:rsidRPr="00624DE8" w:rsidR="00E6389D" w:rsidP="0002295D" w:rsidRDefault="00E6389D" w14:paraId="0FB78278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5075" w:type="dxa"/>
            <w:vMerge/>
            <w:noWrap/>
            <w:tcMar/>
            <w:hideMark/>
          </w:tcPr>
          <w:p w:rsidRPr="00624DE8" w:rsidR="00E6389D" w:rsidP="00624DE8" w:rsidRDefault="00E6389D" w14:paraId="1FC39945" w14:textId="77777777">
            <w:pPr>
              <w:rPr>
                <w:lang w:val="lt-LT"/>
              </w:rPr>
            </w:pPr>
          </w:p>
        </w:tc>
      </w:tr>
      <w:tr w:rsidRPr="00624DE8" w:rsidR="00AA6B5F" w:rsidTr="387AE1C5" w14:paraId="20294DC3" w14:textId="77777777">
        <w:trPr>
          <w:trHeight w:val="312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E42DF" w:rsidR="00AA6B5F" w:rsidP="00624DE8" w:rsidRDefault="00AA6B5F" w14:paraId="4C486BB1" w14:textId="77777777">
            <w:pPr>
              <w:rPr>
                <w:b/>
                <w:lang w:val="lt-LT"/>
              </w:rPr>
            </w:pPr>
            <w:r w:rsidRPr="003E42DF">
              <w:rPr>
                <w:b/>
                <w:lang w:val="lt-LT"/>
              </w:rPr>
              <w:t>III.</w:t>
            </w:r>
          </w:p>
        </w:tc>
        <w:tc>
          <w:tcPr>
            <w:tcW w:w="13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AA6B5F" w:rsidP="00624DE8" w:rsidRDefault="00AA6B5F" w14:paraId="2946DB82" w14:textId="20057F35">
            <w:pPr>
              <w:rPr>
                <w:lang w:val="lt-LT"/>
              </w:rPr>
            </w:pPr>
            <w:r w:rsidRPr="003E42DF">
              <w:rPr>
                <w:b/>
                <w:lang w:val="lt-LT"/>
              </w:rPr>
              <w:t>2021 M. PROGRAMOS LĖŠŲ PANAUDOJIMO SRITYS</w:t>
            </w:r>
          </w:p>
        </w:tc>
      </w:tr>
      <w:tr w:rsidRPr="00624DE8" w:rsidR="000703B7" w:rsidTr="387AE1C5" w14:paraId="5EF76793" w14:textId="77777777">
        <w:trPr>
          <w:trHeight w:val="775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0703B7" w:rsidP="00624DE8" w:rsidRDefault="000703B7" w14:paraId="21FA6016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624DE8" w:rsidR="000703B7" w:rsidP="00624DE8" w:rsidRDefault="000703B7" w14:paraId="03360B17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Priemonės, kurias įgyvendinus pasiekiamas kiekybiškai apskaičiuojamas išmetamų šiltnamio efektą sukeliančių dujų kiekio sumažinimas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02295D" w:rsidRDefault="000703B7" w14:paraId="1F3E32C2" w14:textId="77777777">
            <w:pPr>
              <w:jc w:val="center"/>
              <w:rPr>
                <w:b/>
                <w:bCs/>
                <w:lang w:val="lt-LT"/>
              </w:rPr>
            </w:pPr>
            <w:r w:rsidRPr="0002295D">
              <w:rPr>
                <w:b/>
                <w:bCs/>
                <w:lang w:val="lt-LT"/>
              </w:rPr>
              <w:t>157,8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6B699379" w14:textId="706EC36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157,8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624DE8" w:rsidRDefault="000703B7" w14:paraId="3FE9F23F" w14:textId="77777777">
            <w:pPr>
              <w:rPr>
                <w:b/>
                <w:bCs/>
                <w:lang w:val="lt-LT"/>
              </w:rPr>
            </w:pPr>
          </w:p>
        </w:tc>
      </w:tr>
      <w:tr w:rsidRPr="00624DE8" w:rsidR="000703B7" w:rsidTr="387AE1C5" w14:paraId="0FAED457" w14:textId="77777777">
        <w:trPr>
          <w:trHeight w:val="473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0703B7" w:rsidP="00624DE8" w:rsidRDefault="000703B7" w14:paraId="175E3939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1.1.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624DE8" w:rsidR="000703B7" w:rsidP="005B13C4" w:rsidRDefault="005B13C4" w14:paraId="1291E108" w14:textId="6FC471B0">
            <w:pPr>
              <w:rPr>
                <w:lang w:val="lt-LT"/>
              </w:rPr>
            </w:pPr>
            <w:r>
              <w:rPr>
                <w:lang w:val="lt-LT"/>
              </w:rPr>
              <w:t>e</w:t>
            </w:r>
            <w:r w:rsidRPr="00624DE8" w:rsidR="000703B7">
              <w:rPr>
                <w:lang w:val="lt-LT"/>
              </w:rPr>
              <w:t>nergijos vartojimo ir efektyvumo didinimas: pastatų atnaujinimas (modernizavimas)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02295D" w:rsidRDefault="000703B7" w14:paraId="4C34B8AC" w14:textId="77777777">
            <w:pPr>
              <w:jc w:val="center"/>
              <w:rPr>
                <w:b/>
                <w:bCs/>
                <w:lang w:val="lt-LT"/>
              </w:rPr>
            </w:pPr>
            <w:r w:rsidRPr="0002295D">
              <w:rPr>
                <w:b/>
                <w:bCs/>
                <w:lang w:val="lt-LT"/>
              </w:rPr>
              <w:t>28,8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159DCAA3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28,8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624DE8" w:rsidRDefault="000703B7" w14:paraId="1F72F646" w14:textId="77777777">
            <w:pPr>
              <w:rPr>
                <w:b/>
                <w:bCs/>
                <w:lang w:val="lt-LT"/>
              </w:rPr>
            </w:pPr>
          </w:p>
        </w:tc>
      </w:tr>
      <w:tr w:rsidRPr="00624DE8" w:rsidR="000703B7" w:rsidTr="387AE1C5" w14:paraId="23D805F3" w14:textId="77777777">
        <w:trPr>
          <w:trHeight w:val="312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624DE8" w:rsidRDefault="000703B7" w14:paraId="037D9899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1.1.1.</w:t>
            </w:r>
          </w:p>
        </w:tc>
        <w:tc>
          <w:tcPr>
            <w:tcW w:w="6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624DE8" w:rsidR="000703B7" w:rsidP="005B13C4" w:rsidRDefault="005B13C4" w14:paraId="55F1BF05" w14:textId="5E4A650C">
            <w:pPr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Pr="00624DE8" w:rsidR="000703B7">
              <w:rPr>
                <w:lang w:val="lt-LT"/>
              </w:rPr>
              <w:t>yvenamųjų  namų atnaujinimas (modernizavimas)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02295D" w:rsidRDefault="000703B7" w14:paraId="4AED7131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21,3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214A0085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9,</w:t>
            </w:r>
            <w:r>
              <w:rPr>
                <w:b/>
                <w:bCs/>
                <w:lang w:val="lt-LT"/>
              </w:rPr>
              <w:t>5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3B0DF7" w:rsidRDefault="000703B7" w14:paraId="7EA2F790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Daugiabučių namų modernizavimas (15-30%)</w:t>
            </w:r>
          </w:p>
        </w:tc>
      </w:tr>
      <w:tr w:rsidRPr="00624DE8" w:rsidR="000703B7" w:rsidTr="387AE1C5" w14:paraId="45732052" w14:textId="77777777">
        <w:trPr>
          <w:trHeight w:val="312"/>
        </w:trPr>
        <w:tc>
          <w:tcPr>
            <w:tcW w:w="795" w:type="dxa"/>
            <w:vMerge/>
            <w:tcMar/>
            <w:vAlign w:val="center"/>
            <w:hideMark/>
          </w:tcPr>
          <w:p w:rsidRPr="00624DE8" w:rsidR="000703B7" w:rsidRDefault="000703B7" w14:paraId="08CE6F91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vAlign w:val="center"/>
            <w:hideMark/>
          </w:tcPr>
          <w:p w:rsidRPr="00624DE8" w:rsidR="000703B7" w:rsidRDefault="000703B7" w14:paraId="61CDCEAD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6BB9E253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09EB7748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0,</w:t>
            </w:r>
            <w:r>
              <w:rPr>
                <w:b/>
                <w:bCs/>
                <w:lang w:val="lt-LT"/>
              </w:rPr>
              <w:t>8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hideMark/>
          </w:tcPr>
          <w:p w:rsidRPr="00624DE8" w:rsidR="000703B7" w:rsidP="003B0DF7" w:rsidRDefault="000703B7" w14:paraId="47DA2AFB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Mažoji renovacija (30%)</w:t>
            </w:r>
          </w:p>
        </w:tc>
      </w:tr>
      <w:tr w:rsidRPr="00624DE8" w:rsidR="000703B7" w:rsidTr="387AE1C5" w14:paraId="191F315E" w14:textId="77777777">
        <w:trPr>
          <w:trHeight w:val="312"/>
        </w:trPr>
        <w:tc>
          <w:tcPr>
            <w:tcW w:w="795" w:type="dxa"/>
            <w:vMerge/>
            <w:tcMar/>
            <w:vAlign w:val="center"/>
            <w:hideMark/>
          </w:tcPr>
          <w:p w:rsidRPr="00624DE8" w:rsidR="000703B7" w:rsidRDefault="000703B7" w14:paraId="23DE523C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vAlign w:val="center"/>
            <w:hideMark/>
          </w:tcPr>
          <w:p w:rsidRPr="00624DE8" w:rsidR="000703B7" w:rsidRDefault="000703B7" w14:paraId="52E56223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07547A01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4737E36C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1</w:t>
            </w:r>
            <w:r>
              <w:rPr>
                <w:b/>
                <w:bCs/>
                <w:lang w:val="lt-LT"/>
              </w:rPr>
              <w:t>1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hideMark/>
          </w:tcPr>
          <w:p w:rsidRPr="00624DE8" w:rsidR="000703B7" w:rsidP="003B0DF7" w:rsidRDefault="000703B7" w14:paraId="55092E49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Individualių namų renovacija</w:t>
            </w:r>
            <w:r>
              <w:rPr>
                <w:lang w:val="lt-LT"/>
              </w:rPr>
              <w:t>, fiksuota išmoka apie</w:t>
            </w:r>
            <w:r w:rsidRPr="00624DE8">
              <w:rPr>
                <w:lang w:val="lt-LT"/>
              </w:rPr>
              <w:t xml:space="preserve"> 30%</w:t>
            </w:r>
          </w:p>
        </w:tc>
      </w:tr>
      <w:tr w:rsidRPr="00624DE8" w:rsidR="000703B7" w:rsidTr="387AE1C5" w14:paraId="0FA7FE67" w14:textId="77777777">
        <w:trPr>
          <w:trHeight w:val="312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624DE8" w:rsidRDefault="000703B7" w14:paraId="3774C296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1.1.2.</w:t>
            </w:r>
          </w:p>
        </w:tc>
        <w:tc>
          <w:tcPr>
            <w:tcW w:w="6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624DE8" w:rsidR="000703B7" w:rsidP="005B13C4" w:rsidRDefault="005B13C4" w14:paraId="0BC8BA33" w14:textId="67135DCA">
            <w:pPr>
              <w:rPr>
                <w:lang w:val="lt-LT"/>
              </w:rPr>
            </w:pPr>
            <w:r>
              <w:rPr>
                <w:lang w:val="lt-LT"/>
              </w:rPr>
              <w:t>j</w:t>
            </w:r>
            <w:r w:rsidRPr="00624DE8" w:rsidR="000703B7">
              <w:rPr>
                <w:lang w:val="lt-LT"/>
              </w:rPr>
              <w:t>uridinių asmenų pastatų atnaujinimas (modernizavimas)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02295D" w:rsidRDefault="000703B7" w14:paraId="7E7FE0CB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7,5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78941E47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5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hideMark/>
          </w:tcPr>
          <w:p w:rsidRPr="00624DE8" w:rsidR="000703B7" w:rsidP="003B0DF7" w:rsidRDefault="000703B7" w14:paraId="07AE8165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Viešųjų pastatų renovacija (VIPA) (30%)</w:t>
            </w:r>
          </w:p>
        </w:tc>
      </w:tr>
      <w:tr w:rsidRPr="00624DE8" w:rsidR="000703B7" w:rsidTr="387AE1C5" w14:paraId="7298788F" w14:textId="77777777">
        <w:trPr>
          <w:trHeight w:val="312"/>
        </w:trPr>
        <w:tc>
          <w:tcPr>
            <w:tcW w:w="795" w:type="dxa"/>
            <w:vMerge/>
            <w:tcMar/>
            <w:vAlign w:val="center"/>
            <w:hideMark/>
          </w:tcPr>
          <w:p w:rsidRPr="00624DE8" w:rsidR="000703B7" w:rsidRDefault="000703B7" w14:paraId="5043CB0F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vAlign w:val="center"/>
            <w:hideMark/>
          </w:tcPr>
          <w:p w:rsidRPr="00624DE8" w:rsidR="000703B7" w:rsidRDefault="000703B7" w14:paraId="07459315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6537F28F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06966047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2,5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3B0DF7" w:rsidRDefault="000703B7" w14:paraId="2AF558B5" w14:textId="7777777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Juridinių asmenų (įmonių) pastatų </w:t>
            </w:r>
            <w:r w:rsidRPr="00624DE8">
              <w:rPr>
                <w:lang w:val="lt-LT"/>
              </w:rPr>
              <w:t>renovacija (30%)</w:t>
            </w:r>
          </w:p>
        </w:tc>
      </w:tr>
      <w:tr w:rsidRPr="00624DE8" w:rsidR="000703B7" w:rsidTr="387AE1C5" w14:paraId="1AA7F95A" w14:textId="77777777">
        <w:trPr>
          <w:trHeight w:val="624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624DE8" w:rsidR="000703B7" w:rsidP="00624DE8" w:rsidRDefault="000703B7" w14:paraId="24A80196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1.2.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B0DF7" w:rsidR="000703B7" w:rsidP="005B13C4" w:rsidRDefault="005B13C4" w14:paraId="0C69E82C" w14:textId="6D0205D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Pr="003B0DF7" w:rsidR="000703B7">
              <w:rPr>
                <w:lang w:val="lt-LT"/>
              </w:rPr>
              <w:t>tsinaujinančių energijos išteklių panaudojimo skatinimas, aplinkai palankių technologijų diegimas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624DE8" w:rsidR="000703B7" w:rsidP="0002295D" w:rsidRDefault="000703B7" w14:paraId="6D3A19EC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129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</w:tcPr>
          <w:p w:rsidRPr="00624DE8" w:rsidR="000703B7" w:rsidP="0002295D" w:rsidRDefault="000703B7" w14:paraId="5B05B4FA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129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hideMark/>
          </w:tcPr>
          <w:p w:rsidRPr="00624DE8" w:rsidR="000703B7" w:rsidP="003B0DF7" w:rsidRDefault="000703B7" w14:paraId="6DFB9E20" w14:textId="77777777">
            <w:pPr>
              <w:jc w:val="both"/>
              <w:rPr>
                <w:b/>
                <w:bCs/>
                <w:lang w:val="lt-LT"/>
              </w:rPr>
            </w:pPr>
          </w:p>
        </w:tc>
      </w:tr>
      <w:tr w:rsidRPr="00624DE8" w:rsidR="000703B7" w:rsidTr="387AE1C5" w14:paraId="0F00D6DB" w14:textId="77777777">
        <w:trPr>
          <w:trHeight w:val="751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624DE8" w:rsidRDefault="000703B7" w14:paraId="1DAA8C0A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1.2.1.</w:t>
            </w:r>
          </w:p>
        </w:tc>
        <w:tc>
          <w:tcPr>
            <w:tcW w:w="6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E20634" w:rsidR="000703B7" w:rsidP="005B13C4" w:rsidRDefault="005B13C4" w14:paraId="03011378" w14:textId="01A6114D">
            <w:pPr>
              <w:rPr>
                <w:lang w:val="lt-LT"/>
              </w:rPr>
            </w:pPr>
            <w:r>
              <w:rPr>
                <w:szCs w:val="24"/>
                <w:lang w:val="lt-LT"/>
              </w:rPr>
              <w:t>a</w:t>
            </w:r>
            <w:r w:rsidRPr="00E20634" w:rsidR="000703B7">
              <w:rPr>
                <w:szCs w:val="24"/>
                <w:lang w:val="lt-LT"/>
              </w:rPr>
              <w:t>tsinaujinančių energijos išteklių panaudojimas juridinių asmenų poreikiams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3B0DF7" w:rsidRDefault="000703B7" w14:paraId="41C0AA51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2</w:t>
            </w:r>
            <w:r>
              <w:rPr>
                <w:b/>
                <w:bCs/>
                <w:lang w:val="lt-LT"/>
              </w:rPr>
              <w:t>7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E20634" w:rsidRDefault="000703B7" w14:paraId="111B77A1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1</w:t>
            </w:r>
            <w:r>
              <w:rPr>
                <w:b/>
                <w:bCs/>
                <w:lang w:val="lt-LT"/>
              </w:rPr>
              <w:t>7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E20634" w:rsidR="000703B7" w:rsidP="008F4FD5" w:rsidRDefault="000703B7" w14:paraId="53DE338E" w14:textId="77777777">
            <w:pPr>
              <w:jc w:val="both"/>
              <w:rPr>
                <w:lang w:val="en-US"/>
              </w:rPr>
            </w:pPr>
            <w:r w:rsidRPr="00E20634">
              <w:rPr>
                <w:lang w:val="en-US"/>
              </w:rPr>
              <w:t xml:space="preserve">AEI </w:t>
            </w:r>
            <w:proofErr w:type="spellStart"/>
            <w:r w:rsidRPr="00E20634">
              <w:rPr>
                <w:lang w:val="en-US"/>
              </w:rPr>
              <w:t>naudojimas</w:t>
            </w:r>
            <w:proofErr w:type="spellEnd"/>
            <w:r w:rsidRPr="00E20634">
              <w:rPr>
                <w:lang w:val="en-US"/>
              </w:rPr>
              <w:t xml:space="preserve"> </w:t>
            </w:r>
            <w:proofErr w:type="spellStart"/>
            <w:r w:rsidRPr="00E20634">
              <w:rPr>
                <w:lang w:val="en-US"/>
              </w:rPr>
              <w:t>savivaldybių</w:t>
            </w:r>
            <w:proofErr w:type="spellEnd"/>
            <w:r w:rsidRPr="00E20634">
              <w:rPr>
                <w:lang w:val="en-US"/>
              </w:rPr>
              <w:t xml:space="preserve">, </w:t>
            </w:r>
            <w:proofErr w:type="spellStart"/>
            <w:r w:rsidRPr="00E20634">
              <w:rPr>
                <w:lang w:val="en-US"/>
              </w:rPr>
              <w:t>valstybiniuose</w:t>
            </w:r>
            <w:proofErr w:type="spellEnd"/>
            <w:r w:rsidRPr="00E20634">
              <w:rPr>
                <w:lang w:val="en-US"/>
              </w:rPr>
              <w:t xml:space="preserve"> </w:t>
            </w:r>
            <w:proofErr w:type="spellStart"/>
            <w:r w:rsidRPr="00E20634">
              <w:rPr>
                <w:lang w:val="en-US"/>
              </w:rPr>
              <w:t>pastatuose</w:t>
            </w:r>
            <w:proofErr w:type="spellEnd"/>
            <w:r w:rsidRPr="00E20634">
              <w:rPr>
                <w:lang w:val="en-US"/>
              </w:rPr>
              <w:t xml:space="preserve"> </w:t>
            </w:r>
            <w:proofErr w:type="spellStart"/>
            <w:r w:rsidRPr="00E20634">
              <w:rPr>
                <w:lang w:val="en-US"/>
              </w:rPr>
              <w:t>ir</w:t>
            </w:r>
            <w:proofErr w:type="spellEnd"/>
            <w:r w:rsidRPr="00E20634">
              <w:rPr>
                <w:lang w:val="en-US"/>
              </w:rPr>
              <w:t xml:space="preserve"> </w:t>
            </w:r>
            <w:proofErr w:type="spellStart"/>
            <w:r w:rsidRPr="00E20634">
              <w:rPr>
                <w:lang w:val="en-US"/>
              </w:rPr>
              <w:t>religinių</w:t>
            </w:r>
            <w:proofErr w:type="spellEnd"/>
            <w:r w:rsidRPr="00E20634">
              <w:rPr>
                <w:lang w:val="en-US"/>
              </w:rPr>
              <w:t xml:space="preserve"> </w:t>
            </w:r>
            <w:proofErr w:type="spellStart"/>
            <w:r w:rsidRPr="00E20634">
              <w:rPr>
                <w:lang w:val="en-US"/>
              </w:rPr>
              <w:t>bendruomenių</w:t>
            </w:r>
            <w:proofErr w:type="spellEnd"/>
            <w:r w:rsidRPr="00E20634">
              <w:rPr>
                <w:lang w:val="en-US"/>
              </w:rPr>
              <w:t xml:space="preserve"> </w:t>
            </w:r>
            <w:proofErr w:type="spellStart"/>
            <w:r w:rsidRPr="00E20634">
              <w:rPr>
                <w:lang w:val="en-US"/>
              </w:rPr>
              <w:t>pastatuose</w:t>
            </w:r>
            <w:proofErr w:type="spellEnd"/>
            <w:r w:rsidRPr="00E20634">
              <w:rPr>
                <w:lang w:val="en-US"/>
              </w:rPr>
              <w:t xml:space="preserve"> </w:t>
            </w:r>
            <w:r w:rsidRPr="00E20634">
              <w:rPr>
                <w:lang w:val="en-US"/>
              </w:rPr>
              <w:lastRenderedPageBreak/>
              <w:t xml:space="preserve">(80%) </w:t>
            </w:r>
          </w:p>
        </w:tc>
      </w:tr>
      <w:tr w:rsidRPr="00624DE8" w:rsidR="000703B7" w:rsidTr="387AE1C5" w14:paraId="482FB0AB" w14:textId="77777777">
        <w:trPr>
          <w:trHeight w:val="312"/>
        </w:trPr>
        <w:tc>
          <w:tcPr>
            <w:tcW w:w="795" w:type="dxa"/>
            <w:vMerge/>
            <w:tcMar/>
            <w:hideMark/>
          </w:tcPr>
          <w:p w:rsidRPr="00624DE8" w:rsidR="000703B7" w:rsidRDefault="000703B7" w14:paraId="70DF9E56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hideMark/>
          </w:tcPr>
          <w:p w:rsidRPr="00624DE8" w:rsidR="000703B7" w:rsidRDefault="000703B7" w14:paraId="44E871BC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144A5D23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446DE71A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10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hideMark/>
          </w:tcPr>
          <w:p w:rsidRPr="00624DE8" w:rsidR="000703B7" w:rsidP="008F4FD5" w:rsidRDefault="000703B7" w14:paraId="6690685E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 xml:space="preserve">AEI naudojimas įmonių  </w:t>
            </w:r>
            <w:r>
              <w:rPr>
                <w:lang w:val="lt-LT"/>
              </w:rPr>
              <w:t>poreikiams</w:t>
            </w:r>
            <w:r w:rsidRPr="00624DE8">
              <w:rPr>
                <w:lang w:val="lt-LT"/>
              </w:rPr>
              <w:t xml:space="preserve"> (30%)</w:t>
            </w:r>
          </w:p>
        </w:tc>
      </w:tr>
      <w:tr w:rsidRPr="00624DE8" w:rsidR="000703B7" w:rsidTr="387AE1C5" w14:paraId="6E913FCF" w14:textId="77777777">
        <w:trPr>
          <w:trHeight w:val="624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624DE8" w:rsidRDefault="000703B7" w14:paraId="4162B76D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1.2.2.</w:t>
            </w:r>
          </w:p>
        </w:tc>
        <w:tc>
          <w:tcPr>
            <w:tcW w:w="6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624DE8" w:rsidR="000703B7" w:rsidP="0002295D" w:rsidRDefault="000703B7" w14:paraId="05364828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AEI panaudojimas individuliuose namuose ar daugiabučiuose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02295D" w:rsidRDefault="000703B7" w14:paraId="3E1FE5D4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56B20A0C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8F4FD5" w:rsidRDefault="000703B7" w14:paraId="652D3263" w14:textId="7068F89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AEI skatinimas socialiai remtiniems</w:t>
            </w:r>
            <w:r w:rsidR="00B05201">
              <w:rPr>
                <w:lang w:val="lt-LT"/>
              </w:rPr>
              <w:t xml:space="preserve"> kam?</w:t>
            </w:r>
            <w:r w:rsidRPr="00624DE8">
              <w:rPr>
                <w:lang w:val="lt-LT"/>
              </w:rPr>
              <w:t xml:space="preserve"> (nutolusių saulės elektrinių įsigijimas iš saulės parkų) (80%)</w:t>
            </w:r>
          </w:p>
        </w:tc>
      </w:tr>
      <w:tr w:rsidRPr="00624DE8" w:rsidR="000703B7" w:rsidTr="387AE1C5" w14:paraId="7DD9734F" w14:textId="77777777">
        <w:trPr>
          <w:trHeight w:val="624"/>
        </w:trPr>
        <w:tc>
          <w:tcPr>
            <w:tcW w:w="795" w:type="dxa"/>
            <w:vMerge/>
            <w:tcMar/>
            <w:hideMark/>
          </w:tcPr>
          <w:p w:rsidRPr="00624DE8" w:rsidR="000703B7" w:rsidRDefault="000703B7" w14:paraId="738610EB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vAlign w:val="center"/>
            <w:hideMark/>
          </w:tcPr>
          <w:p w:rsidRPr="00624DE8" w:rsidR="000703B7" w:rsidP="0002295D" w:rsidRDefault="000703B7" w14:paraId="637805D2" w14:textId="77777777">
            <w:pPr>
              <w:jc w:val="both"/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463F29E8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29B4EA11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8F4FD5" w:rsidRDefault="000703B7" w14:paraId="0A65F6F3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AEI naudojimas individualiuose namuose šildymui (biokuro katilai, šilumos siurbliai)</w:t>
            </w:r>
            <w:r>
              <w:rPr>
                <w:lang w:val="lt-LT"/>
              </w:rPr>
              <w:t xml:space="preserve">, (fiksuota išmoka apie </w:t>
            </w:r>
            <w:r w:rsidRPr="00624DE8">
              <w:rPr>
                <w:lang w:val="lt-LT"/>
              </w:rPr>
              <w:t>30%</w:t>
            </w:r>
            <w:r>
              <w:rPr>
                <w:lang w:val="lt-LT"/>
              </w:rPr>
              <w:t>)</w:t>
            </w:r>
          </w:p>
        </w:tc>
      </w:tr>
      <w:tr w:rsidRPr="00624DE8" w:rsidR="000703B7" w:rsidTr="387AE1C5" w14:paraId="776BC07F" w14:textId="77777777">
        <w:trPr>
          <w:trHeight w:val="473"/>
        </w:trPr>
        <w:tc>
          <w:tcPr>
            <w:tcW w:w="795" w:type="dxa"/>
            <w:vMerge/>
            <w:tcMar/>
          </w:tcPr>
          <w:p w:rsidRPr="00624DE8" w:rsidR="000703B7" w:rsidRDefault="000703B7" w14:paraId="3B7B4B86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vAlign w:val="center"/>
          </w:tcPr>
          <w:p w:rsidRPr="00624DE8" w:rsidR="000703B7" w:rsidP="0002295D" w:rsidRDefault="000703B7" w14:paraId="3A0FF5F2" w14:textId="77777777">
            <w:pPr>
              <w:jc w:val="both"/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</w:tcPr>
          <w:p w:rsidRPr="00624DE8" w:rsidR="000703B7" w:rsidP="0002295D" w:rsidRDefault="000703B7" w14:paraId="5630AD66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</w:tcPr>
          <w:p w:rsidR="000703B7" w:rsidP="0002295D" w:rsidRDefault="000703B7" w14:paraId="7144751B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</w:tcPr>
          <w:p w:rsidRPr="00624DE8" w:rsidR="000703B7" w:rsidP="008F4FD5" w:rsidRDefault="000703B7" w14:paraId="577D5C41" w14:textId="7777777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Parama prisijungimui prie centralizuoto šilumos tiekimo (50-70</w:t>
            </w:r>
            <w:r w:rsidRPr="00624DE8">
              <w:rPr>
                <w:lang w:val="lt-LT"/>
              </w:rPr>
              <w:t>%</w:t>
            </w:r>
            <w:r>
              <w:rPr>
                <w:lang w:val="lt-LT"/>
              </w:rPr>
              <w:t>)</w:t>
            </w:r>
          </w:p>
        </w:tc>
      </w:tr>
      <w:tr w:rsidRPr="00624DE8" w:rsidR="000703B7" w:rsidTr="387AE1C5" w14:paraId="5DEC9A58" w14:textId="77777777">
        <w:trPr>
          <w:trHeight w:val="837"/>
        </w:trPr>
        <w:tc>
          <w:tcPr>
            <w:tcW w:w="795" w:type="dxa"/>
            <w:vMerge/>
            <w:tcMar/>
            <w:hideMark/>
          </w:tcPr>
          <w:p w:rsidRPr="00624DE8" w:rsidR="000703B7" w:rsidRDefault="000703B7" w14:paraId="61829076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vAlign w:val="center"/>
            <w:hideMark/>
          </w:tcPr>
          <w:p w:rsidRPr="00624DE8" w:rsidR="000703B7" w:rsidP="0002295D" w:rsidRDefault="000703B7" w14:paraId="2BA226A1" w14:textId="77777777">
            <w:pPr>
              <w:jc w:val="both"/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17AD93B2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249FAAB8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8F4FD5" w:rsidRDefault="000703B7" w14:paraId="10BDA7DA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AEI naudojimas renovuotuose daugiabučiuose, ne  CŠT teritorijoje (BETA priemonė) (60%)</w:t>
            </w:r>
          </w:p>
        </w:tc>
      </w:tr>
      <w:tr w:rsidRPr="00624DE8" w:rsidR="000703B7" w:rsidTr="387AE1C5" w14:paraId="1FD07522" w14:textId="77777777">
        <w:trPr>
          <w:trHeight w:val="495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624DE8" w:rsidRDefault="000703B7" w14:paraId="6DF4A7C5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1.2.3.</w:t>
            </w:r>
          </w:p>
        </w:tc>
        <w:tc>
          <w:tcPr>
            <w:tcW w:w="6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624DE8" w:rsidR="000703B7" w:rsidP="00853189" w:rsidRDefault="003A6D9A" w14:paraId="19D00CA6" w14:textId="1E60ECA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Pr="00624DE8" w:rsidR="000703B7">
              <w:rPr>
                <w:lang w:val="lt-LT"/>
              </w:rPr>
              <w:t>ažiau taršaus transporto panaudojimo fiziniams asmenims</w:t>
            </w:r>
            <w:r w:rsidR="00853189">
              <w:rPr>
                <w:lang w:val="lt-LT"/>
              </w:rPr>
              <w:t xml:space="preserve"> skatinimas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02295D" w:rsidRDefault="000703B7" w14:paraId="33CFEC6B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15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1B87E3DE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vAlign w:val="center"/>
            <w:hideMark/>
          </w:tcPr>
          <w:p w:rsidRPr="00E20634" w:rsidR="000703B7" w:rsidP="008F4FD5" w:rsidRDefault="000703B7" w14:paraId="5B679DAA" w14:textId="77777777">
            <w:pPr>
              <w:jc w:val="both"/>
              <w:rPr>
                <w:lang w:val="lt-LT"/>
              </w:rPr>
            </w:pPr>
            <w:r w:rsidRPr="00E20634">
              <w:rPr>
                <w:lang w:val="lt-LT"/>
              </w:rPr>
              <w:t>Visuomeninio transporto</w:t>
            </w:r>
            <w:r>
              <w:rPr>
                <w:lang w:val="lt-LT"/>
              </w:rPr>
              <w:t xml:space="preserve"> (bilietų)</w:t>
            </w:r>
            <w:r w:rsidRPr="00E20634">
              <w:rPr>
                <w:lang w:val="lt-LT"/>
              </w:rPr>
              <w:t xml:space="preserve"> ir darnaus </w:t>
            </w:r>
            <w:proofErr w:type="spellStart"/>
            <w:r w:rsidRPr="00E20634">
              <w:rPr>
                <w:lang w:val="lt-LT"/>
              </w:rPr>
              <w:t>judumo</w:t>
            </w:r>
            <w:proofErr w:type="spellEnd"/>
            <w:r>
              <w:rPr>
                <w:lang w:val="lt-LT"/>
              </w:rPr>
              <w:t xml:space="preserve"> (dviračių, </w:t>
            </w:r>
            <w:proofErr w:type="spellStart"/>
            <w:r>
              <w:rPr>
                <w:lang w:val="lt-LT"/>
              </w:rPr>
              <w:t>paspirtukų</w:t>
            </w:r>
            <w:proofErr w:type="spellEnd"/>
            <w:r>
              <w:rPr>
                <w:lang w:val="lt-LT"/>
              </w:rPr>
              <w:t xml:space="preserve"> įsigijimo, dalijimosi paslaugų)</w:t>
            </w:r>
            <w:r w:rsidRPr="00E20634">
              <w:rPr>
                <w:lang w:val="lt-LT"/>
              </w:rPr>
              <w:t xml:space="preserve"> skatinimas</w:t>
            </w:r>
          </w:p>
        </w:tc>
      </w:tr>
      <w:tr w:rsidRPr="00624DE8" w:rsidR="000703B7" w:rsidTr="387AE1C5" w14:paraId="75C1A4FF" w14:textId="77777777">
        <w:trPr>
          <w:trHeight w:val="581"/>
        </w:trPr>
        <w:tc>
          <w:tcPr>
            <w:tcW w:w="795" w:type="dxa"/>
            <w:vMerge/>
            <w:tcMar/>
            <w:hideMark/>
          </w:tcPr>
          <w:p w:rsidRPr="00624DE8" w:rsidR="000703B7" w:rsidRDefault="000703B7" w14:paraId="0DE4B5B7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hideMark/>
          </w:tcPr>
          <w:p w:rsidRPr="00624DE8" w:rsidR="000703B7" w:rsidRDefault="000703B7" w14:paraId="66204FF1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2DBF0D7D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729DE7E4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hideMark/>
          </w:tcPr>
          <w:p w:rsidRPr="00624DE8" w:rsidR="000703B7" w:rsidP="003A6D9A" w:rsidRDefault="000703B7" w14:paraId="57525136" w14:textId="07649858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 xml:space="preserve">Elektromobilių </w:t>
            </w:r>
            <w:r>
              <w:rPr>
                <w:lang w:val="lt-LT"/>
              </w:rPr>
              <w:t xml:space="preserve">įsigijimo </w:t>
            </w:r>
            <w:r w:rsidRPr="00624DE8">
              <w:rPr>
                <w:lang w:val="lt-LT"/>
              </w:rPr>
              <w:t>fiziniams asmenims</w:t>
            </w:r>
            <w:r>
              <w:rPr>
                <w:lang w:val="lt-LT"/>
              </w:rPr>
              <w:t xml:space="preserve"> (fiksuota išmoka)</w:t>
            </w:r>
            <w:r w:rsidR="003A6D9A">
              <w:rPr>
                <w:lang w:val="lt-LT"/>
              </w:rPr>
              <w:t xml:space="preserve"> skatinimas</w:t>
            </w:r>
            <w:r w:rsidRPr="00624DE8">
              <w:rPr>
                <w:lang w:val="lt-LT"/>
              </w:rPr>
              <w:t xml:space="preserve"> </w:t>
            </w:r>
          </w:p>
        </w:tc>
      </w:tr>
      <w:tr w:rsidRPr="00624DE8" w:rsidR="000703B7" w:rsidTr="387AE1C5" w14:paraId="730E5D6A" w14:textId="77777777">
        <w:trPr>
          <w:trHeight w:val="312"/>
        </w:trPr>
        <w:tc>
          <w:tcPr>
            <w:tcW w:w="795" w:type="dxa"/>
            <w:vMerge/>
            <w:tcMar/>
            <w:hideMark/>
          </w:tcPr>
          <w:p w:rsidRPr="00624DE8" w:rsidR="000703B7" w:rsidRDefault="000703B7" w14:paraId="6B62F1B3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hideMark/>
          </w:tcPr>
          <w:p w:rsidRPr="00624DE8" w:rsidR="000703B7" w:rsidRDefault="000703B7" w14:paraId="02F2C34E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680A4E5D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2598DEE6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3A6D9A" w:rsidRDefault="000703B7" w14:paraId="730186F6" w14:textId="3935263C">
            <w:pPr>
              <w:jc w:val="both"/>
              <w:rPr>
                <w:lang w:val="lt-LT"/>
              </w:rPr>
            </w:pPr>
            <w:proofErr w:type="spellStart"/>
            <w:r>
              <w:t>Mažiau</w:t>
            </w:r>
            <w:proofErr w:type="spellEnd"/>
            <w:r>
              <w:t xml:space="preserve"> </w:t>
            </w:r>
            <w:proofErr w:type="spellStart"/>
            <w:r>
              <w:t>taršių</w:t>
            </w:r>
            <w:proofErr w:type="spellEnd"/>
            <w:r>
              <w:t xml:space="preserve">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e-</w:t>
            </w:r>
            <w:proofErr w:type="spellStart"/>
            <w:r>
              <w:t>motociklų</w:t>
            </w:r>
            <w:proofErr w:type="spellEnd"/>
            <w:r>
              <w:t>, e-</w:t>
            </w:r>
            <w:proofErr w:type="spellStart"/>
            <w:r>
              <w:t>mopedų</w:t>
            </w:r>
            <w:proofErr w:type="spellEnd"/>
            <w:r>
              <w:t xml:space="preserve"> </w:t>
            </w:r>
            <w:proofErr w:type="spellStart"/>
            <w:r>
              <w:t>įsigijimo</w:t>
            </w:r>
            <w:proofErr w:type="spellEnd"/>
            <w:r>
              <w:t xml:space="preserve"> </w:t>
            </w:r>
            <w:proofErr w:type="spellStart"/>
            <w:r>
              <w:t>fiziniams</w:t>
            </w:r>
            <w:proofErr w:type="spellEnd"/>
            <w:r>
              <w:t xml:space="preserve"> </w:t>
            </w:r>
            <w:proofErr w:type="spellStart"/>
            <w:r>
              <w:t>asmenims</w:t>
            </w:r>
            <w:proofErr w:type="spellEnd"/>
            <w:r>
              <w:t xml:space="preserve"> (</w:t>
            </w:r>
            <w:proofErr w:type="spellStart"/>
            <w:r>
              <w:t>fiksuota</w:t>
            </w:r>
            <w:proofErr w:type="spellEnd"/>
            <w:r>
              <w:t xml:space="preserve"> </w:t>
            </w:r>
            <w:proofErr w:type="spellStart"/>
            <w:r>
              <w:t>išmoka</w:t>
            </w:r>
            <w:proofErr w:type="spellEnd"/>
            <w:r>
              <w:t>)</w:t>
            </w:r>
            <w:r w:rsidR="003A6D9A">
              <w:t xml:space="preserve"> </w:t>
            </w:r>
            <w:proofErr w:type="spellStart"/>
            <w:r w:rsidR="003A6D9A">
              <w:t>skatinimas</w:t>
            </w:r>
            <w:proofErr w:type="spellEnd"/>
          </w:p>
        </w:tc>
      </w:tr>
      <w:tr w:rsidRPr="00624DE8" w:rsidR="000703B7" w:rsidTr="387AE1C5" w14:paraId="4A88E7DD" w14:textId="77777777">
        <w:trPr>
          <w:trHeight w:val="624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624DE8" w:rsidRDefault="000703B7" w14:paraId="594DE891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1.2.4.</w:t>
            </w:r>
          </w:p>
        </w:tc>
        <w:tc>
          <w:tcPr>
            <w:tcW w:w="6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853189" w:rsidRDefault="00853189" w14:paraId="575BBCC3" w14:textId="3173D3A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Pr="00624DE8" w:rsidR="000703B7">
              <w:rPr>
                <w:lang w:val="lt-LT"/>
              </w:rPr>
              <w:t>ažiau taršaus transporto įsigijimo juridiniams asmenims</w:t>
            </w:r>
            <w:r>
              <w:rPr>
                <w:lang w:val="lt-LT"/>
              </w:rPr>
              <w:t xml:space="preserve"> skatinimas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02295D" w:rsidRDefault="00B33D5E" w14:paraId="55739EF0" w14:textId="28446FE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42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34C3CC76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A95AB5" w:rsidRDefault="000703B7" w14:paraId="391FC01F" w14:textId="438AF206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Elektromobilių (M1, N1</w:t>
            </w:r>
            <w:r>
              <w:rPr>
                <w:lang w:val="lt-LT"/>
              </w:rPr>
              <w:t>, M2, N2</w:t>
            </w:r>
            <w:r w:rsidRPr="00624DE8">
              <w:rPr>
                <w:lang w:val="lt-LT"/>
              </w:rPr>
              <w:t xml:space="preserve">) </w:t>
            </w:r>
            <w:r>
              <w:rPr>
                <w:lang w:val="lt-LT"/>
              </w:rPr>
              <w:t xml:space="preserve">įsigijimo </w:t>
            </w:r>
            <w:r w:rsidRPr="00624DE8">
              <w:rPr>
                <w:lang w:val="lt-LT"/>
              </w:rPr>
              <w:t>juridiniams asmenims</w:t>
            </w:r>
            <w:r>
              <w:rPr>
                <w:lang w:val="lt-LT"/>
              </w:rPr>
              <w:t xml:space="preserve"> (fiksuota išmoka)</w:t>
            </w:r>
            <w:r w:rsidR="00A95AB5">
              <w:rPr>
                <w:lang w:val="lt-LT"/>
              </w:rPr>
              <w:t xml:space="preserve"> skatinimas</w:t>
            </w:r>
          </w:p>
        </w:tc>
      </w:tr>
      <w:tr w:rsidRPr="00624DE8" w:rsidR="000703B7" w:rsidTr="387AE1C5" w14:paraId="77B2C713" w14:textId="77777777">
        <w:trPr>
          <w:trHeight w:val="439"/>
        </w:trPr>
        <w:tc>
          <w:tcPr>
            <w:tcW w:w="795" w:type="dxa"/>
            <w:vMerge/>
            <w:tcMar/>
            <w:hideMark/>
          </w:tcPr>
          <w:p w:rsidRPr="00624DE8" w:rsidR="000703B7" w:rsidRDefault="000703B7" w14:paraId="19219836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hideMark/>
          </w:tcPr>
          <w:p w:rsidRPr="00624DE8" w:rsidR="000703B7" w:rsidRDefault="000703B7" w14:paraId="296FEF7D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7194DBDC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B33D5E" w14:paraId="57393B24" w14:textId="52A1328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27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8F4FD5" w:rsidRDefault="000703B7" w14:paraId="4464869B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 xml:space="preserve">Viešojo mažiau taršaus transporto </w:t>
            </w:r>
            <w:r>
              <w:rPr>
                <w:lang w:val="lt-LT"/>
              </w:rPr>
              <w:t xml:space="preserve">(autobusų, troleibusų) </w:t>
            </w:r>
            <w:r w:rsidRPr="00624DE8">
              <w:rPr>
                <w:lang w:val="lt-LT"/>
              </w:rPr>
              <w:t>įsigijimo skatinimas (60%)</w:t>
            </w:r>
          </w:p>
        </w:tc>
      </w:tr>
      <w:tr w:rsidRPr="00624DE8" w:rsidR="000703B7" w:rsidTr="387AE1C5" w14:paraId="78BDEAE3" w14:textId="77777777">
        <w:trPr>
          <w:trHeight w:val="461"/>
        </w:trPr>
        <w:tc>
          <w:tcPr>
            <w:tcW w:w="795" w:type="dxa"/>
            <w:vMerge/>
            <w:tcMar/>
            <w:hideMark/>
          </w:tcPr>
          <w:p w:rsidRPr="00624DE8" w:rsidR="000703B7" w:rsidRDefault="000703B7" w14:paraId="769D0D3C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hideMark/>
          </w:tcPr>
          <w:p w:rsidRPr="00624DE8" w:rsidR="000703B7" w:rsidRDefault="000703B7" w14:paraId="54CD245A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1231BE67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31830EAB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F50C6E" w:rsidRDefault="000703B7" w14:paraId="2F57CABD" w14:textId="4473B9E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Mažiau taršaus transporto ir infrastruktūros (sunkiasvoriai)</w:t>
            </w:r>
            <w:r w:rsidR="00F50C6E">
              <w:rPr>
                <w:lang w:val="lt-LT"/>
              </w:rPr>
              <w:t xml:space="preserve"> skatinimas</w:t>
            </w:r>
          </w:p>
        </w:tc>
      </w:tr>
      <w:tr w:rsidRPr="00624DE8" w:rsidR="000703B7" w:rsidTr="387AE1C5" w14:paraId="295D13BC" w14:textId="77777777">
        <w:trPr>
          <w:trHeight w:val="312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624DE8" w:rsidRDefault="000703B7" w14:paraId="46E243E5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1.2.5.</w:t>
            </w:r>
          </w:p>
        </w:tc>
        <w:tc>
          <w:tcPr>
            <w:tcW w:w="6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624DE8" w:rsidR="000703B7" w:rsidP="00853189" w:rsidRDefault="00853189" w14:paraId="5AB3B9B8" w14:textId="26AFB81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624DE8" w:rsidR="000703B7">
              <w:rPr>
                <w:lang w:val="lt-LT"/>
              </w:rPr>
              <w:t>aršių technologijų keitimas į aplinkai palankias technologijas juridiniams asmenims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02295D" w:rsidRDefault="00B33D5E" w14:paraId="3848D7E0" w14:textId="36D9F94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35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4C2A823A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15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hideMark/>
          </w:tcPr>
          <w:p w:rsidRPr="00624DE8" w:rsidR="000703B7" w:rsidP="008F4FD5" w:rsidRDefault="000703B7" w14:paraId="72631CD2" w14:textId="77777777">
            <w:pPr>
              <w:jc w:val="both"/>
              <w:rPr>
                <w:lang w:val="lt-LT"/>
              </w:rPr>
            </w:pPr>
            <w:proofErr w:type="spellStart"/>
            <w:r>
              <w:t>Biometano</w:t>
            </w:r>
            <w:proofErr w:type="spellEnd"/>
            <w:r>
              <w:t xml:space="preserve"> </w:t>
            </w:r>
            <w:proofErr w:type="spellStart"/>
            <w:r>
              <w:t>gamybos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(</w:t>
            </w:r>
            <w:proofErr w:type="spellStart"/>
            <w:r>
              <w:t>ar</w:t>
            </w:r>
            <w:proofErr w:type="spellEnd"/>
            <w:r>
              <w:t xml:space="preserve">) </w:t>
            </w:r>
            <w:proofErr w:type="spellStart"/>
            <w:r>
              <w:t>biodųjų</w:t>
            </w:r>
            <w:proofErr w:type="spellEnd"/>
            <w:r>
              <w:t xml:space="preserve"> </w:t>
            </w:r>
            <w:proofErr w:type="spellStart"/>
            <w:r>
              <w:t>išvalymo</w:t>
            </w:r>
            <w:proofErr w:type="spellEnd"/>
            <w:r>
              <w:t xml:space="preserve"> </w:t>
            </w:r>
            <w:proofErr w:type="spellStart"/>
            <w:r>
              <w:t>skatinimas</w:t>
            </w:r>
            <w:proofErr w:type="spellEnd"/>
            <w:r>
              <w:t xml:space="preserve"> (65%)</w:t>
            </w:r>
          </w:p>
        </w:tc>
      </w:tr>
      <w:tr w:rsidRPr="00624DE8" w:rsidR="000703B7" w:rsidTr="387AE1C5" w14:paraId="128017B9" w14:textId="77777777">
        <w:trPr>
          <w:trHeight w:val="505"/>
        </w:trPr>
        <w:tc>
          <w:tcPr>
            <w:tcW w:w="795" w:type="dxa"/>
            <w:vMerge/>
            <w:tcMar/>
            <w:hideMark/>
          </w:tcPr>
          <w:p w:rsidRPr="00624DE8" w:rsidR="000703B7" w:rsidRDefault="000703B7" w14:paraId="36FEB5B0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hideMark/>
          </w:tcPr>
          <w:p w:rsidRPr="00624DE8" w:rsidR="000703B7" w:rsidRDefault="000703B7" w14:paraId="30D7AA69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7196D064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22F65FF9" w14:textId="7777777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E20634" w:rsidRDefault="000703B7" w14:paraId="2C51C747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Parama ATL sektoriuje dalyvaujančioms įmonėms (25 %)</w:t>
            </w:r>
          </w:p>
        </w:tc>
      </w:tr>
      <w:tr w:rsidRPr="00624DE8" w:rsidR="000703B7" w:rsidTr="387AE1C5" w14:paraId="26248851" w14:textId="77777777">
        <w:trPr>
          <w:trHeight w:val="312"/>
        </w:trPr>
        <w:tc>
          <w:tcPr>
            <w:tcW w:w="795" w:type="dxa"/>
            <w:vMerge/>
            <w:tcMar/>
            <w:hideMark/>
          </w:tcPr>
          <w:p w:rsidRPr="00624DE8" w:rsidR="000703B7" w:rsidRDefault="000703B7" w14:paraId="34FF1C98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hideMark/>
          </w:tcPr>
          <w:p w:rsidRPr="00624DE8" w:rsidR="000703B7" w:rsidRDefault="000703B7" w14:paraId="6D072C0D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48A21919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7842F596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2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E20634" w:rsidRDefault="000703B7" w14:paraId="14FAC983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ŠESD mažinimo pilotiniai projektai</w:t>
            </w:r>
          </w:p>
        </w:tc>
      </w:tr>
      <w:tr w:rsidRPr="00624DE8" w:rsidR="000703B7" w:rsidTr="387AE1C5" w14:paraId="7E33B40C" w14:textId="77777777">
        <w:trPr>
          <w:trHeight w:val="312"/>
        </w:trPr>
        <w:tc>
          <w:tcPr>
            <w:tcW w:w="795" w:type="dxa"/>
            <w:vMerge/>
            <w:tcMar/>
            <w:hideMark/>
          </w:tcPr>
          <w:p w:rsidRPr="00624DE8" w:rsidR="000703B7" w:rsidRDefault="000703B7" w14:paraId="6BD18F9B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  <w:hideMark/>
          </w:tcPr>
          <w:p w:rsidRPr="00624DE8" w:rsidR="000703B7" w:rsidRDefault="000703B7" w14:paraId="238601FE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624DE8" w:rsidR="000703B7" w:rsidP="0002295D" w:rsidRDefault="000703B7" w14:paraId="0F3CABC7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2CC21B90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2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  <w:hideMark/>
          </w:tcPr>
          <w:p w:rsidRPr="00624DE8" w:rsidR="000703B7" w:rsidP="00E20634" w:rsidRDefault="000703B7" w14:paraId="77AA2568" w14:textId="77777777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Paramos projektai besivystančioms šalims (80%)</w:t>
            </w:r>
          </w:p>
        </w:tc>
      </w:tr>
      <w:tr w:rsidRPr="00624DE8" w:rsidR="000703B7" w:rsidTr="387AE1C5" w14:paraId="3F574BD2" w14:textId="77777777">
        <w:trPr>
          <w:trHeight w:val="312"/>
        </w:trPr>
        <w:tc>
          <w:tcPr>
            <w:tcW w:w="795" w:type="dxa"/>
            <w:vMerge/>
            <w:tcMar/>
          </w:tcPr>
          <w:p w:rsidRPr="00624DE8" w:rsidR="000703B7" w:rsidRDefault="000703B7" w14:paraId="5B08B5D1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</w:tcPr>
          <w:p w:rsidRPr="00624DE8" w:rsidR="000703B7" w:rsidRDefault="000703B7" w14:paraId="16DEB4AB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</w:tcPr>
          <w:p w:rsidRPr="00624DE8" w:rsidR="000703B7" w:rsidP="0002295D" w:rsidRDefault="000703B7" w14:paraId="0AD9C6F4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</w:tcPr>
          <w:p w:rsidRPr="00624DE8" w:rsidR="000703B7" w:rsidP="0002295D" w:rsidRDefault="00B33D5E" w14:paraId="5090736E" w14:textId="258AEB6D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</w:tcPr>
          <w:p w:rsidRPr="00E20634" w:rsidR="000703B7" w:rsidP="008F4FD5" w:rsidRDefault="000703B7" w14:paraId="297480D5" w14:textId="43202593">
            <w:pPr>
              <w:jc w:val="both"/>
              <w:rPr>
                <w:lang w:val="lt-LT"/>
              </w:rPr>
            </w:pPr>
            <w:r w:rsidRPr="14C5B61F">
              <w:rPr>
                <w:lang w:val="lt-LT"/>
              </w:rPr>
              <w:t>Įmonių, nedalyvaujančių ATL prekybini</w:t>
            </w:r>
            <w:r w:rsidRPr="14C5B61F" w:rsidR="301F17CE">
              <w:rPr>
                <w:lang w:val="lt-LT"/>
              </w:rPr>
              <w:t>ame</w:t>
            </w:r>
            <w:r w:rsidRPr="14C5B61F">
              <w:rPr>
                <w:lang w:val="lt-LT"/>
              </w:rPr>
              <w:t xml:space="preserve"> sektoriuje, </w:t>
            </w:r>
            <w:r w:rsidRPr="14C5B61F">
              <w:rPr>
                <w:lang w:val="lt-LT"/>
              </w:rPr>
              <w:lastRenderedPageBreak/>
              <w:t>technologinių procesų atnaujinimas panaudojant AEI</w:t>
            </w:r>
          </w:p>
        </w:tc>
      </w:tr>
      <w:tr w:rsidRPr="00624DE8" w:rsidR="00B33D5E" w:rsidTr="387AE1C5" w14:paraId="04281485" w14:textId="77777777">
        <w:trPr>
          <w:trHeight w:val="312"/>
        </w:trPr>
        <w:tc>
          <w:tcPr>
            <w:tcW w:w="795" w:type="dxa"/>
            <w:vMerge/>
            <w:tcMar/>
          </w:tcPr>
          <w:p w:rsidRPr="00624DE8" w:rsidR="00B33D5E" w:rsidRDefault="00B33D5E" w14:paraId="21D7E520" w14:textId="77777777">
            <w:pPr>
              <w:rPr>
                <w:lang w:val="lt-LT"/>
              </w:rPr>
            </w:pPr>
          </w:p>
        </w:tc>
        <w:tc>
          <w:tcPr>
            <w:tcW w:w="6103" w:type="dxa"/>
            <w:vMerge/>
            <w:tcMar/>
          </w:tcPr>
          <w:p w:rsidRPr="00624DE8" w:rsidR="00B33D5E" w:rsidRDefault="00B33D5E" w14:paraId="727DB857" w14:textId="77777777">
            <w:pPr>
              <w:rPr>
                <w:lang w:val="lt-LT"/>
              </w:rPr>
            </w:pPr>
          </w:p>
        </w:tc>
        <w:tc>
          <w:tcPr>
            <w:tcW w:w="990" w:type="dxa"/>
            <w:vMerge/>
            <w:tcMar/>
            <w:vAlign w:val="center"/>
          </w:tcPr>
          <w:p w:rsidRPr="00624DE8" w:rsidR="00B33D5E" w:rsidP="0002295D" w:rsidRDefault="00B33D5E" w14:paraId="5C15D8E4" w14:textId="7777777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</w:tcPr>
          <w:p w:rsidR="00B33D5E" w:rsidP="0002295D" w:rsidRDefault="00B33D5E" w14:paraId="4D2E8343" w14:textId="10A7D4C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</w:t>
            </w:r>
          </w:p>
        </w:tc>
        <w:tc>
          <w:tcPr>
            <w:tcW w:w="5075" w:type="dxa"/>
            <w:shd w:val="clear" w:color="auto" w:fill="EAF1DD" w:themeFill="accent3" w:themeFillTint="33"/>
            <w:tcMar/>
          </w:tcPr>
          <w:p w:rsidRPr="14C5B61F" w:rsidR="00B33D5E" w:rsidP="008F4FD5" w:rsidRDefault="00B33D5E" w14:paraId="0C6E726A" w14:textId="7659A4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EE didinimas įmonėse pagal audito ataskaitas</w:t>
            </w:r>
            <w:bookmarkStart w:name="_GoBack" w:id="0"/>
            <w:bookmarkEnd w:id="0"/>
          </w:p>
        </w:tc>
      </w:tr>
      <w:tr w:rsidRPr="00624DE8" w:rsidR="000703B7" w:rsidTr="387AE1C5" w14:paraId="0BC5CE3C" w14:textId="77777777">
        <w:trPr>
          <w:trHeight w:val="280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624DE8" w:rsidR="000703B7" w:rsidP="14C5B61F" w:rsidRDefault="000703B7" w14:paraId="47886996" w14:textId="77777777">
            <w:pPr>
              <w:rPr>
                <w:b/>
                <w:bCs/>
                <w:lang w:val="lt-LT"/>
              </w:rPr>
            </w:pPr>
            <w:r w:rsidRPr="14C5B61F">
              <w:rPr>
                <w:b/>
                <w:bCs/>
                <w:lang w:val="lt-LT"/>
              </w:rPr>
              <w:t>2.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624DE8" w:rsidR="000703B7" w:rsidP="14C5B61F" w:rsidRDefault="000703B7" w14:paraId="14FE9FA8" w14:textId="77777777">
            <w:pPr>
              <w:jc w:val="both"/>
              <w:rPr>
                <w:b/>
                <w:bCs/>
                <w:lang w:val="lt-LT"/>
              </w:rPr>
            </w:pPr>
            <w:r w:rsidRPr="14C5B61F">
              <w:rPr>
                <w:b/>
                <w:bCs/>
                <w:lang w:val="lt-LT"/>
              </w:rPr>
              <w:t>Kitos priemonės, kurias įgyvendinant nepasiekiamas kiekybiškai apskaičiuojamas išmetamų šiltnamio efektą sukeliančių dujų kiekio sumažinimas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02295D" w:rsidRDefault="000703B7" w14:paraId="5ED3C391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3,8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53516EDC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3,8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hideMark/>
          </w:tcPr>
          <w:p w:rsidRPr="00624DE8" w:rsidR="000703B7" w:rsidP="00624DE8" w:rsidRDefault="000703B7" w14:paraId="4F6584BE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 </w:t>
            </w:r>
          </w:p>
        </w:tc>
      </w:tr>
      <w:tr w:rsidRPr="00624DE8" w:rsidR="000703B7" w:rsidTr="387AE1C5" w14:paraId="6F9FE893" w14:textId="77777777">
        <w:trPr>
          <w:trHeight w:val="1248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624DE8" w:rsidRDefault="000703B7" w14:paraId="5936EC1F" w14:textId="77777777">
            <w:pPr>
              <w:rPr>
                <w:lang w:val="lt-LT"/>
              </w:rPr>
            </w:pPr>
            <w:r w:rsidRPr="00624DE8">
              <w:rPr>
                <w:lang w:val="lt-LT"/>
              </w:rPr>
              <w:t>2.1.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624DE8" w:rsidR="000703B7" w:rsidP="00E20634" w:rsidRDefault="000703B7" w14:paraId="6497D43D" w14:textId="14C7E3AD">
            <w:pPr>
              <w:jc w:val="both"/>
              <w:rPr>
                <w:lang w:val="lt-LT"/>
              </w:rPr>
            </w:pPr>
            <w:r w:rsidRPr="00624DE8">
              <w:rPr>
                <w:lang w:val="lt-LT"/>
              </w:rPr>
              <w:t>nacionalinės klimato kaitos valdymo politikos formavimo ir įgyvendinimo, tarp jų visuomenės informavimo ir švietimo</w:t>
            </w:r>
            <w:r w:rsidR="00E95FEF">
              <w:rPr>
                <w:lang w:val="lt-LT"/>
              </w:rPr>
              <w:t>,</w:t>
            </w:r>
            <w:r w:rsidRPr="00624DE8">
              <w:rPr>
                <w:lang w:val="lt-LT"/>
              </w:rPr>
              <w:t xml:space="preserve"> priemonės, klimato kaitos švelninimo ir prisitaikymo prie klimato kaitos pokyčių priemonių įgyvendinimas nacionaliniu lygmeniu, programos administravimo lėšos ir kitos priemonės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24DE8" w:rsidR="000703B7" w:rsidP="0002295D" w:rsidRDefault="000703B7" w14:paraId="61514523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3,8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  <w:hideMark/>
          </w:tcPr>
          <w:p w:rsidRPr="00624DE8" w:rsidR="000703B7" w:rsidP="0002295D" w:rsidRDefault="000703B7" w14:paraId="625800BC" w14:textId="77777777">
            <w:pPr>
              <w:jc w:val="center"/>
              <w:rPr>
                <w:b/>
                <w:bCs/>
                <w:lang w:val="lt-LT"/>
              </w:rPr>
            </w:pPr>
            <w:r w:rsidRPr="00624DE8">
              <w:rPr>
                <w:b/>
                <w:bCs/>
                <w:lang w:val="lt-LT"/>
              </w:rPr>
              <w:t>3,8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  <w:hideMark/>
          </w:tcPr>
          <w:p w:rsidRPr="00624DE8" w:rsidR="000703B7" w:rsidP="00624DE8" w:rsidRDefault="000703B7" w14:paraId="4B1F511A" w14:textId="77777777">
            <w:pPr>
              <w:rPr>
                <w:lang w:val="lt-LT"/>
              </w:rPr>
            </w:pPr>
          </w:p>
        </w:tc>
      </w:tr>
      <w:tr w:rsidRPr="00624DE8" w:rsidR="00744B97" w:rsidTr="387AE1C5" w14:paraId="5273CD28" w14:textId="77777777">
        <w:trPr>
          <w:trHeight w:val="309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624DE8" w:rsidR="00744B97" w:rsidP="00624DE8" w:rsidRDefault="00744B97" w14:paraId="7C2EF743" w14:textId="77777777">
            <w:pPr>
              <w:rPr>
                <w:lang w:val="lt-LT"/>
              </w:rPr>
            </w:pP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624DE8" w:rsidR="00744B97" w:rsidP="00E20634" w:rsidRDefault="00744B97" w14:paraId="30D0AF5D" w14:textId="4654634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IŠ VISO(1):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624DE8" w:rsidR="00744B97" w:rsidP="0002295D" w:rsidRDefault="00744B97" w14:paraId="50E45D86" w14:textId="33CDAA7F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161,6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</w:tcPr>
          <w:p w:rsidRPr="00624DE8" w:rsidR="00744B97" w:rsidP="0002295D" w:rsidRDefault="00744B97" w14:paraId="63E4B63E" w14:textId="741299DC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161,6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</w:tcPr>
          <w:p w:rsidRPr="00624DE8" w:rsidR="00744B97" w:rsidP="00624DE8" w:rsidRDefault="00744B97" w14:paraId="58305D30" w14:textId="77777777">
            <w:pPr>
              <w:rPr>
                <w:lang w:val="lt-LT"/>
              </w:rPr>
            </w:pPr>
          </w:p>
        </w:tc>
      </w:tr>
      <w:tr w:rsidRPr="00624DE8" w:rsidR="00AA6B5F" w:rsidTr="387AE1C5" w14:paraId="1D37DB6A" w14:textId="77777777">
        <w:trPr>
          <w:trHeight w:val="312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AA6B5F" w:rsidP="1005B2C5" w:rsidRDefault="00AA6B5F" w14:paraId="5023141B" w14:textId="533952F8">
            <w:pPr>
              <w:rPr>
                <w:b/>
                <w:bCs/>
                <w:lang w:val="lt-LT"/>
              </w:rPr>
            </w:pPr>
            <w:r w:rsidRPr="14C5B61F">
              <w:rPr>
                <w:b/>
                <w:bCs/>
                <w:lang w:val="lt-LT"/>
              </w:rPr>
              <w:t>IV.</w:t>
            </w:r>
          </w:p>
        </w:tc>
        <w:tc>
          <w:tcPr>
            <w:tcW w:w="13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624DE8" w:rsidR="00AA6B5F" w:rsidP="00624DE8" w:rsidRDefault="00AA6B5F" w14:paraId="562C75D1" w14:textId="07B37B5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2021 M. </w:t>
            </w:r>
            <w:r w:rsidRPr="1005B2C5">
              <w:rPr>
                <w:b/>
                <w:bCs/>
                <w:lang w:val="lt-LT"/>
              </w:rPr>
              <w:t>PRO</w:t>
            </w:r>
            <w:r>
              <w:rPr>
                <w:b/>
                <w:bCs/>
                <w:lang w:val="lt-LT"/>
              </w:rPr>
              <w:t>GRAMOS BIUDŽETAS</w:t>
            </w:r>
            <w:r w:rsidRPr="1005B2C5">
              <w:rPr>
                <w:b/>
                <w:bCs/>
                <w:lang w:val="lt-LT"/>
              </w:rPr>
              <w:t>:</w:t>
            </w:r>
            <w:r w:rsidRPr="1005B2C5">
              <w:rPr>
                <w:lang w:val="en-US"/>
              </w:rPr>
              <w:t> </w:t>
            </w:r>
          </w:p>
        </w:tc>
      </w:tr>
      <w:tr w:rsidRPr="00624DE8" w:rsidR="00744B97" w:rsidTr="387AE1C5" w14:paraId="0B832EE9" w14:textId="77777777">
        <w:trPr>
          <w:trHeight w:val="312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</w:tcPr>
          <w:p w:rsidRPr="14C5B61F" w:rsidR="00744B97" w:rsidP="1005B2C5" w:rsidRDefault="00744B97" w14:paraId="48F09F34" w14:textId="77777777">
            <w:pPr>
              <w:rPr>
                <w:b/>
                <w:bCs/>
                <w:lang w:val="lt-LT"/>
              </w:rPr>
            </w:pP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</w:tcPr>
          <w:p w:rsidRPr="1005B2C5" w:rsidR="00744B97" w:rsidP="000703B7" w:rsidRDefault="00963D59" w14:paraId="5218628F" w14:textId="76616FCC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Planuojamos išleisti lėšos, r</w:t>
            </w:r>
            <w:r w:rsidR="00744B97">
              <w:rPr>
                <w:lang w:val="lt-LT"/>
              </w:rPr>
              <w:t>ezervuot</w:t>
            </w:r>
            <w:r>
              <w:rPr>
                <w:lang w:val="lt-LT"/>
              </w:rPr>
              <w:t>os</w:t>
            </w:r>
            <w:r w:rsidR="00744B97">
              <w:rPr>
                <w:lang w:val="lt-LT"/>
              </w:rPr>
              <w:t xml:space="preserve"> pagal 2017</w:t>
            </w:r>
            <w:r w:rsidRPr="00624DE8" w:rsidR="00744B97">
              <w:rPr>
                <w:lang w:val="lt-LT"/>
              </w:rPr>
              <w:t>-2020 m. gautas paraiškas ir (ar) skirtą finansavimą  lėšų likutis</w:t>
            </w:r>
            <w:r w:rsidR="00744B97">
              <w:rPr>
                <w:lang w:val="lt-LT"/>
              </w:rPr>
              <w:t xml:space="preserve"> (2)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="00744B97" w:rsidP="0002295D" w:rsidRDefault="00744B97" w14:paraId="0C89EB88" w14:textId="4F006D9F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108,3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</w:tcPr>
          <w:p w:rsidR="00744B97" w:rsidP="0002295D" w:rsidRDefault="00744B97" w14:paraId="221D833F" w14:textId="748E847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108,3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</w:tcPr>
          <w:p w:rsidRPr="00624DE8" w:rsidR="00744B97" w:rsidP="00624DE8" w:rsidRDefault="00744B97" w14:paraId="6140BC43" w14:textId="77777777">
            <w:pPr>
              <w:rPr>
                <w:b/>
                <w:bCs/>
                <w:lang w:val="lt-LT"/>
              </w:rPr>
            </w:pPr>
          </w:p>
        </w:tc>
      </w:tr>
      <w:tr w:rsidRPr="00624DE8" w:rsidR="00744B97" w:rsidTr="387AE1C5" w14:paraId="067F1AEE" w14:textId="77777777">
        <w:trPr>
          <w:trHeight w:val="312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</w:tcPr>
          <w:p w:rsidR="00744B97" w:rsidP="1005B2C5" w:rsidRDefault="00744B97" w14:paraId="10059ECB" w14:textId="77777777">
            <w:pPr>
              <w:rPr>
                <w:b/>
                <w:bCs/>
                <w:lang w:val="lt-LT"/>
              </w:rPr>
            </w:pP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</w:tcPr>
          <w:p w:rsidRPr="1005B2C5" w:rsidR="00744B97" w:rsidP="000703B7" w:rsidRDefault="00744B97" w14:paraId="42A9970E" w14:textId="170B6EB3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IŠ VISO (1+2):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="00744B97" w:rsidP="0002295D" w:rsidRDefault="00744B97" w14:paraId="7F14CE99" w14:textId="2CA2972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269,9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shd w:val="clear" w:color="auto" w:fill="EAF1DD" w:themeFill="accent3" w:themeFillTint="33"/>
            <w:noWrap/>
            <w:tcMar/>
            <w:vAlign w:val="center"/>
          </w:tcPr>
          <w:p w:rsidR="00744B97" w:rsidP="0002295D" w:rsidRDefault="00744B97" w14:paraId="5C46AD9B" w14:textId="1A7DCC3D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269,9</w:t>
            </w:r>
          </w:p>
        </w:tc>
        <w:tc>
          <w:tcPr>
            <w:tcW w:w="5075" w:type="dxa"/>
            <w:shd w:val="clear" w:color="auto" w:fill="EAF1DD" w:themeFill="accent3" w:themeFillTint="33"/>
            <w:noWrap/>
            <w:tcMar/>
          </w:tcPr>
          <w:p w:rsidR="00744B97" w:rsidP="00624DE8" w:rsidRDefault="00744B97" w14:paraId="1E7EEE0D" w14:textId="77777777">
            <w:pPr>
              <w:rPr>
                <w:b/>
                <w:bCs/>
                <w:lang w:val="lt-LT"/>
              </w:rPr>
            </w:pPr>
          </w:p>
        </w:tc>
      </w:tr>
    </w:tbl>
    <w:p w:rsidR="00D34166" w:rsidRDefault="00D34166" w14:paraId="7DF4E37C" w14:textId="77777777"/>
    <w:sectPr w:rsidR="00D34166" w:rsidSect="00624DE8">
      <w:headerReference w:type="default" r:id="rId10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605A60A"/>
  <w15:commentEx w15:done="0" w15:paraId="4DBAC26F" w15:paraIdParent="0605A60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F96B73" w16cex:dateUtc="2021-03-18T08:01:37.969Z"/>
  <w16cex:commentExtensible w16cex:durableId="7A71210F" w16cex:dateUtc="2021-03-18T09:07:44.5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605A60A" w16cid:durableId="16F96B73"/>
  <w16cid:commentId w16cid:paraId="4DBAC26F" w16cid:durableId="7A7121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72" w:rsidP="00894447" w:rsidRDefault="00D67E72" w14:paraId="33657272" w14:textId="77777777">
      <w:pPr>
        <w:spacing w:after="0" w:line="240" w:lineRule="auto"/>
      </w:pPr>
      <w:r>
        <w:separator/>
      </w:r>
    </w:p>
  </w:endnote>
  <w:endnote w:type="continuationSeparator" w:id="0">
    <w:p w:rsidR="00D67E72" w:rsidP="00894447" w:rsidRDefault="00D67E72" w14:paraId="2FF08BF8" w14:textId="77777777">
      <w:pPr>
        <w:spacing w:after="0" w:line="240" w:lineRule="auto"/>
      </w:pPr>
      <w:r>
        <w:continuationSeparator/>
      </w:r>
    </w:p>
  </w:endnote>
  <w:endnote w:type="continuationNotice" w:id="1">
    <w:p w:rsidR="00D67E72" w:rsidRDefault="00D67E72" w14:paraId="53F72E4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72" w:rsidP="00894447" w:rsidRDefault="00D67E72" w14:paraId="1ED51F00" w14:textId="77777777">
      <w:pPr>
        <w:spacing w:after="0" w:line="240" w:lineRule="auto"/>
      </w:pPr>
      <w:r>
        <w:separator/>
      </w:r>
    </w:p>
  </w:footnote>
  <w:footnote w:type="continuationSeparator" w:id="0">
    <w:p w:rsidR="00D67E72" w:rsidP="00894447" w:rsidRDefault="00D67E72" w14:paraId="048E3E0F" w14:textId="77777777">
      <w:pPr>
        <w:spacing w:after="0" w:line="240" w:lineRule="auto"/>
      </w:pPr>
      <w:r>
        <w:continuationSeparator/>
      </w:r>
    </w:p>
  </w:footnote>
  <w:footnote w:type="continuationNotice" w:id="1">
    <w:p w:rsidR="00D67E72" w:rsidRDefault="00D67E72" w14:paraId="003B769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C0076" w:rsidR="00FE3879" w:rsidP="00894447" w:rsidRDefault="00FE3879" w14:paraId="3CDDD9A9" w14:textId="11BAEEB7">
    <w:pPr>
      <w:pStyle w:val="Header"/>
      <w:jc w:val="center"/>
      <w:rPr>
        <w:b/>
        <w:sz w:val="24"/>
        <w:szCs w:val="24"/>
        <w:lang w:val="lt-LT"/>
      </w:rPr>
    </w:pPr>
    <w:r w:rsidRPr="007C0076">
      <w:rPr>
        <w:b/>
        <w:sz w:val="24"/>
        <w:szCs w:val="24"/>
        <w:lang w:val="lt-LT"/>
      </w:rPr>
      <w:t>Papildoma informacija apie detalesnes finansavimo priemones</w:t>
    </w:r>
  </w:p>
  <w:p w:rsidRPr="00894447" w:rsidR="00FE3879" w:rsidP="00894447" w:rsidRDefault="00FE3879" w14:paraId="70E5D192" w14:textId="77777777">
    <w:pPr>
      <w:pStyle w:val="Header"/>
      <w:jc w:val="center"/>
      <w:rPr>
        <w:b/>
        <w:sz w:val="24"/>
        <w:szCs w:val="24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dirty"/>
  <w:trackRevisions w:val="false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A5"/>
    <w:rsid w:val="0002295D"/>
    <w:rsid w:val="000703B7"/>
    <w:rsid w:val="000E1247"/>
    <w:rsid w:val="00150C10"/>
    <w:rsid w:val="0017362D"/>
    <w:rsid w:val="00184CF7"/>
    <w:rsid w:val="00186F63"/>
    <w:rsid w:val="001925B4"/>
    <w:rsid w:val="00216CEC"/>
    <w:rsid w:val="003A6D9A"/>
    <w:rsid w:val="003B0DF7"/>
    <w:rsid w:val="003E42DF"/>
    <w:rsid w:val="003F029B"/>
    <w:rsid w:val="00434F26"/>
    <w:rsid w:val="004C6D5B"/>
    <w:rsid w:val="004D4507"/>
    <w:rsid w:val="005245A5"/>
    <w:rsid w:val="005B13C4"/>
    <w:rsid w:val="00624DE8"/>
    <w:rsid w:val="006B3BC5"/>
    <w:rsid w:val="00744B97"/>
    <w:rsid w:val="007C0076"/>
    <w:rsid w:val="00853189"/>
    <w:rsid w:val="00894447"/>
    <w:rsid w:val="008B69E1"/>
    <w:rsid w:val="008F4FD5"/>
    <w:rsid w:val="00963D59"/>
    <w:rsid w:val="009F7EDA"/>
    <w:rsid w:val="00A759AA"/>
    <w:rsid w:val="00A93047"/>
    <w:rsid w:val="00A95AB5"/>
    <w:rsid w:val="00AA6B5F"/>
    <w:rsid w:val="00B05201"/>
    <w:rsid w:val="00B33D5E"/>
    <w:rsid w:val="00B815D1"/>
    <w:rsid w:val="00B830AB"/>
    <w:rsid w:val="00BA6B3D"/>
    <w:rsid w:val="00C4229A"/>
    <w:rsid w:val="00C873D6"/>
    <w:rsid w:val="00D34166"/>
    <w:rsid w:val="00D4580B"/>
    <w:rsid w:val="00D67E72"/>
    <w:rsid w:val="00E20634"/>
    <w:rsid w:val="00E6389D"/>
    <w:rsid w:val="00E76DC6"/>
    <w:rsid w:val="00E95FEF"/>
    <w:rsid w:val="00F50C6E"/>
    <w:rsid w:val="00FE3879"/>
    <w:rsid w:val="018595FD"/>
    <w:rsid w:val="04FF43E9"/>
    <w:rsid w:val="1005B2C5"/>
    <w:rsid w:val="14C5B61F"/>
    <w:rsid w:val="16EF0033"/>
    <w:rsid w:val="16F7F295"/>
    <w:rsid w:val="1F3BB6EB"/>
    <w:rsid w:val="251A1CE1"/>
    <w:rsid w:val="27C21964"/>
    <w:rsid w:val="2BD1CA76"/>
    <w:rsid w:val="2C48056E"/>
    <w:rsid w:val="2D7C5307"/>
    <w:rsid w:val="301F17CE"/>
    <w:rsid w:val="387AE1C5"/>
    <w:rsid w:val="39AE796B"/>
    <w:rsid w:val="4340828A"/>
    <w:rsid w:val="47A3DAD4"/>
    <w:rsid w:val="636481A9"/>
    <w:rsid w:val="6680078C"/>
    <w:rsid w:val="66B0E3F7"/>
    <w:rsid w:val="6C0742B4"/>
    <w:rsid w:val="6DA0FED9"/>
    <w:rsid w:val="724D0EB6"/>
    <w:rsid w:val="73E5A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5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5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4DE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4447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4447"/>
  </w:style>
  <w:style w:type="paragraph" w:styleId="Footer">
    <w:name w:val="footer"/>
    <w:basedOn w:val="Normal"/>
    <w:link w:val="FooterChar"/>
    <w:uiPriority w:val="99"/>
    <w:unhideWhenUsed/>
    <w:rsid w:val="00894447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94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E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4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447"/>
  </w:style>
  <w:style w:type="paragraph" w:styleId="Footer">
    <w:name w:val="footer"/>
    <w:basedOn w:val="Normal"/>
    <w:link w:val="FooterChar"/>
    <w:uiPriority w:val="99"/>
    <w:unhideWhenUsed/>
    <w:rsid w:val="00894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52468dbe316c45a6" Target="commentsExtensible.xml"
                 Type="http://schemas.microsoft.com/office/2018/08/relationships/commentsExtensible"/>
   <Relationship Id="R578760a6b554457f" Target="commentsIds.xml"
                 Type="http://schemas.microsoft.com/office/2016/09/relationships/commentsIds"/>
   <Relationship Id="R8d5e7fc226cb4c8a" Target="people.xml"
                 Type="http://schemas.microsoft.com/office/2011/relationships/people"/>
   <Relationship Id="Rc26c9a42b29644a9" Target="commentsExtended.xml"
                 Type="http://schemas.microsoft.com/office/2011/relationships/commentsExtended"/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Lina Čeičytė</DisplayName>
        <AccountId>134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2" ma:contentTypeDescription="Create a new document." ma:contentTypeScope="" ma:versionID="d504bb43da5435a80c1cf7f187b1e5fe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1963b0d1b28f85d24f0a74f88b9502ba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48D92-5340-4160-B15F-9022200CC3F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67374D-8567-4E6D-8455-EF0EBCD61899}"/>
</file>

<file path=customXml/itemProps3.xml><?xml version="1.0" encoding="utf-8"?>
<ds:datastoreItem xmlns:ds="http://schemas.openxmlformats.org/officeDocument/2006/customXml" ds:itemID="{810FE2E4-882C-40BD-BB46-F5DA2257807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2021-03-21T15:08:00Z</dcterms:created>
  <dc:creator>Lina Čeičytė</dc:creator>
  <cp:lastModifiedBy>Vilija Augutavičienė</cp:lastModifiedBy>
  <cp:lastPrinted>2021-03-21T16:58:00Z</cp:lastPrinted>
  <dcterms:modified xsi:type="dcterms:W3CDTF">2021-03-30T12:41:32Z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