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224F" w:rsidRPr="00982D67" w:rsidRDefault="002A01DD" w:rsidP="007932C0">
      <w:pPr>
        <w:tabs>
          <w:tab w:val="center" w:pos="5102"/>
          <w:tab w:val="right" w:pos="10205"/>
        </w:tabs>
        <w:spacing w:after="0" w:line="240" w:lineRule="auto"/>
        <w:rPr>
          <w:rFonts w:eastAsia="Calibri" w:cs="Times New Roman"/>
          <w:b/>
          <w:szCs w:val="24"/>
        </w:rPr>
      </w:pPr>
      <w:r w:rsidRPr="00982D67">
        <w:rPr>
          <w:rFonts w:eastAsia="Calibri" w:cs="Times New Roman"/>
          <w:b/>
          <w:szCs w:val="24"/>
        </w:rPr>
        <w:tab/>
      </w:r>
      <w:r w:rsidR="006E224F" w:rsidRPr="00982D67">
        <w:rPr>
          <w:rFonts w:eastAsia="Calibri" w:cs="Times New Roman"/>
          <w:b/>
          <w:szCs w:val="24"/>
        </w:rPr>
        <w:t>PAŽYMA</w:t>
      </w:r>
      <w:r w:rsidRPr="00982D67">
        <w:rPr>
          <w:rFonts w:eastAsia="Calibri" w:cs="Times New Roman"/>
          <w:b/>
          <w:szCs w:val="24"/>
        </w:rPr>
        <w:tab/>
      </w:r>
    </w:p>
    <w:p w:rsidR="006E224F" w:rsidRPr="00982D67" w:rsidRDefault="00E07431" w:rsidP="007932C0">
      <w:pPr>
        <w:spacing w:after="0" w:line="240" w:lineRule="auto"/>
        <w:jc w:val="center"/>
        <w:rPr>
          <w:rFonts w:eastAsia="Calibri" w:cs="Times New Roman"/>
          <w:b/>
          <w:szCs w:val="24"/>
        </w:rPr>
      </w:pPr>
      <w:r w:rsidRPr="00982D67">
        <w:rPr>
          <w:rFonts w:eastAsia="Calibri" w:cs="Times New Roman"/>
          <w:b/>
          <w:szCs w:val="24"/>
        </w:rPr>
        <w:t>Dėl š. m. lapkričio</w:t>
      </w:r>
      <w:r w:rsidR="006F2118" w:rsidRPr="00982D67">
        <w:rPr>
          <w:rFonts w:eastAsia="Calibri" w:cs="Times New Roman"/>
          <w:b/>
          <w:szCs w:val="24"/>
        </w:rPr>
        <w:t xml:space="preserve"> </w:t>
      </w:r>
      <w:r w:rsidRPr="00982D67">
        <w:rPr>
          <w:rFonts w:eastAsia="Calibri" w:cs="Times New Roman"/>
          <w:b/>
          <w:szCs w:val="24"/>
          <w:lang w:val="en-US"/>
        </w:rPr>
        <w:t>4</w:t>
      </w:r>
      <w:r w:rsidR="006E224F" w:rsidRPr="00982D67">
        <w:rPr>
          <w:rFonts w:eastAsia="Calibri" w:cs="Times New Roman"/>
          <w:b/>
          <w:szCs w:val="24"/>
        </w:rPr>
        <w:t xml:space="preserve"> d. Ekonomikos ir finansų reikalų (ECOFIN) tarybo</w:t>
      </w:r>
      <w:r w:rsidR="00076A9E" w:rsidRPr="00982D67">
        <w:rPr>
          <w:rFonts w:eastAsia="Calibri" w:cs="Times New Roman"/>
          <w:b/>
          <w:szCs w:val="24"/>
        </w:rPr>
        <w:t>s vaizdo</w:t>
      </w:r>
      <w:r w:rsidR="003B2B69" w:rsidRPr="00982D67">
        <w:rPr>
          <w:rFonts w:eastAsia="Calibri" w:cs="Times New Roman"/>
          <w:b/>
          <w:szCs w:val="24"/>
        </w:rPr>
        <w:t xml:space="preserve"> konferencijoje</w:t>
      </w:r>
      <w:r w:rsidR="00723FC9" w:rsidRPr="00982D67">
        <w:rPr>
          <w:rFonts w:eastAsia="Calibri" w:cs="Times New Roman"/>
          <w:b/>
          <w:szCs w:val="24"/>
        </w:rPr>
        <w:t xml:space="preserve"> </w:t>
      </w:r>
      <w:r w:rsidR="006E224F" w:rsidRPr="00982D67">
        <w:rPr>
          <w:rFonts w:eastAsia="Calibri" w:cs="Times New Roman"/>
          <w:b/>
          <w:szCs w:val="24"/>
        </w:rPr>
        <w:t>svarstomų klausimų</w:t>
      </w:r>
    </w:p>
    <w:p w:rsidR="00D62032" w:rsidRPr="00982D67" w:rsidRDefault="00D62032" w:rsidP="007932C0">
      <w:pPr>
        <w:spacing w:after="0" w:line="240" w:lineRule="auto"/>
        <w:jc w:val="center"/>
        <w:rPr>
          <w:rFonts w:eastAsia="Calibri" w:cs="Times New Roman"/>
          <w:szCs w:val="24"/>
        </w:rPr>
      </w:pPr>
    </w:p>
    <w:p w:rsidR="005A1557" w:rsidRPr="00982D67" w:rsidRDefault="00917A03" w:rsidP="007932C0">
      <w:pPr>
        <w:pBdr>
          <w:top w:val="single" w:sz="4" w:space="1" w:color="auto"/>
          <w:left w:val="single" w:sz="4" w:space="4" w:color="auto"/>
          <w:bottom w:val="single" w:sz="4" w:space="0" w:color="auto"/>
          <w:right w:val="single" w:sz="4" w:space="4" w:color="auto"/>
        </w:pBdr>
        <w:shd w:val="clear" w:color="auto" w:fill="D9D9D9" w:themeFill="background1" w:themeFillShade="D9"/>
        <w:spacing w:after="0" w:line="240" w:lineRule="auto"/>
        <w:jc w:val="both"/>
        <w:rPr>
          <w:rFonts w:cs="Times New Roman"/>
          <w:i/>
          <w:iCs/>
          <w:szCs w:val="24"/>
        </w:rPr>
      </w:pPr>
      <w:r w:rsidRPr="00982D67">
        <w:rPr>
          <w:rFonts w:cs="Times New Roman"/>
          <w:b/>
          <w:iCs/>
          <w:szCs w:val="24"/>
        </w:rPr>
        <w:t>Neveiksnių paskolų veiksmų planas</w:t>
      </w:r>
      <w:r w:rsidR="0042242F" w:rsidRPr="00982D67">
        <w:rPr>
          <w:rFonts w:cs="Times New Roman"/>
          <w:b/>
          <w:iCs/>
          <w:szCs w:val="24"/>
        </w:rPr>
        <w:t xml:space="preserve"> </w:t>
      </w:r>
      <w:r w:rsidRPr="00982D67">
        <w:rPr>
          <w:rFonts w:cs="Times New Roman"/>
          <w:i/>
          <w:iCs/>
          <w:szCs w:val="24"/>
        </w:rPr>
        <w:t>(esama situacija</w:t>
      </w:r>
      <w:r w:rsidR="0042242F" w:rsidRPr="00982D67">
        <w:rPr>
          <w:rFonts w:cs="Times New Roman"/>
          <w:i/>
          <w:iCs/>
          <w:szCs w:val="24"/>
        </w:rPr>
        <w:t>)</w:t>
      </w:r>
    </w:p>
    <w:p w:rsidR="00E84901" w:rsidRDefault="00E84901" w:rsidP="004A7E04">
      <w:pPr>
        <w:spacing w:after="0" w:line="240" w:lineRule="auto"/>
        <w:ind w:left="-142"/>
        <w:jc w:val="both"/>
        <w:rPr>
          <w:rFonts w:eastAsia="Calibri" w:cs="Times New Roman"/>
          <w:b/>
          <w:szCs w:val="24"/>
          <w:u w:val="single"/>
        </w:rPr>
      </w:pPr>
    </w:p>
    <w:p w:rsidR="0042242F" w:rsidRPr="004A7E04" w:rsidRDefault="0042242F" w:rsidP="004A7E04">
      <w:pPr>
        <w:spacing w:after="0" w:line="240" w:lineRule="auto"/>
        <w:ind w:left="-142"/>
        <w:jc w:val="both"/>
        <w:rPr>
          <w:rFonts w:cs="Times New Roman"/>
          <w:szCs w:val="24"/>
        </w:rPr>
      </w:pPr>
      <w:r w:rsidRPr="00982D67">
        <w:rPr>
          <w:rFonts w:eastAsia="Calibri" w:cs="Times New Roman"/>
          <w:b/>
          <w:szCs w:val="24"/>
          <w:u w:val="single"/>
        </w:rPr>
        <w:t>Klausimo esmė.</w:t>
      </w:r>
      <w:r w:rsidR="005136DB" w:rsidRPr="00982D67">
        <w:rPr>
          <w:rFonts w:eastAsia="Calibri" w:cs="Times New Roman"/>
          <w:b/>
          <w:szCs w:val="24"/>
          <w:u w:val="single"/>
        </w:rPr>
        <w:t xml:space="preserve"> </w:t>
      </w:r>
      <w:r w:rsidR="00621E17" w:rsidRPr="00982D67">
        <w:rPr>
          <w:rFonts w:eastAsia="Calibri" w:cs="Times New Roman"/>
          <w:szCs w:val="24"/>
        </w:rPr>
        <w:t xml:space="preserve"> </w:t>
      </w:r>
      <w:r w:rsidR="005136DB" w:rsidRPr="00982D67">
        <w:rPr>
          <w:rFonts w:eastAsia="Calibri" w:cs="Times New Roman"/>
          <w:szCs w:val="24"/>
        </w:rPr>
        <w:t xml:space="preserve">COVID-19 pandemijos laikotarpyje patiriamas ekonominis nuosmukis ES ir didelis neapibrėžtumas sąlygoja paskolų kokybės prastėjimą, bei galimą neveiksnių paskolų (toliau – NPL) didėjimą. Europos bankai per ateinančius metus, manoma, gali patirti 800 milijardų eurų nuostolių. Be to, ekonomikos atsigavimas, dėl nevienodo pandemijos masto, visose Europos šalyse akivaizdžiai skirsis. Poveikis bankų turto kokybei, tikėtina, užtruks ilgiau nei po ankstesnių krizių. Pandemijos laikotarpiu užregistruotų neveiksnių paskolų skaičius nedaug kito dėka valstybės garantijų, bei finansinės paramos, tačiau pasibaigus paramai, manoma, kad paskolų rodikliai suprastės. Visa tai verčia  valstybes nares diskutuoti apie galimą naują veiksmų planą. Remdamasi 2017 m. Tarybos veiksmų planu, Europos Komisija pareiškė, kad bus reikalinga išsami strategija, orientuota į nemokumo ir skolų išieškojimo sistemų reformą, NPL antrinių rinkų plėtrą ir Nacionalinių turto valdymo įmonių (AMC) tinklo sukūrimą. </w:t>
      </w:r>
    </w:p>
    <w:p w:rsidR="00E84901" w:rsidRDefault="00E84901" w:rsidP="007932C0">
      <w:pPr>
        <w:spacing w:after="0" w:line="240" w:lineRule="auto"/>
        <w:ind w:left="-142"/>
        <w:jc w:val="both"/>
        <w:rPr>
          <w:rFonts w:eastAsia="Calibri" w:cs="Times New Roman"/>
          <w:b/>
          <w:szCs w:val="24"/>
          <w:u w:val="single"/>
        </w:rPr>
      </w:pPr>
    </w:p>
    <w:p w:rsidR="0042242F" w:rsidRPr="00982D67" w:rsidRDefault="0042242F" w:rsidP="007932C0">
      <w:pPr>
        <w:spacing w:after="0" w:line="240" w:lineRule="auto"/>
        <w:ind w:left="-142"/>
        <w:jc w:val="both"/>
        <w:rPr>
          <w:rFonts w:eastAsia="Calibri" w:cs="Times New Roman"/>
          <w:szCs w:val="24"/>
        </w:rPr>
      </w:pPr>
      <w:r w:rsidRPr="00982D67">
        <w:rPr>
          <w:rFonts w:eastAsia="Calibri" w:cs="Times New Roman"/>
          <w:b/>
          <w:szCs w:val="24"/>
          <w:u w:val="single"/>
        </w:rPr>
        <w:t>Lietuvos pozicija.</w:t>
      </w:r>
      <w:r w:rsidR="00621E17" w:rsidRPr="00982D67">
        <w:rPr>
          <w:rFonts w:eastAsia="Calibri" w:cs="Times New Roman"/>
          <w:b/>
          <w:szCs w:val="24"/>
          <w:u w:val="single"/>
        </w:rPr>
        <w:t xml:space="preserve"> </w:t>
      </w:r>
      <w:r w:rsidR="002243F3">
        <w:rPr>
          <w:rFonts w:eastAsia="Calibri" w:cs="Times New Roman"/>
          <w:szCs w:val="24"/>
        </w:rPr>
        <w:t>Pritariame Europos Komisijos N</w:t>
      </w:r>
      <w:r w:rsidR="003C602D">
        <w:rPr>
          <w:rFonts w:eastAsia="Calibri" w:cs="Times New Roman"/>
          <w:szCs w:val="24"/>
        </w:rPr>
        <w:t>PL maži</w:t>
      </w:r>
      <w:r w:rsidR="002243F3">
        <w:rPr>
          <w:rFonts w:eastAsia="Calibri" w:cs="Times New Roman"/>
          <w:szCs w:val="24"/>
        </w:rPr>
        <w:t xml:space="preserve">nimo iniciatyvoms. Pozicija bus konkretinama, gavus atitinkamus dokumentus. </w:t>
      </w:r>
    </w:p>
    <w:p w:rsidR="00D62032" w:rsidRPr="00982D67" w:rsidRDefault="00D62032" w:rsidP="007932C0">
      <w:pPr>
        <w:spacing w:after="0" w:line="240" w:lineRule="auto"/>
        <w:jc w:val="both"/>
        <w:rPr>
          <w:rFonts w:eastAsia="Calibri" w:cs="Times New Roman"/>
          <w:b/>
          <w:szCs w:val="24"/>
        </w:rPr>
      </w:pPr>
    </w:p>
    <w:p w:rsidR="00A613D7" w:rsidRPr="00982D67" w:rsidRDefault="00917A03" w:rsidP="007932C0">
      <w:pPr>
        <w:pBdr>
          <w:top w:val="single" w:sz="4" w:space="1" w:color="auto"/>
          <w:left w:val="single" w:sz="4" w:space="4" w:color="auto"/>
          <w:bottom w:val="single" w:sz="4" w:space="0" w:color="auto"/>
          <w:right w:val="single" w:sz="4" w:space="4" w:color="auto"/>
        </w:pBdr>
        <w:shd w:val="clear" w:color="auto" w:fill="D9D9D9" w:themeFill="background1" w:themeFillShade="D9"/>
        <w:spacing w:after="0" w:line="240" w:lineRule="auto"/>
        <w:jc w:val="both"/>
        <w:rPr>
          <w:rFonts w:cs="Times New Roman"/>
          <w:b/>
          <w:iCs/>
          <w:szCs w:val="24"/>
        </w:rPr>
      </w:pPr>
      <w:r w:rsidRPr="00982D67">
        <w:rPr>
          <w:rFonts w:cs="Times New Roman"/>
          <w:b/>
          <w:iCs/>
          <w:szCs w:val="24"/>
        </w:rPr>
        <w:t>Išvados dėl Komisijos veiksmų plano dėl kovos su pinigų plovimu ir terorizmo finansavimu</w:t>
      </w:r>
      <w:r w:rsidR="0042242F" w:rsidRPr="00982D67">
        <w:rPr>
          <w:rFonts w:cs="Times New Roman"/>
          <w:b/>
          <w:iCs/>
          <w:szCs w:val="24"/>
        </w:rPr>
        <w:t xml:space="preserve"> </w:t>
      </w:r>
      <w:r w:rsidRPr="00982D67">
        <w:rPr>
          <w:rFonts w:eastAsia="Calibri" w:cs="Times New Roman"/>
          <w:i/>
          <w:szCs w:val="24"/>
        </w:rPr>
        <w:t>(</w:t>
      </w:r>
      <w:r w:rsidR="0074051D" w:rsidRPr="00982D67">
        <w:rPr>
          <w:rFonts w:eastAsia="Calibri" w:cs="Times New Roman"/>
          <w:i/>
          <w:szCs w:val="24"/>
        </w:rPr>
        <w:t xml:space="preserve">pirmininkaujančios šalies informacija ir </w:t>
      </w:r>
      <w:r w:rsidRPr="00982D67">
        <w:rPr>
          <w:rFonts w:eastAsia="Calibri" w:cs="Times New Roman"/>
          <w:i/>
          <w:szCs w:val="24"/>
        </w:rPr>
        <w:t>apsikeitimas nuomonėmis)</w:t>
      </w:r>
    </w:p>
    <w:p w:rsidR="005136DB" w:rsidRPr="00982D67" w:rsidRDefault="0042242F" w:rsidP="005136DB">
      <w:pPr>
        <w:spacing w:after="0" w:line="240" w:lineRule="auto"/>
        <w:ind w:hanging="142"/>
        <w:jc w:val="both"/>
        <w:rPr>
          <w:rFonts w:cs="Times New Roman"/>
          <w:szCs w:val="24"/>
        </w:rPr>
      </w:pPr>
      <w:r w:rsidRPr="00982D67">
        <w:rPr>
          <w:rFonts w:eastAsia="Calibri" w:cs="Times New Roman"/>
          <w:b/>
          <w:szCs w:val="24"/>
          <w:u w:val="single"/>
        </w:rPr>
        <w:t>Klausimo esmė.</w:t>
      </w:r>
      <w:r w:rsidR="00BA2279" w:rsidRPr="00982D67">
        <w:rPr>
          <w:rFonts w:cs="Times New Roman"/>
          <w:szCs w:val="24"/>
        </w:rPr>
        <w:t xml:space="preserve"> </w:t>
      </w:r>
      <w:r w:rsidR="005136DB" w:rsidRPr="00982D67">
        <w:rPr>
          <w:rFonts w:cs="Times New Roman"/>
          <w:szCs w:val="24"/>
        </w:rPr>
        <w:t>T</w:t>
      </w:r>
      <w:r w:rsidR="0074051D" w:rsidRPr="00982D67">
        <w:rPr>
          <w:rFonts w:cs="Times New Roman"/>
          <w:szCs w:val="24"/>
        </w:rPr>
        <w:t>arybos išvadų projekte v</w:t>
      </w:r>
      <w:r w:rsidR="005136DB" w:rsidRPr="00982D67">
        <w:rPr>
          <w:rFonts w:cs="Times New Roman"/>
          <w:szCs w:val="24"/>
        </w:rPr>
        <w:t>alstybės narės raginamos kaip įmanoma skubiau perkelti į nacionalinę teisę visus ES pinigų plovimo prevenciją reglamentuojančius teisės aktus ir sustiprinti jų efektyvų įgyvendinimą.</w:t>
      </w:r>
    </w:p>
    <w:p w:rsidR="005136DB" w:rsidRPr="00982D67" w:rsidRDefault="005136DB" w:rsidP="005136DB">
      <w:pPr>
        <w:spacing w:after="0" w:line="240" w:lineRule="auto"/>
        <w:ind w:hanging="142"/>
        <w:jc w:val="both"/>
        <w:rPr>
          <w:rFonts w:cs="Times New Roman"/>
          <w:szCs w:val="24"/>
        </w:rPr>
      </w:pPr>
      <w:r w:rsidRPr="00982D67">
        <w:rPr>
          <w:rFonts w:cs="Times New Roman"/>
          <w:szCs w:val="24"/>
        </w:rPr>
        <w:t>Europos Komisija raginama:</w:t>
      </w:r>
    </w:p>
    <w:p w:rsidR="005136DB" w:rsidRPr="00982D67" w:rsidRDefault="005136DB" w:rsidP="005136DB">
      <w:pPr>
        <w:spacing w:after="0" w:line="240" w:lineRule="auto"/>
        <w:ind w:hanging="142"/>
        <w:jc w:val="both"/>
        <w:rPr>
          <w:rFonts w:cs="Times New Roman"/>
          <w:szCs w:val="24"/>
        </w:rPr>
      </w:pPr>
      <w:r w:rsidRPr="00982D67">
        <w:rPr>
          <w:rFonts w:cs="Times New Roman"/>
          <w:szCs w:val="24"/>
        </w:rPr>
        <w:t>•</w:t>
      </w:r>
      <w:r w:rsidRPr="00982D67">
        <w:rPr>
          <w:rFonts w:cs="Times New Roman"/>
          <w:szCs w:val="24"/>
        </w:rPr>
        <w:tab/>
        <w:t>sutelkti dėmesį į ES Reglamento  (</w:t>
      </w:r>
      <w:proofErr w:type="spellStart"/>
      <w:r w:rsidRPr="00982D67">
        <w:rPr>
          <w:rFonts w:cs="Times New Roman"/>
          <w:szCs w:val="24"/>
        </w:rPr>
        <w:t>single</w:t>
      </w:r>
      <w:proofErr w:type="spellEnd"/>
      <w:r w:rsidRPr="00982D67">
        <w:rPr>
          <w:rFonts w:cs="Times New Roman"/>
          <w:szCs w:val="24"/>
        </w:rPr>
        <w:t xml:space="preserve"> </w:t>
      </w:r>
      <w:proofErr w:type="spellStart"/>
      <w:r w:rsidRPr="00982D67">
        <w:rPr>
          <w:rFonts w:cs="Times New Roman"/>
          <w:szCs w:val="24"/>
        </w:rPr>
        <w:t>rulebook</w:t>
      </w:r>
      <w:proofErr w:type="spellEnd"/>
      <w:r w:rsidRPr="00982D67">
        <w:rPr>
          <w:rFonts w:cs="Times New Roman"/>
          <w:szCs w:val="24"/>
        </w:rPr>
        <w:t>) parengimą, ir, remiantis juo, įkurti ES pinigų plovimo ir teroristų finansavimo priežiūros instituciją ir Finansinės žvalgybos padalinių (FIU) koordinavimo ir pagalbos mechanizmą.</w:t>
      </w:r>
    </w:p>
    <w:p w:rsidR="005136DB" w:rsidRPr="00D52069" w:rsidRDefault="005136DB" w:rsidP="005136DB">
      <w:pPr>
        <w:spacing w:after="0" w:line="240" w:lineRule="auto"/>
        <w:ind w:hanging="142"/>
        <w:jc w:val="both"/>
        <w:rPr>
          <w:rFonts w:cs="Times New Roman"/>
          <w:i/>
          <w:szCs w:val="24"/>
        </w:rPr>
      </w:pPr>
      <w:r w:rsidRPr="00D52069">
        <w:rPr>
          <w:rFonts w:cs="Times New Roman"/>
          <w:b/>
          <w:szCs w:val="24"/>
        </w:rPr>
        <w:t xml:space="preserve">Dėl ES bendrų taisyklių sąvado </w:t>
      </w:r>
      <w:r w:rsidRPr="00D52069">
        <w:rPr>
          <w:rFonts w:cs="Times New Roman"/>
          <w:i/>
          <w:szCs w:val="24"/>
        </w:rPr>
        <w:t>(</w:t>
      </w:r>
      <w:proofErr w:type="spellStart"/>
      <w:r w:rsidRPr="00D52069">
        <w:rPr>
          <w:rFonts w:cs="Times New Roman"/>
          <w:i/>
          <w:szCs w:val="24"/>
        </w:rPr>
        <w:t>single</w:t>
      </w:r>
      <w:proofErr w:type="spellEnd"/>
      <w:r w:rsidRPr="00D52069">
        <w:rPr>
          <w:rFonts w:cs="Times New Roman"/>
          <w:i/>
          <w:szCs w:val="24"/>
        </w:rPr>
        <w:t xml:space="preserve"> </w:t>
      </w:r>
      <w:proofErr w:type="spellStart"/>
      <w:r w:rsidRPr="00D52069">
        <w:rPr>
          <w:rFonts w:cs="Times New Roman"/>
          <w:i/>
          <w:szCs w:val="24"/>
        </w:rPr>
        <w:t>rulebook</w:t>
      </w:r>
      <w:proofErr w:type="spellEnd"/>
      <w:r w:rsidRPr="00D52069">
        <w:rPr>
          <w:rFonts w:cs="Times New Roman"/>
          <w:i/>
          <w:szCs w:val="24"/>
        </w:rPr>
        <w:t>)</w:t>
      </w:r>
    </w:p>
    <w:p w:rsidR="005136DB" w:rsidRPr="00982D67" w:rsidRDefault="005136DB" w:rsidP="005136DB">
      <w:pPr>
        <w:spacing w:after="0" w:line="240" w:lineRule="auto"/>
        <w:ind w:hanging="142"/>
        <w:jc w:val="both"/>
        <w:rPr>
          <w:rFonts w:cs="Times New Roman"/>
          <w:szCs w:val="24"/>
        </w:rPr>
      </w:pPr>
      <w:r w:rsidRPr="00982D67">
        <w:rPr>
          <w:rFonts w:cs="Times New Roman"/>
          <w:szCs w:val="24"/>
        </w:rPr>
        <w:t>•</w:t>
      </w:r>
      <w:r w:rsidRPr="00982D67">
        <w:rPr>
          <w:rFonts w:cs="Times New Roman"/>
          <w:szCs w:val="24"/>
        </w:rPr>
        <w:tab/>
        <w:t>pateikti teisėkūros pasiūlymą (dėl reglamento), kuris būtų pagrįstas atitinkamos rizikos ir poveikio vertinimu, siekiant tolesnio teisinio suderinamumo, atsižvelgiant į išskirtas sritis (iš esmės detaliai įvardijamos visos pagrindinės sritys). Sritys turėtų būti koreguojamos, atsižvelgiant į poveikio vertinime išskirtus prioritetus, svarbą ir aktualumą;</w:t>
      </w:r>
    </w:p>
    <w:p w:rsidR="005136DB" w:rsidRPr="00982D67" w:rsidRDefault="005136DB" w:rsidP="005136DB">
      <w:pPr>
        <w:spacing w:after="0" w:line="240" w:lineRule="auto"/>
        <w:ind w:hanging="142"/>
        <w:jc w:val="both"/>
        <w:rPr>
          <w:rFonts w:cs="Times New Roman"/>
          <w:szCs w:val="24"/>
        </w:rPr>
      </w:pPr>
      <w:r w:rsidRPr="00982D67">
        <w:rPr>
          <w:rFonts w:cs="Times New Roman"/>
          <w:szCs w:val="24"/>
        </w:rPr>
        <w:t>•</w:t>
      </w:r>
      <w:r w:rsidRPr="00982D67">
        <w:rPr>
          <w:rFonts w:cs="Times New Roman"/>
          <w:szCs w:val="24"/>
        </w:rPr>
        <w:tab/>
        <w:t>nustatyti unifikuotas klientų patikrinimo procedūras, susijusias su kliento identifikavimu ir kliento tapatybės, jo verslo santykių pobūdžio ir tikslo nustatymu, tikrinimu ir nuolatiniu verslo santykių stebėjimu;</w:t>
      </w:r>
    </w:p>
    <w:p w:rsidR="005136DB" w:rsidRPr="00982D67" w:rsidRDefault="005136DB" w:rsidP="005136DB">
      <w:pPr>
        <w:spacing w:after="0" w:line="240" w:lineRule="auto"/>
        <w:ind w:hanging="142"/>
        <w:jc w:val="both"/>
        <w:rPr>
          <w:rFonts w:cs="Times New Roman"/>
          <w:szCs w:val="24"/>
        </w:rPr>
      </w:pPr>
      <w:r w:rsidRPr="00982D67">
        <w:rPr>
          <w:rFonts w:cs="Times New Roman"/>
          <w:szCs w:val="24"/>
        </w:rPr>
        <w:t>•</w:t>
      </w:r>
      <w:r w:rsidRPr="00982D67">
        <w:rPr>
          <w:rFonts w:cs="Times New Roman"/>
          <w:szCs w:val="24"/>
        </w:rPr>
        <w:tab/>
        <w:t xml:space="preserve">kartu su Europos duomenų apsaugos valdyba (EDPB) pateikti paaiškinimus, kaip bus suderinamas pinigų plovimo ir teroristų finansavimo prevencijos reglamentavimas su taikomais duomenų apsaugos įstatymais, visų pirma su BDAR, siekiant aiškumo dėl duomenų ir informacijos keitimosi tarpusavyje tarp įpareigotųjų subjektų, o taip pat įpareigotųjų subjektų ir kompetentingų institucijų; </w:t>
      </w:r>
    </w:p>
    <w:p w:rsidR="005136DB" w:rsidRPr="00982D67" w:rsidRDefault="005136DB" w:rsidP="005136DB">
      <w:pPr>
        <w:spacing w:after="0" w:line="240" w:lineRule="auto"/>
        <w:ind w:hanging="142"/>
        <w:jc w:val="both"/>
        <w:rPr>
          <w:rFonts w:cs="Times New Roman"/>
          <w:szCs w:val="24"/>
        </w:rPr>
      </w:pPr>
      <w:r w:rsidRPr="00982D67">
        <w:rPr>
          <w:rFonts w:cs="Times New Roman"/>
          <w:szCs w:val="24"/>
        </w:rPr>
        <w:t>•</w:t>
      </w:r>
      <w:r w:rsidRPr="00982D67">
        <w:rPr>
          <w:rFonts w:cs="Times New Roman"/>
          <w:szCs w:val="24"/>
        </w:rPr>
        <w:tab/>
        <w:t>pateikti pasiūlymus dėl atitinkamų teisės aktų, ypač finansų sektoriaus, pakeitimų poreikio, siekiant užtikrinti teisinės sistemos nuoseklumą, sustiprinti institucijų bendradarbiavimą ir keitimąsi informacija.</w:t>
      </w:r>
    </w:p>
    <w:p w:rsidR="005136DB" w:rsidRPr="00D52069" w:rsidRDefault="005136DB" w:rsidP="005136DB">
      <w:pPr>
        <w:spacing w:after="0" w:line="240" w:lineRule="auto"/>
        <w:ind w:hanging="142"/>
        <w:jc w:val="both"/>
        <w:rPr>
          <w:rFonts w:cs="Times New Roman"/>
          <w:b/>
          <w:szCs w:val="24"/>
        </w:rPr>
      </w:pPr>
      <w:r w:rsidRPr="00D52069">
        <w:rPr>
          <w:rFonts w:cs="Times New Roman"/>
          <w:b/>
          <w:szCs w:val="24"/>
        </w:rPr>
        <w:t>Dėl ES lygmens priežiūros</w:t>
      </w:r>
    </w:p>
    <w:p w:rsidR="005136DB" w:rsidRPr="00982D67" w:rsidRDefault="005136DB" w:rsidP="005136DB">
      <w:pPr>
        <w:spacing w:after="0" w:line="240" w:lineRule="auto"/>
        <w:ind w:hanging="142"/>
        <w:jc w:val="both"/>
        <w:rPr>
          <w:rFonts w:cs="Times New Roman"/>
          <w:szCs w:val="24"/>
        </w:rPr>
      </w:pPr>
      <w:r w:rsidRPr="00982D67">
        <w:rPr>
          <w:rFonts w:cs="Times New Roman"/>
          <w:szCs w:val="24"/>
        </w:rPr>
        <w:t>•</w:t>
      </w:r>
      <w:r w:rsidRPr="00982D67">
        <w:rPr>
          <w:rFonts w:cs="Times New Roman"/>
          <w:szCs w:val="24"/>
        </w:rPr>
        <w:tab/>
        <w:t xml:space="preserve">užtikrinti nepriklausomą/savarankišką struktūrą turinčios ES priežiūros institucijos veikimą ir aprūpinti ją kompetencijomis, kurios suteikiamos atsižvelgiant į atsakomybę prižiūrėti pasirinktą didelės ML/TF rizikos įpareigotųjų subjektų skaičių, taip pat imtis </w:t>
      </w:r>
      <w:proofErr w:type="spellStart"/>
      <w:r w:rsidRPr="00982D67">
        <w:rPr>
          <w:rFonts w:cs="Times New Roman"/>
          <w:szCs w:val="24"/>
        </w:rPr>
        <w:t>ad</w:t>
      </w:r>
      <w:proofErr w:type="spellEnd"/>
      <w:r w:rsidRPr="00982D67">
        <w:rPr>
          <w:rFonts w:cs="Times New Roman"/>
          <w:szCs w:val="24"/>
        </w:rPr>
        <w:t xml:space="preserve"> </w:t>
      </w:r>
      <w:proofErr w:type="spellStart"/>
      <w:r w:rsidRPr="00982D67">
        <w:rPr>
          <w:rFonts w:cs="Times New Roman"/>
          <w:szCs w:val="24"/>
        </w:rPr>
        <w:t>hoc</w:t>
      </w:r>
      <w:proofErr w:type="spellEnd"/>
      <w:r w:rsidRPr="00982D67">
        <w:rPr>
          <w:rFonts w:cs="Times New Roman"/>
          <w:szCs w:val="24"/>
        </w:rPr>
        <w:t xml:space="preserve"> veiksmų ir, aiškiai apibrėžtais atvejais, kai nacionalinės priežiūros institucijos negali užtikrinti tinkamos priežiūros ir reikalavimų laikymosi, perimti nacionalinės priežiūros institucijos vykdomos priežiūros funkcijas. Be to, nustatyti būdingos rizikos vertinimo kriterijus, kuriais remiantis būtų vertinama ar rizika pagrįsta priežiūra ES lygiu galėtų būti vykdoma efektyviau nei nacionaliniu lygmeniu.</w:t>
      </w:r>
    </w:p>
    <w:p w:rsidR="005136DB" w:rsidRPr="00982D67" w:rsidRDefault="005136DB" w:rsidP="005136DB">
      <w:pPr>
        <w:spacing w:after="0" w:line="240" w:lineRule="auto"/>
        <w:ind w:hanging="142"/>
        <w:jc w:val="both"/>
        <w:rPr>
          <w:rFonts w:cs="Times New Roman"/>
          <w:szCs w:val="24"/>
        </w:rPr>
      </w:pPr>
      <w:r w:rsidRPr="00982D67">
        <w:rPr>
          <w:rFonts w:cs="Times New Roman"/>
          <w:szCs w:val="24"/>
        </w:rPr>
        <w:lastRenderedPageBreak/>
        <w:t>•</w:t>
      </w:r>
      <w:r w:rsidRPr="00982D67">
        <w:rPr>
          <w:rFonts w:cs="Times New Roman"/>
          <w:szCs w:val="24"/>
        </w:rPr>
        <w:tab/>
        <w:t xml:space="preserve">užtikrinti, kad ES priežiūros institucija būtų visiškai integruota į bendradarbiavimo tarp visų susijusių institucijų ES ir nacionaliniu lygiu struktūrą, bei atliktų mediatoriaus vaidmenį ginčuose tarp perduodančios ir gaunančios informaciją priežiūros institucijų. </w:t>
      </w:r>
    </w:p>
    <w:p w:rsidR="005136DB" w:rsidRPr="00982D67" w:rsidRDefault="005136DB" w:rsidP="005136DB">
      <w:pPr>
        <w:spacing w:after="0" w:line="240" w:lineRule="auto"/>
        <w:ind w:hanging="142"/>
        <w:jc w:val="both"/>
        <w:rPr>
          <w:rFonts w:cs="Times New Roman"/>
          <w:szCs w:val="24"/>
        </w:rPr>
      </w:pPr>
      <w:r w:rsidRPr="00982D67">
        <w:rPr>
          <w:rFonts w:cs="Times New Roman"/>
          <w:szCs w:val="24"/>
        </w:rPr>
        <w:t>•</w:t>
      </w:r>
      <w:r w:rsidRPr="00982D67">
        <w:rPr>
          <w:rFonts w:cs="Times New Roman"/>
          <w:szCs w:val="24"/>
        </w:rPr>
        <w:tab/>
        <w:t>sutelkti dėmesį į finansinio sektoriaus teisinio reglamentavimo stiprinimą, tačiau tuo pat metu skatinti priežiūros konvergenciją, didinant ML/TF priemonių veiksmingumą nefinansiniame sektoriuje, turint omenyje, kad nefinansinį sektorių sudaro daugybė profesijų, kurių taikymo sritis, teisiniai profesiniai reikalavimai ir licencijavimo kriterijai nėra suderinti.</w:t>
      </w:r>
    </w:p>
    <w:p w:rsidR="005136DB" w:rsidRPr="00D52069" w:rsidRDefault="005136DB" w:rsidP="005136DB">
      <w:pPr>
        <w:spacing w:after="0" w:line="240" w:lineRule="auto"/>
        <w:ind w:hanging="142"/>
        <w:jc w:val="both"/>
        <w:rPr>
          <w:rFonts w:cs="Times New Roman"/>
          <w:b/>
          <w:szCs w:val="24"/>
        </w:rPr>
      </w:pPr>
      <w:r w:rsidRPr="00D52069">
        <w:rPr>
          <w:rFonts w:cs="Times New Roman"/>
          <w:b/>
          <w:szCs w:val="24"/>
        </w:rPr>
        <w:t>Dėl bendradarbiavimo tarp AML/CTF priežiūros institucijų</w:t>
      </w:r>
    </w:p>
    <w:p w:rsidR="005136DB" w:rsidRPr="00982D67" w:rsidRDefault="005136DB" w:rsidP="005136DB">
      <w:pPr>
        <w:spacing w:after="0" w:line="240" w:lineRule="auto"/>
        <w:ind w:hanging="142"/>
        <w:jc w:val="both"/>
        <w:rPr>
          <w:rFonts w:cs="Times New Roman"/>
          <w:szCs w:val="24"/>
        </w:rPr>
      </w:pPr>
      <w:r w:rsidRPr="00982D67">
        <w:rPr>
          <w:rFonts w:cs="Times New Roman"/>
          <w:szCs w:val="24"/>
        </w:rPr>
        <w:t>•</w:t>
      </w:r>
      <w:r w:rsidRPr="00982D67">
        <w:rPr>
          <w:rFonts w:cs="Times New Roman"/>
          <w:szCs w:val="24"/>
        </w:rPr>
        <w:tab/>
        <w:t>sukurti FIU koordinavimo mechanizmą, kurio forma priklausytų nuo atliekamų funkcijų ir veiklos, numatant nuolatinius darbuotojus ir būsimo mechanizmo biudžetą, taip pat suteikti įgaliojimus rengti gaires, procedūras ir, jei reikia, priimti privalomai taikomas formas ir/ar šablonus, glaudžiai bendradarbiaujant su visais FIU;</w:t>
      </w:r>
    </w:p>
    <w:p w:rsidR="005136DB" w:rsidRPr="00982D67" w:rsidRDefault="005136DB" w:rsidP="005136DB">
      <w:pPr>
        <w:spacing w:after="0" w:line="240" w:lineRule="auto"/>
        <w:ind w:hanging="142"/>
        <w:jc w:val="both"/>
        <w:rPr>
          <w:rFonts w:cs="Times New Roman"/>
          <w:szCs w:val="24"/>
        </w:rPr>
      </w:pPr>
      <w:r w:rsidRPr="00982D67">
        <w:rPr>
          <w:rFonts w:cs="Times New Roman"/>
          <w:szCs w:val="24"/>
        </w:rPr>
        <w:t>•</w:t>
      </w:r>
      <w:r w:rsidRPr="00982D67">
        <w:rPr>
          <w:rFonts w:cs="Times New Roman"/>
          <w:szCs w:val="24"/>
        </w:rPr>
        <w:tab/>
        <w:t>pateikti išaiškinimą dėl duomenų apsaugos nuostatų, kad būtų užtikrintas aukštas duomenų apsaugos lygis keičiantis informacija tarp FIU ir trečiųjų šalių.</w:t>
      </w:r>
    </w:p>
    <w:p w:rsidR="00BA2279" w:rsidRPr="004A7E04" w:rsidRDefault="005136DB" w:rsidP="004A7E04">
      <w:pPr>
        <w:spacing w:after="0" w:line="240" w:lineRule="auto"/>
        <w:ind w:hanging="142"/>
        <w:jc w:val="both"/>
        <w:rPr>
          <w:rFonts w:eastAsia="Calibri" w:cs="Times New Roman"/>
          <w:szCs w:val="24"/>
          <w:u w:val="single"/>
        </w:rPr>
      </w:pPr>
      <w:r w:rsidRPr="00982D67">
        <w:rPr>
          <w:rFonts w:cs="Times New Roman"/>
          <w:szCs w:val="24"/>
        </w:rPr>
        <w:t>•</w:t>
      </w:r>
      <w:r w:rsidRPr="00982D67">
        <w:rPr>
          <w:rFonts w:cs="Times New Roman"/>
          <w:szCs w:val="24"/>
        </w:rPr>
        <w:tab/>
        <w:t>atsižvelgiant į VN vykstančias reformas, ypač susijusias su duomenų apsaugos reikalavimų taikymu ir jų integravimu į AML/CTF reglamentavimą, laiku pateikti gaires dėl viešojo ir privataus sektorių partnerystės keičiantis duomenimis ir informacija vidaus rinkoje.</w:t>
      </w:r>
    </w:p>
    <w:p w:rsidR="00E84901" w:rsidRDefault="00E84901" w:rsidP="00D52069">
      <w:pPr>
        <w:spacing w:after="0" w:line="240" w:lineRule="auto"/>
        <w:ind w:left="-142"/>
        <w:jc w:val="both"/>
        <w:rPr>
          <w:rFonts w:eastAsia="Calibri" w:cs="Times New Roman"/>
          <w:b/>
          <w:szCs w:val="24"/>
          <w:u w:val="single"/>
        </w:rPr>
      </w:pPr>
    </w:p>
    <w:p w:rsidR="000A3B2A" w:rsidRPr="00D52069" w:rsidRDefault="0042242F" w:rsidP="00D52069">
      <w:pPr>
        <w:spacing w:after="0" w:line="240" w:lineRule="auto"/>
        <w:ind w:left="-142"/>
        <w:jc w:val="both"/>
        <w:rPr>
          <w:rFonts w:cs="Times New Roman"/>
          <w:color w:val="000000" w:themeColor="text1"/>
          <w:szCs w:val="24"/>
          <w:lang w:eastAsia="lt-LT"/>
        </w:rPr>
      </w:pPr>
      <w:r w:rsidRPr="00982D67">
        <w:rPr>
          <w:rFonts w:eastAsia="Calibri" w:cs="Times New Roman"/>
          <w:b/>
          <w:szCs w:val="24"/>
          <w:u w:val="single"/>
        </w:rPr>
        <w:t>Lietuvos pozicija.</w:t>
      </w:r>
      <w:r w:rsidR="00D52069" w:rsidRPr="00D52069">
        <w:t xml:space="preserve"> </w:t>
      </w:r>
      <w:r w:rsidR="002243F3">
        <w:t xml:space="preserve">Pritariame Tarybos išvadų projektui. </w:t>
      </w:r>
      <w:r w:rsidR="00D52069" w:rsidRPr="00D52069">
        <w:rPr>
          <w:rFonts w:cs="Times New Roman"/>
          <w:color w:val="000000" w:themeColor="text1"/>
          <w:szCs w:val="24"/>
          <w:lang w:eastAsia="lt-LT"/>
        </w:rPr>
        <w:t>Remiame iniciatyvas ir pastangas, skirtas stiprinti ES ir jos narių pinigų plovimo ir teroristų f</w:t>
      </w:r>
      <w:r w:rsidR="00D52069">
        <w:rPr>
          <w:rFonts w:cs="Times New Roman"/>
          <w:color w:val="000000" w:themeColor="text1"/>
          <w:szCs w:val="24"/>
          <w:lang w:eastAsia="lt-LT"/>
        </w:rPr>
        <w:t xml:space="preserve">inansavimo prevencijos sistemą. </w:t>
      </w:r>
      <w:r w:rsidR="00D52069" w:rsidRPr="00D52069">
        <w:rPr>
          <w:rFonts w:cs="Times New Roman"/>
          <w:color w:val="000000" w:themeColor="text1"/>
          <w:szCs w:val="24"/>
          <w:lang w:eastAsia="lt-LT"/>
        </w:rPr>
        <w:t>Pasisakome už priimamų sprendimų eiliškumą, t.y., pirmiau parengiamas ES bendrų taisyklių sąvadas – Reglamentas (</w:t>
      </w:r>
      <w:proofErr w:type="spellStart"/>
      <w:r w:rsidR="00D52069" w:rsidRPr="00D52069">
        <w:rPr>
          <w:rFonts w:cs="Times New Roman"/>
          <w:color w:val="000000" w:themeColor="text1"/>
          <w:szCs w:val="24"/>
          <w:lang w:eastAsia="lt-LT"/>
        </w:rPr>
        <w:t>ang</w:t>
      </w:r>
      <w:proofErr w:type="spellEnd"/>
      <w:r w:rsidR="00D52069" w:rsidRPr="00D52069">
        <w:rPr>
          <w:rFonts w:cs="Times New Roman"/>
          <w:color w:val="000000" w:themeColor="text1"/>
          <w:szCs w:val="24"/>
          <w:lang w:eastAsia="lt-LT"/>
        </w:rPr>
        <w:t xml:space="preserve">. </w:t>
      </w:r>
      <w:proofErr w:type="spellStart"/>
      <w:r w:rsidR="00D52069" w:rsidRPr="00D52069">
        <w:rPr>
          <w:rFonts w:cs="Times New Roman"/>
          <w:color w:val="000000" w:themeColor="text1"/>
          <w:szCs w:val="24"/>
          <w:lang w:eastAsia="lt-LT"/>
        </w:rPr>
        <w:t>Single</w:t>
      </w:r>
      <w:proofErr w:type="spellEnd"/>
      <w:r w:rsidR="00D52069" w:rsidRPr="00D52069">
        <w:rPr>
          <w:rFonts w:cs="Times New Roman"/>
          <w:color w:val="000000" w:themeColor="text1"/>
          <w:szCs w:val="24"/>
          <w:lang w:eastAsia="lt-LT"/>
        </w:rPr>
        <w:t xml:space="preserve"> </w:t>
      </w:r>
      <w:proofErr w:type="spellStart"/>
      <w:r w:rsidR="00D52069" w:rsidRPr="00D52069">
        <w:rPr>
          <w:rFonts w:cs="Times New Roman"/>
          <w:color w:val="000000" w:themeColor="text1"/>
          <w:szCs w:val="24"/>
          <w:lang w:eastAsia="lt-LT"/>
        </w:rPr>
        <w:t>rulebook</w:t>
      </w:r>
      <w:proofErr w:type="spellEnd"/>
      <w:r w:rsidR="00D52069" w:rsidRPr="00D52069">
        <w:rPr>
          <w:rFonts w:cs="Times New Roman"/>
          <w:color w:val="000000" w:themeColor="text1"/>
          <w:szCs w:val="24"/>
          <w:lang w:eastAsia="lt-LT"/>
        </w:rPr>
        <w:t xml:space="preserve">), ir tik tada sprendžiama dėl ES priežiūros institucijai pavedamų atlikti funkcijų. Toks eiliškumas užtikrintų visapusišką ir nuoseklų požiūrį ir situacijos vertinimą.  </w:t>
      </w:r>
    </w:p>
    <w:p w:rsidR="00BC6C3E" w:rsidRPr="00982D67" w:rsidRDefault="00BC6C3E" w:rsidP="007932C0">
      <w:pPr>
        <w:spacing w:after="0" w:line="240" w:lineRule="auto"/>
        <w:ind w:left="-142"/>
        <w:contextualSpacing/>
        <w:jc w:val="both"/>
        <w:rPr>
          <w:rFonts w:eastAsia="Times New Roman" w:cs="Times New Roman"/>
          <w:color w:val="000000"/>
          <w:szCs w:val="24"/>
          <w:lang w:eastAsia="lt-LT"/>
        </w:rPr>
      </w:pPr>
    </w:p>
    <w:p w:rsidR="0074051D" w:rsidRPr="00982D67" w:rsidRDefault="00917A03" w:rsidP="007932C0">
      <w:pPr>
        <w:pBdr>
          <w:top w:val="single" w:sz="4" w:space="1" w:color="auto"/>
          <w:left w:val="single" w:sz="4" w:space="4" w:color="auto"/>
          <w:bottom w:val="single" w:sz="4" w:space="0" w:color="auto"/>
          <w:right w:val="single" w:sz="4" w:space="4" w:color="auto"/>
        </w:pBdr>
        <w:shd w:val="clear" w:color="auto" w:fill="D9D9D9" w:themeFill="background1" w:themeFillShade="D9"/>
        <w:spacing w:after="0" w:line="240" w:lineRule="auto"/>
        <w:ind w:left="-142"/>
        <w:jc w:val="both"/>
        <w:rPr>
          <w:rFonts w:eastAsia="Calibri" w:cs="Times New Roman"/>
          <w:b/>
          <w:szCs w:val="24"/>
        </w:rPr>
      </w:pPr>
      <w:r w:rsidRPr="00982D67">
        <w:rPr>
          <w:rFonts w:eastAsia="Calibri" w:cs="Times New Roman"/>
          <w:b/>
          <w:szCs w:val="24"/>
        </w:rPr>
        <w:t xml:space="preserve">Europos semestras </w:t>
      </w:r>
    </w:p>
    <w:p w:rsidR="0074051D" w:rsidRPr="00982D67" w:rsidRDefault="0074051D" w:rsidP="007932C0">
      <w:pPr>
        <w:pBdr>
          <w:top w:val="single" w:sz="4" w:space="1" w:color="auto"/>
          <w:left w:val="single" w:sz="4" w:space="4" w:color="auto"/>
          <w:bottom w:val="single" w:sz="4" w:space="0" w:color="auto"/>
          <w:right w:val="single" w:sz="4" w:space="4" w:color="auto"/>
        </w:pBdr>
        <w:shd w:val="clear" w:color="auto" w:fill="D9D9D9" w:themeFill="background1" w:themeFillShade="D9"/>
        <w:spacing w:after="0" w:line="240" w:lineRule="auto"/>
        <w:ind w:left="-142"/>
        <w:jc w:val="both"/>
        <w:rPr>
          <w:rFonts w:eastAsia="Calibri" w:cs="Times New Roman"/>
          <w:b/>
          <w:szCs w:val="24"/>
        </w:rPr>
      </w:pPr>
      <w:r w:rsidRPr="00982D67">
        <w:rPr>
          <w:rFonts w:eastAsia="Calibri" w:cs="Times New Roman"/>
          <w:b/>
          <w:szCs w:val="24"/>
        </w:rPr>
        <w:t xml:space="preserve">a) Išvados dėl Europos Audito rūmų specialiosios ataskaitos </w:t>
      </w:r>
      <w:r w:rsidR="009D63C7" w:rsidRPr="00982D67">
        <w:rPr>
          <w:rFonts w:eastAsia="Calibri" w:cs="Times New Roman"/>
          <w:b/>
          <w:szCs w:val="24"/>
        </w:rPr>
        <w:t>dėl</w:t>
      </w:r>
      <w:r w:rsidRPr="00982D67">
        <w:rPr>
          <w:rFonts w:eastAsia="Calibri" w:cs="Times New Roman"/>
          <w:b/>
          <w:szCs w:val="24"/>
        </w:rPr>
        <w:t xml:space="preserve"> Europos Semestro </w:t>
      </w:r>
    </w:p>
    <w:p w:rsidR="00DB79E7" w:rsidRPr="00982D67" w:rsidRDefault="0074051D" w:rsidP="007932C0">
      <w:pPr>
        <w:pBdr>
          <w:top w:val="single" w:sz="4" w:space="1" w:color="auto"/>
          <w:left w:val="single" w:sz="4" w:space="4" w:color="auto"/>
          <w:bottom w:val="single" w:sz="4" w:space="0" w:color="auto"/>
          <w:right w:val="single" w:sz="4" w:space="4" w:color="auto"/>
        </w:pBdr>
        <w:shd w:val="clear" w:color="auto" w:fill="D9D9D9" w:themeFill="background1" w:themeFillShade="D9"/>
        <w:spacing w:after="0" w:line="240" w:lineRule="auto"/>
        <w:ind w:left="-142"/>
        <w:jc w:val="both"/>
        <w:rPr>
          <w:rFonts w:cs="Times New Roman"/>
          <w:i/>
          <w:iCs/>
          <w:szCs w:val="24"/>
        </w:rPr>
      </w:pPr>
      <w:r w:rsidRPr="00982D67">
        <w:rPr>
          <w:rFonts w:eastAsia="Calibri" w:cs="Times New Roman"/>
          <w:b/>
          <w:szCs w:val="24"/>
        </w:rPr>
        <w:t xml:space="preserve">b) Išvados dėl 2021 m. Metinės tvaraus augimo strategijos </w:t>
      </w:r>
      <w:r w:rsidR="00917A03" w:rsidRPr="00982D67">
        <w:rPr>
          <w:rFonts w:eastAsia="Calibri" w:cs="Times New Roman"/>
          <w:i/>
          <w:szCs w:val="24"/>
        </w:rPr>
        <w:t>(pirmininkaujančios šalies informacija)</w:t>
      </w:r>
    </w:p>
    <w:p w:rsidR="00E84901" w:rsidRDefault="00E84901" w:rsidP="009D63C7">
      <w:pPr>
        <w:spacing w:after="0" w:line="240" w:lineRule="auto"/>
        <w:ind w:left="-142"/>
        <w:jc w:val="both"/>
        <w:rPr>
          <w:rFonts w:eastAsia="Calibri" w:cs="Times New Roman"/>
          <w:b/>
          <w:szCs w:val="24"/>
          <w:u w:val="single"/>
        </w:rPr>
      </w:pPr>
    </w:p>
    <w:p w:rsidR="009D63C7" w:rsidRPr="00982D67" w:rsidRDefault="0042242F" w:rsidP="009D63C7">
      <w:pPr>
        <w:spacing w:after="0" w:line="240" w:lineRule="auto"/>
        <w:ind w:left="-142"/>
        <w:jc w:val="both"/>
        <w:rPr>
          <w:rFonts w:cs="Times New Roman"/>
          <w:szCs w:val="24"/>
          <w:shd w:val="clear" w:color="auto" w:fill="FFFFFF"/>
        </w:rPr>
      </w:pPr>
      <w:r w:rsidRPr="00982D67">
        <w:rPr>
          <w:rFonts w:eastAsia="Calibri" w:cs="Times New Roman"/>
          <w:b/>
          <w:szCs w:val="24"/>
          <w:u w:val="single"/>
        </w:rPr>
        <w:t>Klausimo esmė.</w:t>
      </w:r>
      <w:r w:rsidR="00BF44D9" w:rsidRPr="00982D67">
        <w:rPr>
          <w:rFonts w:cs="Times New Roman"/>
          <w:szCs w:val="24"/>
          <w:shd w:val="clear" w:color="auto" w:fill="FFFFFF"/>
        </w:rPr>
        <w:t xml:space="preserve"> </w:t>
      </w:r>
      <w:r w:rsidR="009D63C7" w:rsidRPr="00982D67">
        <w:rPr>
          <w:rFonts w:cs="Times New Roman"/>
          <w:szCs w:val="24"/>
          <w:shd w:val="clear" w:color="auto" w:fill="FFFFFF"/>
        </w:rPr>
        <w:t>Tarybos išvadose dėl Europos audito rūmų ataskaitos pabrėžiamas vertingas ataskaitos indėlis vertinant Europos Semestrą ir randant būdus jį patobulinti. Atkreipiamas dėmesys, kad šeši iš aštuonių Europa 2020 tikslų, tikėtina, bus pasiekti, tačiau skurdo mažinimo ir mokslinių tyrimų tikslai nebus pasiekti. Daroma išvada, kad šalims skirtų rekomendacijų įgyvendinimas yra nepakankamas ir turi būti sustiprintas,  nacionalinė atsakomybė (</w:t>
      </w:r>
      <w:proofErr w:type="spellStart"/>
      <w:r w:rsidR="009D63C7" w:rsidRPr="00982D67">
        <w:rPr>
          <w:rFonts w:cs="Times New Roman"/>
          <w:i/>
          <w:szCs w:val="24"/>
          <w:shd w:val="clear" w:color="auto" w:fill="FFFFFF"/>
        </w:rPr>
        <w:t>ownership</w:t>
      </w:r>
      <w:proofErr w:type="spellEnd"/>
      <w:r w:rsidR="009D63C7" w:rsidRPr="00982D67">
        <w:rPr>
          <w:rFonts w:cs="Times New Roman"/>
          <w:szCs w:val="24"/>
          <w:shd w:val="clear" w:color="auto" w:fill="FFFFFF"/>
        </w:rPr>
        <w:t xml:space="preserve">) tam yra ypač svarbi. Atkreipiamas dėmesys į ataskaitos išvadą, kad nacionalinės reformų programos dažnai tiksliai nepaaiškina planų turinio. Išvadų projekte taip pat pažymima, kad RRF turi reikšmingą potencialą suteikti stimulo reformoms ir investicijoms, o rekomendacijos suteikia reikalingą lankstumą VN siekiant atliepti reformų poreikį. </w:t>
      </w:r>
    </w:p>
    <w:p w:rsidR="00E07431" w:rsidRPr="00982D67" w:rsidRDefault="009D63C7" w:rsidP="007932C0">
      <w:pPr>
        <w:spacing w:after="0" w:line="240" w:lineRule="auto"/>
        <w:ind w:left="-142"/>
        <w:jc w:val="both"/>
        <w:rPr>
          <w:rFonts w:cs="Times New Roman"/>
          <w:szCs w:val="24"/>
          <w:shd w:val="clear" w:color="auto" w:fill="FFFFFF"/>
        </w:rPr>
      </w:pPr>
      <w:r w:rsidRPr="00982D67">
        <w:rPr>
          <w:rFonts w:cs="Times New Roman"/>
          <w:szCs w:val="24"/>
          <w:shd w:val="clear" w:color="auto" w:fill="FFFFFF"/>
        </w:rPr>
        <w:t xml:space="preserve">Tarybos išvadų dėl Metinės tvaraus augimo strategijos (ASGS) projekte pažymima, kad RRF turi ypač svarbų vaidmenį siekiant greito atsigavimo ir ekonominio bei socialinio atsparumo. Pabrėžiama, kad dėl RRF turi būti susitarta kuo greičiau. Pritariama keturioms pagrindinėms ASGS dimensijoms: makroekonominiam stabilumui, aplinkos tvarumui, produktyvumui ir teisingumui. RRF planai turės būti suderinti su sutartais prioritetais. VN raginamos imtis išsamių reformų siekiant spręsti nacionalinius struktūrinius iššūkius, įskaitant tuos, kurie yra paminėti 2019 ir 2020 m. šalims skirtose rekomendacijose. Pripažįstama, kad buvo būtina laikinai adaptuoti Semestrą siekiant efektyvaus RRF įgyvendinimo, VN raginamos pateikti nacionalines reformų programas ir RRF planus viename konsoliduotame dokumente. Atkreipiamas dėmesys, kad EK neskelbs šalims skirtų rekomendacijų 2021 m., išskyrus dėl biudžetų. Tarybos išvadų projekte raginama grįžti prie pilnaverčio Semestro proceso, kai tik bus įmanoma. VN turėtų teikti tikslingą ir laikiną fiskalinę paramą 2021 m., tuo pat metu saugant fiskalinį tvarumą vidutiniu laikotarpiu. Kadangi dėl pandemijos tikėtinas tam tikrų makroekonominių </w:t>
      </w:r>
      <w:proofErr w:type="spellStart"/>
      <w:r w:rsidRPr="00982D67">
        <w:rPr>
          <w:rFonts w:cs="Times New Roman"/>
          <w:szCs w:val="24"/>
          <w:shd w:val="clear" w:color="auto" w:fill="FFFFFF"/>
        </w:rPr>
        <w:t>disbalansų</w:t>
      </w:r>
      <w:proofErr w:type="spellEnd"/>
      <w:r w:rsidRPr="00982D67">
        <w:rPr>
          <w:rFonts w:cs="Times New Roman"/>
          <w:szCs w:val="24"/>
          <w:shd w:val="clear" w:color="auto" w:fill="FFFFFF"/>
        </w:rPr>
        <w:t xml:space="preserve"> padidėjimas, stebėjimas bus tęsiamas remiantis Makroekonominių </w:t>
      </w:r>
      <w:proofErr w:type="spellStart"/>
      <w:r w:rsidRPr="00982D67">
        <w:rPr>
          <w:rFonts w:cs="Times New Roman"/>
          <w:szCs w:val="24"/>
          <w:shd w:val="clear" w:color="auto" w:fill="FFFFFF"/>
        </w:rPr>
        <w:t>disbalansų</w:t>
      </w:r>
      <w:proofErr w:type="spellEnd"/>
      <w:r w:rsidRPr="00982D67">
        <w:rPr>
          <w:rFonts w:cs="Times New Roman"/>
          <w:szCs w:val="24"/>
          <w:shd w:val="clear" w:color="auto" w:fill="FFFFFF"/>
        </w:rPr>
        <w:t xml:space="preserve"> procedūra.</w:t>
      </w:r>
    </w:p>
    <w:p w:rsidR="00E84901" w:rsidRDefault="00E84901" w:rsidP="007932C0">
      <w:pPr>
        <w:spacing w:after="0" w:line="240" w:lineRule="auto"/>
        <w:ind w:left="-142"/>
        <w:jc w:val="both"/>
        <w:rPr>
          <w:rFonts w:eastAsia="Calibri" w:cs="Times New Roman"/>
          <w:b/>
          <w:szCs w:val="24"/>
          <w:u w:val="single"/>
        </w:rPr>
      </w:pPr>
    </w:p>
    <w:p w:rsidR="0042242F" w:rsidRPr="00982D67" w:rsidRDefault="0042242F" w:rsidP="007932C0">
      <w:pPr>
        <w:spacing w:after="0" w:line="240" w:lineRule="auto"/>
        <w:ind w:left="-142"/>
        <w:jc w:val="both"/>
        <w:rPr>
          <w:rFonts w:eastAsia="Calibri" w:cs="Times New Roman"/>
          <w:b/>
          <w:szCs w:val="24"/>
          <w:u w:val="single"/>
        </w:rPr>
      </w:pPr>
      <w:r w:rsidRPr="00982D67">
        <w:rPr>
          <w:rFonts w:eastAsia="Calibri" w:cs="Times New Roman"/>
          <w:b/>
          <w:szCs w:val="24"/>
          <w:u w:val="single"/>
        </w:rPr>
        <w:t>Lietuvos pozicija</w:t>
      </w:r>
      <w:r w:rsidRPr="00982D67">
        <w:rPr>
          <w:rFonts w:eastAsia="Calibri" w:cs="Times New Roman"/>
          <w:szCs w:val="24"/>
        </w:rPr>
        <w:t>.</w:t>
      </w:r>
      <w:r w:rsidR="00BF44D9" w:rsidRPr="00982D67">
        <w:rPr>
          <w:rFonts w:eastAsia="Calibri" w:cs="Times New Roman"/>
          <w:szCs w:val="24"/>
        </w:rPr>
        <w:t xml:space="preserve"> </w:t>
      </w:r>
      <w:r w:rsidR="00B8132B" w:rsidRPr="00982D67">
        <w:rPr>
          <w:rFonts w:eastAsia="Calibri" w:cs="Times New Roman"/>
          <w:szCs w:val="24"/>
        </w:rPr>
        <w:t>Pritarti</w:t>
      </w:r>
      <w:r w:rsidR="009D63C7" w:rsidRPr="00982D67">
        <w:rPr>
          <w:rFonts w:eastAsia="Calibri" w:cs="Times New Roman"/>
          <w:szCs w:val="24"/>
        </w:rPr>
        <w:t xml:space="preserve"> Tarybos išvadų projektams.</w:t>
      </w:r>
    </w:p>
    <w:p w:rsidR="00B26F29" w:rsidRPr="00982D67" w:rsidRDefault="00B26F29" w:rsidP="007932C0">
      <w:pPr>
        <w:spacing w:after="0" w:line="240" w:lineRule="auto"/>
        <w:jc w:val="both"/>
        <w:rPr>
          <w:rFonts w:cs="Times New Roman"/>
          <w:b/>
          <w:szCs w:val="24"/>
          <w:u w:val="single"/>
          <w:lang w:val="en-US" w:eastAsia="lt-LT" w:bidi="lt-LT"/>
        </w:rPr>
      </w:pPr>
    </w:p>
    <w:p w:rsidR="000A3B2A" w:rsidRPr="00982D67" w:rsidRDefault="00917A03" w:rsidP="007932C0">
      <w:pPr>
        <w:pBdr>
          <w:top w:val="single" w:sz="4" w:space="1" w:color="auto"/>
          <w:left w:val="single" w:sz="4" w:space="4" w:color="auto"/>
          <w:bottom w:val="single" w:sz="4" w:space="0" w:color="auto"/>
          <w:right w:val="single" w:sz="4" w:space="4" w:color="auto"/>
        </w:pBdr>
        <w:shd w:val="clear" w:color="auto" w:fill="D9D9D9" w:themeFill="background1" w:themeFillShade="D9"/>
        <w:spacing w:after="0" w:line="240" w:lineRule="auto"/>
        <w:jc w:val="both"/>
        <w:rPr>
          <w:rFonts w:cs="Times New Roman"/>
          <w:b/>
          <w:iCs/>
          <w:szCs w:val="24"/>
        </w:rPr>
      </w:pPr>
      <w:r w:rsidRPr="00982D67">
        <w:rPr>
          <w:rFonts w:cs="Times New Roman"/>
          <w:b/>
          <w:szCs w:val="24"/>
          <w:lang w:eastAsia="lt-LT" w:bidi="lt-LT"/>
        </w:rPr>
        <w:t xml:space="preserve">Europos fiskalinės valdybos 2020 m. ataskaita </w:t>
      </w:r>
      <w:r w:rsidRPr="00982D67">
        <w:rPr>
          <w:rFonts w:cs="Times New Roman"/>
          <w:i/>
          <w:szCs w:val="24"/>
          <w:lang w:eastAsia="lt-LT" w:bidi="lt-LT"/>
        </w:rPr>
        <w:t>(pristatymas)</w:t>
      </w:r>
    </w:p>
    <w:p w:rsidR="004A7E04" w:rsidRPr="004A7E04" w:rsidRDefault="0042242F" w:rsidP="004A7E04">
      <w:pPr>
        <w:spacing w:after="0" w:line="240" w:lineRule="auto"/>
        <w:ind w:left="-142"/>
        <w:jc w:val="both"/>
        <w:rPr>
          <w:rFonts w:eastAsia="Calibri" w:cs="Times New Roman"/>
          <w:szCs w:val="24"/>
        </w:rPr>
      </w:pPr>
      <w:r w:rsidRPr="00982D67">
        <w:rPr>
          <w:rFonts w:eastAsia="Calibri" w:cs="Times New Roman"/>
          <w:b/>
          <w:szCs w:val="24"/>
          <w:u w:val="single"/>
        </w:rPr>
        <w:lastRenderedPageBreak/>
        <w:t>Klausimo esmė.</w:t>
      </w:r>
      <w:r w:rsidR="009D3FE2" w:rsidRPr="00982D67">
        <w:rPr>
          <w:rFonts w:eastAsia="Calibri" w:cs="Times New Roman"/>
          <w:b/>
          <w:szCs w:val="24"/>
          <w:u w:val="single"/>
        </w:rPr>
        <w:t xml:space="preserve"> </w:t>
      </w:r>
      <w:r w:rsidR="004A7E04" w:rsidRPr="004A7E04">
        <w:rPr>
          <w:rFonts w:eastAsia="Calibri" w:cs="Times New Roman"/>
          <w:szCs w:val="24"/>
        </w:rPr>
        <w:t xml:space="preserve">Europos fiskalinė valdyba ( angl. </w:t>
      </w:r>
      <w:proofErr w:type="spellStart"/>
      <w:r w:rsidR="004A7E04" w:rsidRPr="004A7E04">
        <w:rPr>
          <w:rFonts w:eastAsia="Calibri" w:cs="Times New Roman"/>
          <w:szCs w:val="24"/>
        </w:rPr>
        <w:t>European</w:t>
      </w:r>
      <w:proofErr w:type="spellEnd"/>
      <w:r w:rsidR="004A7E04" w:rsidRPr="004A7E04">
        <w:rPr>
          <w:rFonts w:eastAsia="Calibri" w:cs="Times New Roman"/>
          <w:szCs w:val="24"/>
        </w:rPr>
        <w:t xml:space="preserve"> </w:t>
      </w:r>
      <w:proofErr w:type="spellStart"/>
      <w:r w:rsidR="004A7E04" w:rsidRPr="004A7E04">
        <w:rPr>
          <w:rFonts w:eastAsia="Calibri" w:cs="Times New Roman"/>
          <w:szCs w:val="24"/>
        </w:rPr>
        <w:t>Fiscal</w:t>
      </w:r>
      <w:proofErr w:type="spellEnd"/>
      <w:r w:rsidR="004A7E04" w:rsidRPr="004A7E04">
        <w:rPr>
          <w:rFonts w:eastAsia="Calibri" w:cs="Times New Roman"/>
          <w:szCs w:val="24"/>
        </w:rPr>
        <w:t xml:space="preserve"> </w:t>
      </w:r>
      <w:proofErr w:type="spellStart"/>
      <w:r w:rsidR="004A7E04" w:rsidRPr="004A7E04">
        <w:rPr>
          <w:rFonts w:eastAsia="Calibri" w:cs="Times New Roman"/>
          <w:szCs w:val="24"/>
        </w:rPr>
        <w:t>Board</w:t>
      </w:r>
      <w:proofErr w:type="spellEnd"/>
      <w:r w:rsidR="004A7E04" w:rsidRPr="004A7E04">
        <w:rPr>
          <w:rFonts w:eastAsia="Calibri" w:cs="Times New Roman"/>
          <w:szCs w:val="24"/>
        </w:rPr>
        <w:t>, EFB) pristatė savo ataskaitą apie 2019 metais vykdytą ES šalių narių fiskalinę priežiūrą, jos rezultatus bei rekomendacijas tolimesniam Europos Sąjungos fiskalinės sistemos tobulinimui. Pagrindinės ataskaitos žinutės: 2019 metais Euro zonos ekonomika augo, tačiau lėtesniu tempu nei 2018 m. (1,2% BVP);  ES ir euro zonos šalių biudžetų deficitai padidėjo pirmą kartą nuo 2011 m. (atitinka</w:t>
      </w:r>
      <w:r w:rsidR="004A7E04">
        <w:rPr>
          <w:rFonts w:eastAsia="Calibri" w:cs="Times New Roman"/>
          <w:szCs w:val="24"/>
        </w:rPr>
        <w:t>mai iki 0,6 ir 0,8 % BVP); biud</w:t>
      </w:r>
      <w:r w:rsidR="004A7E04" w:rsidRPr="004A7E04">
        <w:rPr>
          <w:rFonts w:eastAsia="Calibri" w:cs="Times New Roman"/>
          <w:szCs w:val="24"/>
        </w:rPr>
        <w:t>ž</w:t>
      </w:r>
      <w:r w:rsidR="004A7E04">
        <w:rPr>
          <w:rFonts w:eastAsia="Calibri" w:cs="Times New Roman"/>
          <w:szCs w:val="24"/>
        </w:rPr>
        <w:t>e</w:t>
      </w:r>
      <w:r w:rsidR="004A7E04" w:rsidRPr="004A7E04">
        <w:rPr>
          <w:rFonts w:eastAsia="Calibri" w:cs="Times New Roman"/>
          <w:szCs w:val="24"/>
        </w:rPr>
        <w:t xml:space="preserve">to pajamų ir BVP santykis sumažėjo, tačiau buvo didesnis negu buvo planuota; 2019 m. daugelyje šalių vykdyta </w:t>
      </w:r>
      <w:proofErr w:type="spellStart"/>
      <w:r w:rsidR="004A7E04" w:rsidRPr="004A7E04">
        <w:rPr>
          <w:rFonts w:eastAsia="Calibri" w:cs="Times New Roman"/>
          <w:szCs w:val="24"/>
        </w:rPr>
        <w:t>ekspansinė</w:t>
      </w:r>
      <w:proofErr w:type="spellEnd"/>
      <w:r w:rsidR="004A7E04" w:rsidRPr="004A7E04">
        <w:rPr>
          <w:rFonts w:eastAsia="Calibri" w:cs="Times New Roman"/>
          <w:szCs w:val="24"/>
        </w:rPr>
        <w:t xml:space="preserve"> fiskalinė politika, nors EFB, Komisi</w:t>
      </w:r>
      <w:r w:rsidR="004A7E04">
        <w:rPr>
          <w:rFonts w:eastAsia="Calibri" w:cs="Times New Roman"/>
          <w:szCs w:val="24"/>
        </w:rPr>
        <w:t>ja ir Taryba buvo rekomendavusio</w:t>
      </w:r>
      <w:r w:rsidR="004A7E04" w:rsidRPr="004A7E04">
        <w:rPr>
          <w:rFonts w:eastAsia="Calibri" w:cs="Times New Roman"/>
          <w:szCs w:val="24"/>
        </w:rPr>
        <w:t xml:space="preserve">s laikytis švelnios </w:t>
      </w:r>
      <w:proofErr w:type="spellStart"/>
      <w:r w:rsidR="004A7E04" w:rsidRPr="004A7E04">
        <w:rPr>
          <w:rFonts w:eastAsia="Calibri" w:cs="Times New Roman"/>
          <w:szCs w:val="24"/>
        </w:rPr>
        <w:t>restrikcinės</w:t>
      </w:r>
      <w:proofErr w:type="spellEnd"/>
      <w:r w:rsidR="004A7E04" w:rsidRPr="004A7E04">
        <w:rPr>
          <w:rFonts w:eastAsia="Calibri" w:cs="Times New Roman"/>
          <w:szCs w:val="24"/>
        </w:rPr>
        <w:t xml:space="preserve"> politikos; palankios ekonominės sąlyg</w:t>
      </w:r>
      <w:r w:rsidR="004A7E04">
        <w:rPr>
          <w:rFonts w:eastAsia="Calibri" w:cs="Times New Roman"/>
          <w:szCs w:val="24"/>
        </w:rPr>
        <w:t>os nebuvo išnaudotos fiskalinei</w:t>
      </w:r>
      <w:r w:rsidR="004A7E04" w:rsidRPr="004A7E04">
        <w:rPr>
          <w:rFonts w:eastAsia="Calibri" w:cs="Times New Roman"/>
          <w:szCs w:val="24"/>
        </w:rPr>
        <w:t xml:space="preserve"> padėčiai pagerinti ir rezervam</w:t>
      </w:r>
      <w:r w:rsidR="004A7E04">
        <w:rPr>
          <w:rFonts w:eastAsia="Calibri" w:cs="Times New Roman"/>
          <w:szCs w:val="24"/>
        </w:rPr>
        <w:t xml:space="preserve">s sukaupti, fiskalinė politika </w:t>
      </w:r>
      <w:r w:rsidR="004A7E04" w:rsidRPr="004A7E04">
        <w:rPr>
          <w:rFonts w:eastAsia="Calibri" w:cs="Times New Roman"/>
          <w:szCs w:val="24"/>
        </w:rPr>
        <w:t xml:space="preserve">buvo </w:t>
      </w:r>
      <w:proofErr w:type="spellStart"/>
      <w:r w:rsidR="004A7E04" w:rsidRPr="004A7E04">
        <w:rPr>
          <w:rFonts w:eastAsia="Calibri" w:cs="Times New Roman"/>
          <w:szCs w:val="24"/>
        </w:rPr>
        <w:t>prociklinė</w:t>
      </w:r>
      <w:proofErr w:type="spellEnd"/>
      <w:r w:rsidR="004A7E04" w:rsidRPr="004A7E04">
        <w:rPr>
          <w:rFonts w:eastAsia="Calibri" w:cs="Times New Roman"/>
          <w:szCs w:val="24"/>
        </w:rPr>
        <w:t>; EK vertinimu</w:t>
      </w:r>
      <w:r w:rsidR="004A7E04">
        <w:rPr>
          <w:rFonts w:eastAsia="Calibri" w:cs="Times New Roman"/>
          <w:szCs w:val="24"/>
        </w:rPr>
        <w:t>,</w:t>
      </w:r>
      <w:r w:rsidR="004A7E04" w:rsidRPr="004A7E04">
        <w:rPr>
          <w:rFonts w:eastAsia="Calibri" w:cs="Times New Roman"/>
          <w:szCs w:val="24"/>
        </w:rPr>
        <w:t xml:space="preserve"> 2019 m. 10 šalių narių nukrypo nuo vidutinės trukmės tikslo, tačiau nebuvo imtasi jokių diskrecinių veiksmų; 2020 m. buvo pradėta </w:t>
      </w:r>
      <w:proofErr w:type="spellStart"/>
      <w:r w:rsidR="004A7E04" w:rsidRPr="004A7E04">
        <w:rPr>
          <w:rFonts w:eastAsia="Calibri" w:cs="Times New Roman"/>
          <w:szCs w:val="24"/>
        </w:rPr>
        <w:t>perviršinio</w:t>
      </w:r>
      <w:proofErr w:type="spellEnd"/>
      <w:r w:rsidR="004A7E04" w:rsidRPr="004A7E04">
        <w:rPr>
          <w:rFonts w:eastAsia="Calibri" w:cs="Times New Roman"/>
          <w:szCs w:val="24"/>
        </w:rPr>
        <w:t xml:space="preserve"> deficito procedūra Rumunijai; </w:t>
      </w:r>
    </w:p>
    <w:p w:rsidR="004A7E04" w:rsidRPr="004A7E04" w:rsidRDefault="004A7E04" w:rsidP="004A7E04">
      <w:pPr>
        <w:spacing w:after="0" w:line="240" w:lineRule="auto"/>
        <w:ind w:left="-142"/>
        <w:jc w:val="both"/>
        <w:rPr>
          <w:rFonts w:eastAsia="Times New Roman" w:cs="Times New Roman"/>
          <w:iCs/>
          <w:szCs w:val="24"/>
          <w:u w:val="single"/>
          <w:lang w:eastAsia="lt-LT"/>
        </w:rPr>
      </w:pPr>
      <w:r w:rsidRPr="004A7E04">
        <w:rPr>
          <w:rFonts w:eastAsia="Calibri" w:cs="Times New Roman"/>
          <w:szCs w:val="24"/>
        </w:rPr>
        <w:t xml:space="preserve">Nors dėl COVID-19 pandemijos sukeltos krizės ES fiskalinių taisyklių peržiūra buvo sustabdyta, ataskaitoje  EFB pateikia diskusijoms savo pasiūlymus dėl ES fiskalinės architektūros: centrinių fiskalinių pajėgumų (angl. </w:t>
      </w:r>
      <w:proofErr w:type="spellStart"/>
      <w:r w:rsidRPr="004A7E04">
        <w:rPr>
          <w:rFonts w:eastAsia="Calibri" w:cs="Times New Roman"/>
          <w:szCs w:val="24"/>
        </w:rPr>
        <w:t>Central</w:t>
      </w:r>
      <w:proofErr w:type="spellEnd"/>
      <w:r w:rsidRPr="004A7E04">
        <w:rPr>
          <w:rFonts w:eastAsia="Calibri" w:cs="Times New Roman"/>
          <w:szCs w:val="24"/>
        </w:rPr>
        <w:t xml:space="preserve"> </w:t>
      </w:r>
      <w:proofErr w:type="spellStart"/>
      <w:r w:rsidRPr="004A7E04">
        <w:rPr>
          <w:rFonts w:eastAsia="Calibri" w:cs="Times New Roman"/>
          <w:szCs w:val="24"/>
        </w:rPr>
        <w:t>Fiscal</w:t>
      </w:r>
      <w:proofErr w:type="spellEnd"/>
      <w:r w:rsidRPr="004A7E04">
        <w:rPr>
          <w:rFonts w:eastAsia="Calibri" w:cs="Times New Roman"/>
          <w:szCs w:val="24"/>
        </w:rPr>
        <w:t xml:space="preserve"> </w:t>
      </w:r>
      <w:proofErr w:type="spellStart"/>
      <w:r w:rsidRPr="004A7E04">
        <w:rPr>
          <w:rFonts w:eastAsia="Calibri" w:cs="Times New Roman"/>
          <w:szCs w:val="24"/>
        </w:rPr>
        <w:t>Capacity</w:t>
      </w:r>
      <w:proofErr w:type="spellEnd"/>
      <w:r w:rsidRPr="004A7E04">
        <w:rPr>
          <w:rFonts w:eastAsia="Calibri" w:cs="Times New Roman"/>
          <w:szCs w:val="24"/>
        </w:rPr>
        <w:t>) šokams absorbuoti; paprastesnių ir tik su stebimais rodikliai</w:t>
      </w:r>
      <w:r>
        <w:rPr>
          <w:rFonts w:eastAsia="Calibri" w:cs="Times New Roman"/>
          <w:szCs w:val="24"/>
        </w:rPr>
        <w:t>s</w:t>
      </w:r>
      <w:r w:rsidRPr="004A7E04">
        <w:rPr>
          <w:rFonts w:eastAsia="Calibri" w:cs="Times New Roman"/>
          <w:szCs w:val="24"/>
        </w:rPr>
        <w:t xml:space="preserve"> susijusių  fiskalinės drausmės taisyklių nustatymo bei jų pritaikymo investicijų didinimo poreikiui.</w:t>
      </w:r>
    </w:p>
    <w:p w:rsidR="00E84901" w:rsidRDefault="00E84901" w:rsidP="004A7E04">
      <w:pPr>
        <w:spacing w:after="0" w:line="240" w:lineRule="auto"/>
        <w:ind w:left="-142"/>
        <w:jc w:val="both"/>
        <w:rPr>
          <w:rFonts w:eastAsia="Calibri" w:cs="Times New Roman"/>
          <w:b/>
          <w:szCs w:val="24"/>
          <w:u w:val="single"/>
        </w:rPr>
      </w:pPr>
    </w:p>
    <w:p w:rsidR="004A7E04" w:rsidRPr="004A7E04" w:rsidRDefault="0042242F" w:rsidP="004A7E04">
      <w:pPr>
        <w:spacing w:after="0" w:line="240" w:lineRule="auto"/>
        <w:ind w:left="-142"/>
        <w:jc w:val="both"/>
        <w:rPr>
          <w:rFonts w:eastAsia="Calibri" w:cs="Times New Roman"/>
          <w:szCs w:val="24"/>
        </w:rPr>
      </w:pPr>
      <w:r w:rsidRPr="00982D67">
        <w:rPr>
          <w:rFonts w:eastAsia="Calibri" w:cs="Times New Roman"/>
          <w:b/>
          <w:szCs w:val="24"/>
          <w:u w:val="single"/>
        </w:rPr>
        <w:t>Lietuvos pozicija.</w:t>
      </w:r>
      <w:r w:rsidR="009D3FE2" w:rsidRPr="00982D67">
        <w:rPr>
          <w:rFonts w:eastAsia="Calibri" w:cs="Times New Roman"/>
          <w:szCs w:val="24"/>
        </w:rPr>
        <w:t xml:space="preserve"> </w:t>
      </w:r>
      <w:r w:rsidR="004A7E04" w:rsidRPr="004A7E04">
        <w:rPr>
          <w:rFonts w:eastAsia="Calibri" w:cs="Times New Roman"/>
          <w:szCs w:val="24"/>
        </w:rPr>
        <w:t xml:space="preserve">ES fiskalinės sistemos peržiūra ar reformos neturi lemti taisyklėmis grįstos sistemos silpninimo: kiek įmanoma, reikėtų vengti politizuotų procesų, diskrecinių sprendimų iš EK pusės bei negausinti išimčių iš taisyklių bei jų lankstumo, taikant Stabilumo ir augimo pakto (SAP) taisykles, atvejų. Pagrindinė gairė taisyklių peržiūros procese turėtų būti ES šalių narių ir euro zonos finansų tvarumo išlaikymas bei makro </w:t>
      </w:r>
      <w:proofErr w:type="spellStart"/>
      <w:r w:rsidR="004A7E04" w:rsidRPr="004A7E04">
        <w:rPr>
          <w:rFonts w:eastAsia="Calibri" w:cs="Times New Roman"/>
          <w:szCs w:val="24"/>
        </w:rPr>
        <w:t>disbalansų</w:t>
      </w:r>
      <w:proofErr w:type="spellEnd"/>
      <w:r w:rsidR="004A7E04" w:rsidRPr="004A7E04">
        <w:rPr>
          <w:rFonts w:eastAsia="Calibri" w:cs="Times New Roman"/>
          <w:szCs w:val="24"/>
        </w:rPr>
        <w:t xml:space="preserve"> prevencija bei vengimas. Pačių šalių narių atsakomybė (</w:t>
      </w:r>
      <w:proofErr w:type="spellStart"/>
      <w:r w:rsidR="004A7E04" w:rsidRPr="004A7E04">
        <w:rPr>
          <w:rFonts w:eastAsia="Calibri" w:cs="Times New Roman"/>
          <w:i/>
          <w:szCs w:val="24"/>
        </w:rPr>
        <w:t>ownership</w:t>
      </w:r>
      <w:proofErr w:type="spellEnd"/>
      <w:r w:rsidR="004A7E04" w:rsidRPr="004A7E04">
        <w:rPr>
          <w:rFonts w:eastAsia="Calibri" w:cs="Times New Roman"/>
          <w:szCs w:val="24"/>
        </w:rPr>
        <w:t>) už taisyklių laikymąsi ir suinteresuotumas ilgalaikiu finansų stabilumu turėtų b</w:t>
      </w:r>
      <w:r w:rsidR="004A7E04">
        <w:rPr>
          <w:rFonts w:eastAsia="Calibri" w:cs="Times New Roman"/>
          <w:szCs w:val="24"/>
        </w:rPr>
        <w:t>ūti stiprinamas.</w:t>
      </w:r>
    </w:p>
    <w:p w:rsidR="004A7E04" w:rsidRPr="004A7E04" w:rsidRDefault="004A7E04" w:rsidP="004A7E04">
      <w:pPr>
        <w:spacing w:after="0" w:line="240" w:lineRule="auto"/>
        <w:ind w:left="-142"/>
        <w:jc w:val="both"/>
        <w:rPr>
          <w:rFonts w:eastAsia="Calibri" w:cs="Times New Roman"/>
          <w:szCs w:val="24"/>
        </w:rPr>
      </w:pPr>
      <w:r w:rsidRPr="004A7E04">
        <w:rPr>
          <w:rFonts w:eastAsia="Calibri" w:cs="Times New Roman"/>
          <w:szCs w:val="24"/>
        </w:rPr>
        <w:t>Dėl fiskalinių pajėgumų- nemanome, kad papildomas instrumentas reikalingas, ypač šiuo metu, kai yra pasiūlyta centralizuotų ES lygio instrumentų, gelbstinčių šalims krizės akivaizdoje. Būtina vertinti ir tai, kad kiekvienas naujas sutelktinis instrumentas lems ir didėjančias įmokas į ES biudžet</w:t>
      </w:r>
      <w:r>
        <w:rPr>
          <w:rFonts w:eastAsia="Calibri" w:cs="Times New Roman"/>
          <w:szCs w:val="24"/>
        </w:rPr>
        <w:t>ą ir /ar kuriamą instrumentą.</w:t>
      </w:r>
    </w:p>
    <w:p w:rsidR="0042242F" w:rsidRPr="00982D67" w:rsidRDefault="004A7E04" w:rsidP="004A7E04">
      <w:pPr>
        <w:spacing w:after="0" w:line="240" w:lineRule="auto"/>
        <w:ind w:left="-142"/>
        <w:jc w:val="both"/>
        <w:rPr>
          <w:rFonts w:eastAsia="Calibri" w:cs="Times New Roman"/>
          <w:szCs w:val="24"/>
        </w:rPr>
      </w:pPr>
      <w:r w:rsidRPr="004A7E04">
        <w:rPr>
          <w:rFonts w:eastAsia="Calibri" w:cs="Times New Roman"/>
          <w:szCs w:val="24"/>
        </w:rPr>
        <w:t xml:space="preserve">Laikomės nuomonės, kad ES stabilumo ir augimo pakto bendroji lankstumo sąlyga (angl. </w:t>
      </w:r>
      <w:proofErr w:type="spellStart"/>
      <w:r w:rsidRPr="004A7E04">
        <w:rPr>
          <w:rFonts w:eastAsia="Calibri" w:cs="Times New Roman"/>
          <w:i/>
          <w:szCs w:val="24"/>
        </w:rPr>
        <w:t>General</w:t>
      </w:r>
      <w:proofErr w:type="spellEnd"/>
      <w:r w:rsidRPr="004A7E04">
        <w:rPr>
          <w:rFonts w:eastAsia="Calibri" w:cs="Times New Roman"/>
          <w:i/>
          <w:szCs w:val="24"/>
        </w:rPr>
        <w:t xml:space="preserve"> </w:t>
      </w:r>
      <w:proofErr w:type="spellStart"/>
      <w:r w:rsidRPr="004A7E04">
        <w:rPr>
          <w:rFonts w:eastAsia="Calibri" w:cs="Times New Roman"/>
          <w:i/>
          <w:szCs w:val="24"/>
        </w:rPr>
        <w:t>Escape</w:t>
      </w:r>
      <w:proofErr w:type="spellEnd"/>
      <w:r w:rsidRPr="004A7E04">
        <w:rPr>
          <w:rFonts w:eastAsia="Calibri" w:cs="Times New Roman"/>
          <w:i/>
          <w:szCs w:val="24"/>
        </w:rPr>
        <w:t xml:space="preserve"> </w:t>
      </w:r>
      <w:proofErr w:type="spellStart"/>
      <w:r w:rsidRPr="004A7E04">
        <w:rPr>
          <w:rFonts w:eastAsia="Calibri" w:cs="Times New Roman"/>
          <w:i/>
          <w:szCs w:val="24"/>
        </w:rPr>
        <w:t>Clause</w:t>
      </w:r>
      <w:proofErr w:type="spellEnd"/>
      <w:r w:rsidRPr="004A7E04">
        <w:rPr>
          <w:rFonts w:eastAsia="Calibri" w:cs="Times New Roman"/>
          <w:szCs w:val="24"/>
        </w:rPr>
        <w:t xml:space="preserve">, GEC), dėl COVID-19 pandemijos sukeltų padarinių ES </w:t>
      </w:r>
      <w:proofErr w:type="spellStart"/>
      <w:r w:rsidRPr="004A7E04">
        <w:rPr>
          <w:rFonts w:eastAsia="Calibri" w:cs="Times New Roman"/>
          <w:szCs w:val="24"/>
        </w:rPr>
        <w:t>valstybiųekonomikoms</w:t>
      </w:r>
      <w:proofErr w:type="spellEnd"/>
      <w:r w:rsidRPr="004A7E04">
        <w:rPr>
          <w:rFonts w:eastAsia="Calibri" w:cs="Times New Roman"/>
          <w:szCs w:val="24"/>
        </w:rPr>
        <w:t>, Europos Komisijos taikoma 2020-202</w:t>
      </w:r>
      <w:r w:rsidR="002243F3">
        <w:rPr>
          <w:rFonts w:eastAsia="Calibri" w:cs="Times New Roman"/>
          <w:szCs w:val="24"/>
          <w:lang w:val="en-US"/>
        </w:rPr>
        <w:t>1</w:t>
      </w:r>
      <w:r w:rsidRPr="004A7E04">
        <w:rPr>
          <w:rFonts w:eastAsia="Calibri" w:cs="Times New Roman"/>
          <w:szCs w:val="24"/>
        </w:rPr>
        <w:t xml:space="preserve"> metais, turi būti terminuota. Vos tik COVID-19 </w:t>
      </w:r>
      <w:proofErr w:type="spellStart"/>
      <w:r w:rsidRPr="004A7E04">
        <w:rPr>
          <w:rFonts w:eastAsia="Calibri" w:cs="Times New Roman"/>
          <w:szCs w:val="24"/>
        </w:rPr>
        <w:t>pandeminė</w:t>
      </w:r>
      <w:proofErr w:type="spellEnd"/>
      <w:r w:rsidRPr="004A7E04">
        <w:rPr>
          <w:rFonts w:eastAsia="Calibri" w:cs="Times New Roman"/>
          <w:szCs w:val="24"/>
        </w:rPr>
        <w:t xml:space="preserve"> situacija stabilizuosis, o ES valstybių ir visos ES ekonomikos prad</w:t>
      </w:r>
      <w:r>
        <w:rPr>
          <w:rFonts w:eastAsia="Calibri" w:cs="Times New Roman"/>
          <w:szCs w:val="24"/>
        </w:rPr>
        <w:t>ės rodyti atsigavimo ženklus,</w:t>
      </w:r>
      <w:r w:rsidRPr="004A7E04">
        <w:rPr>
          <w:rFonts w:eastAsia="Calibri" w:cs="Times New Roman"/>
          <w:szCs w:val="24"/>
        </w:rPr>
        <w:t xml:space="preserve"> reikėtų grįžti prie SAP taisyklių taikymo ir jų laikymos</w:t>
      </w:r>
      <w:r>
        <w:rPr>
          <w:rFonts w:eastAsia="Calibri" w:cs="Times New Roman"/>
          <w:szCs w:val="24"/>
        </w:rPr>
        <w:t>i. Atsakinga fiskalinė politika</w:t>
      </w:r>
      <w:r w:rsidRPr="004A7E04">
        <w:rPr>
          <w:rFonts w:eastAsia="Calibri" w:cs="Times New Roman"/>
          <w:szCs w:val="24"/>
        </w:rPr>
        <w:t xml:space="preserve"> sudarytų sąlygas palaipsniui bent iš dalies atkurti fiskalinę erdvę</w:t>
      </w:r>
      <w:r>
        <w:rPr>
          <w:rFonts w:eastAsia="Calibri" w:cs="Times New Roman"/>
          <w:szCs w:val="24"/>
        </w:rPr>
        <w:t>,</w:t>
      </w:r>
      <w:r w:rsidRPr="004A7E04">
        <w:rPr>
          <w:rFonts w:eastAsia="Calibri" w:cs="Times New Roman"/>
          <w:szCs w:val="24"/>
        </w:rPr>
        <w:t xml:space="preserve"> </w:t>
      </w:r>
      <w:r>
        <w:rPr>
          <w:rFonts w:eastAsia="Calibri" w:cs="Times New Roman"/>
          <w:szCs w:val="24"/>
        </w:rPr>
        <w:t>sumenkusią per krizę, užkardytų</w:t>
      </w:r>
      <w:r w:rsidRPr="004A7E04">
        <w:rPr>
          <w:rFonts w:eastAsia="Calibri" w:cs="Times New Roman"/>
          <w:szCs w:val="24"/>
        </w:rPr>
        <w:t xml:space="preserve"> </w:t>
      </w:r>
      <w:proofErr w:type="spellStart"/>
      <w:r w:rsidRPr="004A7E04">
        <w:rPr>
          <w:rFonts w:eastAsia="Calibri" w:cs="Times New Roman"/>
          <w:szCs w:val="24"/>
        </w:rPr>
        <w:t>disbalansų</w:t>
      </w:r>
      <w:proofErr w:type="spellEnd"/>
      <w:r w:rsidRPr="004A7E04">
        <w:rPr>
          <w:rFonts w:eastAsia="Calibri" w:cs="Times New Roman"/>
          <w:szCs w:val="24"/>
        </w:rPr>
        <w:t xml:space="preserve"> formavimąsi, o valstybių valdžios sektoriaus skolos lygiai galėtų </w:t>
      </w:r>
      <w:proofErr w:type="spellStart"/>
      <w:r w:rsidRPr="004A7E04">
        <w:rPr>
          <w:rFonts w:eastAsia="Calibri" w:cs="Times New Roman"/>
          <w:szCs w:val="24"/>
        </w:rPr>
        <w:t>konverguoti</w:t>
      </w:r>
      <w:proofErr w:type="spellEnd"/>
      <w:r w:rsidRPr="004A7E04">
        <w:rPr>
          <w:rFonts w:eastAsia="Calibri" w:cs="Times New Roman"/>
          <w:szCs w:val="24"/>
        </w:rPr>
        <w:t xml:space="preserve"> į tokį, kuris garantuotų ilgalaikį finansų tvarumą.</w:t>
      </w:r>
    </w:p>
    <w:p w:rsidR="0042242F" w:rsidRPr="00982D67" w:rsidRDefault="0042242F" w:rsidP="007932C0">
      <w:pPr>
        <w:spacing w:after="0" w:line="240" w:lineRule="auto"/>
        <w:jc w:val="both"/>
        <w:rPr>
          <w:rFonts w:eastAsia="Calibri" w:cs="Times New Roman"/>
          <w:szCs w:val="24"/>
        </w:rPr>
      </w:pPr>
    </w:p>
    <w:p w:rsidR="00BC6C3E" w:rsidRPr="00982D67" w:rsidRDefault="00917A03" w:rsidP="007932C0">
      <w:pPr>
        <w:pBdr>
          <w:top w:val="single" w:sz="4" w:space="1" w:color="auto"/>
          <w:left w:val="single" w:sz="4" w:space="4" w:color="auto"/>
          <w:bottom w:val="single" w:sz="4" w:space="0" w:color="auto"/>
          <w:right w:val="single" w:sz="4" w:space="4" w:color="auto"/>
        </w:pBdr>
        <w:shd w:val="clear" w:color="auto" w:fill="D9D9D9" w:themeFill="background1" w:themeFillShade="D9"/>
        <w:spacing w:after="0" w:line="240" w:lineRule="auto"/>
        <w:jc w:val="both"/>
        <w:rPr>
          <w:rFonts w:cs="Times New Roman"/>
          <w:i/>
          <w:iCs/>
          <w:szCs w:val="24"/>
        </w:rPr>
      </w:pPr>
      <w:r w:rsidRPr="00982D67">
        <w:rPr>
          <w:rFonts w:cs="Times New Roman"/>
          <w:b/>
          <w:szCs w:val="24"/>
          <w:lang w:eastAsia="lt-LT" w:bidi="lt-LT"/>
        </w:rPr>
        <w:t>G20 finansų ministrų ir centrinių bankų valdytojų susitikimo bei TVF ir pasaulio banko metinio  susitikimo</w:t>
      </w:r>
      <w:r w:rsidR="00B73D5E" w:rsidRPr="00982D67">
        <w:rPr>
          <w:rFonts w:cs="Times New Roman"/>
          <w:b/>
          <w:szCs w:val="24"/>
          <w:lang w:eastAsia="lt-LT" w:bidi="lt-LT"/>
        </w:rPr>
        <w:t xml:space="preserve"> 2020 m. spalio mėn. rezultatų pristatymas </w:t>
      </w:r>
      <w:r w:rsidR="00B73D5E" w:rsidRPr="00982D67">
        <w:rPr>
          <w:rFonts w:cs="Times New Roman"/>
          <w:i/>
          <w:szCs w:val="24"/>
          <w:lang w:eastAsia="lt-LT" w:bidi="lt-LT"/>
        </w:rPr>
        <w:t>(komisijos ir pirmininkaujančios šalies informacija)</w:t>
      </w:r>
    </w:p>
    <w:p w:rsidR="00E84901" w:rsidRDefault="00E84901" w:rsidP="009D42D8">
      <w:pPr>
        <w:spacing w:after="0" w:line="240" w:lineRule="auto"/>
        <w:ind w:left="-142"/>
        <w:jc w:val="both"/>
        <w:rPr>
          <w:rFonts w:eastAsia="Calibri" w:cs="Times New Roman"/>
          <w:b/>
          <w:szCs w:val="24"/>
          <w:u w:val="single"/>
        </w:rPr>
      </w:pPr>
    </w:p>
    <w:p w:rsidR="009D42D8" w:rsidRPr="00982D67" w:rsidRDefault="0042242F" w:rsidP="009D42D8">
      <w:pPr>
        <w:spacing w:after="0" w:line="240" w:lineRule="auto"/>
        <w:ind w:left="-142"/>
        <w:jc w:val="both"/>
        <w:rPr>
          <w:rFonts w:eastAsia="Calibri" w:cs="Times New Roman"/>
          <w:szCs w:val="24"/>
        </w:rPr>
      </w:pPr>
      <w:r w:rsidRPr="00982D67">
        <w:rPr>
          <w:rFonts w:eastAsia="Calibri" w:cs="Times New Roman"/>
          <w:b/>
          <w:szCs w:val="24"/>
          <w:u w:val="single"/>
        </w:rPr>
        <w:t>Klausimo esmė.</w:t>
      </w:r>
      <w:r w:rsidR="00471481" w:rsidRPr="00982D67">
        <w:rPr>
          <w:rFonts w:eastAsia="Calibri" w:cs="Times New Roman"/>
          <w:b/>
          <w:szCs w:val="24"/>
          <w:u w:val="single"/>
        </w:rPr>
        <w:t xml:space="preserve"> </w:t>
      </w:r>
      <w:r w:rsidR="009D42D8" w:rsidRPr="00982D67">
        <w:rPr>
          <w:rFonts w:eastAsia="Calibri" w:cs="Times New Roman"/>
          <w:szCs w:val="24"/>
        </w:rPr>
        <w:t xml:space="preserve">Pirmininkaujanti šalis ir Komisija pristatys informaciją iš š. m. spalio 12-18 d. vykusių G20 finansų ministrų ir centrinių bankų valdytojų susitikimo ir TVF ir Pasaulio banko metinio susitikimo (virtualiu formatu). </w:t>
      </w:r>
    </w:p>
    <w:p w:rsidR="009D42D8" w:rsidRPr="00982D67" w:rsidRDefault="009D42D8" w:rsidP="009D42D8">
      <w:pPr>
        <w:spacing w:after="0" w:line="240" w:lineRule="auto"/>
        <w:ind w:left="-142"/>
        <w:jc w:val="both"/>
        <w:rPr>
          <w:rFonts w:eastAsia="Calibri" w:cs="Times New Roman"/>
          <w:szCs w:val="24"/>
        </w:rPr>
      </w:pPr>
      <w:r w:rsidRPr="00982D67">
        <w:rPr>
          <w:rFonts w:eastAsia="Calibri" w:cs="Times New Roman"/>
          <w:szCs w:val="24"/>
        </w:rPr>
        <w:t>Pagrindiniai metinio susitikimo akcentai:</w:t>
      </w:r>
    </w:p>
    <w:p w:rsidR="009D42D8" w:rsidRPr="00982D67" w:rsidRDefault="009D42D8" w:rsidP="009D42D8">
      <w:pPr>
        <w:spacing w:after="0" w:line="240" w:lineRule="auto"/>
        <w:ind w:left="-142"/>
        <w:jc w:val="both"/>
        <w:rPr>
          <w:rFonts w:eastAsia="Calibri" w:cs="Times New Roman"/>
          <w:szCs w:val="24"/>
        </w:rPr>
      </w:pPr>
      <w:r w:rsidRPr="00982D67">
        <w:rPr>
          <w:rFonts w:eastAsia="Calibri" w:cs="Times New Roman"/>
          <w:szCs w:val="24"/>
        </w:rPr>
        <w:t>-</w:t>
      </w:r>
      <w:r w:rsidRPr="00982D67">
        <w:rPr>
          <w:rFonts w:eastAsia="Calibri" w:cs="Times New Roman"/>
          <w:szCs w:val="24"/>
        </w:rPr>
        <w:tab/>
        <w:t>Metinio susitikimo metu TVF pristatė naujausias ekonomikos prognozes – TVF prognozuoja, kad 2020 m. pasaulio ekonomika susitrauks -4,4 proc., o 2021 m. augimas turėtų siekti 5,2 proc., tuo tarpu euro zonos ekonomika 2020 m. susitrauks -8,3 proc., 2021 m. augs 5,2 proc. Anot TVF, 2020 m. Lietuvos ekonomika susitrauks tik -1,8 proc., o 2021 m. prognozuojamas 4,1 proc. augimas.</w:t>
      </w:r>
    </w:p>
    <w:p w:rsidR="009D42D8" w:rsidRPr="00982D67" w:rsidRDefault="009D42D8" w:rsidP="009D42D8">
      <w:pPr>
        <w:spacing w:after="0" w:line="240" w:lineRule="auto"/>
        <w:ind w:left="-142"/>
        <w:jc w:val="both"/>
        <w:rPr>
          <w:rFonts w:eastAsia="Calibri" w:cs="Times New Roman"/>
          <w:szCs w:val="24"/>
        </w:rPr>
      </w:pPr>
      <w:r w:rsidRPr="00982D67">
        <w:rPr>
          <w:rFonts w:eastAsia="Calibri" w:cs="Times New Roman"/>
          <w:szCs w:val="24"/>
        </w:rPr>
        <w:t>-</w:t>
      </w:r>
      <w:r w:rsidRPr="00982D67">
        <w:rPr>
          <w:rFonts w:eastAsia="Calibri" w:cs="Times New Roman"/>
          <w:szCs w:val="24"/>
        </w:rPr>
        <w:tab/>
        <w:t xml:space="preserve">TVF pabrėžia, kad nors pasaulio ekonomikos perspektyva gerėja, tačiau ekonomikos atsigavimas vis dar nėra užtikrintas ir tolygus, bei skatina šalis taikyti priemones, kurios padėtų atstatyti pasitikėjimą, remtų užimtumą ir skatintų augimą. Svarbu per anksti nenutraukti ekonomiką skatinančių priemonių taikymo. Atsigavimo laikotarpiu svarbu spręsti iki krizės pasaulio ekonomiką slėgusias problemas, tokias kaip mažas produktyvumas, todėl reikia investuoti į infrastruktūrą, ypatingas dėmesys turi būti skirtas atsparesnės ateities kūrimui – svarbu pasinaudoti proga investuoti į išmanesnį, </w:t>
      </w:r>
      <w:proofErr w:type="spellStart"/>
      <w:r w:rsidRPr="00982D67">
        <w:rPr>
          <w:rFonts w:eastAsia="Calibri" w:cs="Times New Roman"/>
          <w:szCs w:val="24"/>
        </w:rPr>
        <w:t>įtraukesnį</w:t>
      </w:r>
      <w:proofErr w:type="spellEnd"/>
      <w:r w:rsidRPr="00982D67">
        <w:rPr>
          <w:rFonts w:eastAsia="Calibri" w:cs="Times New Roman"/>
          <w:szCs w:val="24"/>
        </w:rPr>
        <w:t>, žalesnį augimą.</w:t>
      </w:r>
    </w:p>
    <w:p w:rsidR="009D42D8" w:rsidRPr="00982D67" w:rsidRDefault="009D42D8" w:rsidP="009D42D8">
      <w:pPr>
        <w:spacing w:after="0" w:line="240" w:lineRule="auto"/>
        <w:ind w:left="-142"/>
        <w:jc w:val="both"/>
        <w:rPr>
          <w:rFonts w:eastAsia="Calibri" w:cs="Times New Roman"/>
          <w:szCs w:val="24"/>
        </w:rPr>
      </w:pPr>
      <w:r w:rsidRPr="00982D67">
        <w:rPr>
          <w:rFonts w:eastAsia="Calibri" w:cs="Times New Roman"/>
          <w:szCs w:val="24"/>
        </w:rPr>
        <w:lastRenderedPageBreak/>
        <w:t>-</w:t>
      </w:r>
      <w:r w:rsidRPr="00982D67">
        <w:rPr>
          <w:rFonts w:eastAsia="Calibri" w:cs="Times New Roman"/>
          <w:szCs w:val="24"/>
        </w:rPr>
        <w:tab/>
        <w:t xml:space="preserve">TVF vėl pradeda vykdyti dvišalę </w:t>
      </w:r>
      <w:proofErr w:type="spellStart"/>
      <w:r w:rsidRPr="00982D67">
        <w:rPr>
          <w:rFonts w:eastAsia="Calibri" w:cs="Times New Roman"/>
          <w:szCs w:val="24"/>
        </w:rPr>
        <w:t>stebėseną</w:t>
      </w:r>
      <w:proofErr w:type="spellEnd"/>
      <w:r w:rsidRPr="00982D67">
        <w:rPr>
          <w:rFonts w:eastAsia="Calibri" w:cs="Times New Roman"/>
          <w:szCs w:val="24"/>
        </w:rPr>
        <w:t xml:space="preserve">, kuri pavasarį dėl pandemijos buvo sustabdyta. TVF </w:t>
      </w:r>
      <w:proofErr w:type="spellStart"/>
      <w:r w:rsidRPr="00982D67">
        <w:rPr>
          <w:rFonts w:eastAsia="Calibri" w:cs="Times New Roman"/>
          <w:szCs w:val="24"/>
        </w:rPr>
        <w:t>stebėsena</w:t>
      </w:r>
      <w:proofErr w:type="spellEnd"/>
      <w:r w:rsidRPr="00982D67">
        <w:rPr>
          <w:rFonts w:eastAsia="Calibri" w:cs="Times New Roman"/>
          <w:szCs w:val="24"/>
        </w:rPr>
        <w:t xml:space="preserve"> bus sukoncentruota į šalių prioritetus siekiant išbristi iš COVID-19 krizės, didinti stabilumą ir patiesti tvirtus pagrindus atsigavimui. </w:t>
      </w:r>
    </w:p>
    <w:p w:rsidR="009D42D8" w:rsidRPr="00982D67" w:rsidRDefault="009D42D8" w:rsidP="009D42D8">
      <w:pPr>
        <w:spacing w:after="0" w:line="240" w:lineRule="auto"/>
        <w:ind w:left="-142"/>
        <w:jc w:val="both"/>
        <w:rPr>
          <w:rFonts w:eastAsia="Calibri" w:cs="Times New Roman"/>
          <w:szCs w:val="24"/>
        </w:rPr>
      </w:pPr>
      <w:r w:rsidRPr="00982D67">
        <w:rPr>
          <w:rFonts w:eastAsia="Calibri" w:cs="Times New Roman"/>
          <w:szCs w:val="24"/>
        </w:rPr>
        <w:t>-</w:t>
      </w:r>
      <w:r w:rsidRPr="00982D67">
        <w:rPr>
          <w:rFonts w:eastAsia="Calibri" w:cs="Times New Roman"/>
          <w:szCs w:val="24"/>
        </w:rPr>
        <w:tab/>
        <w:t xml:space="preserve">Metinio susitikimo metu daug dėmesio skirta skolos klausimams, vidutiniu laikotarpiu reikės spręsti šį klausimą, o kai kurioms mažų pajamų valstybėms sprendimas yra būtinas skubiai. G20 susitikimo metu sutarta pratęsti Skolos aptarnavimo mokėjimų sustabdymo iniciatyvą (angl. </w:t>
      </w:r>
      <w:proofErr w:type="spellStart"/>
      <w:r w:rsidRPr="00982D67">
        <w:rPr>
          <w:rFonts w:eastAsia="Calibri" w:cs="Times New Roman"/>
          <w:szCs w:val="24"/>
        </w:rPr>
        <w:t>Debt</w:t>
      </w:r>
      <w:proofErr w:type="spellEnd"/>
      <w:r w:rsidRPr="00982D67">
        <w:rPr>
          <w:rFonts w:eastAsia="Calibri" w:cs="Times New Roman"/>
          <w:szCs w:val="24"/>
        </w:rPr>
        <w:t xml:space="preserve"> </w:t>
      </w:r>
      <w:proofErr w:type="spellStart"/>
      <w:r w:rsidRPr="00982D67">
        <w:rPr>
          <w:rFonts w:eastAsia="Calibri" w:cs="Times New Roman"/>
          <w:szCs w:val="24"/>
        </w:rPr>
        <w:t>Service</w:t>
      </w:r>
      <w:proofErr w:type="spellEnd"/>
      <w:r w:rsidRPr="00982D67">
        <w:rPr>
          <w:rFonts w:eastAsia="Calibri" w:cs="Times New Roman"/>
          <w:szCs w:val="24"/>
        </w:rPr>
        <w:t xml:space="preserve"> </w:t>
      </w:r>
      <w:proofErr w:type="spellStart"/>
      <w:r w:rsidRPr="00982D67">
        <w:rPr>
          <w:rFonts w:eastAsia="Calibri" w:cs="Times New Roman"/>
          <w:szCs w:val="24"/>
        </w:rPr>
        <w:t>Suspension</w:t>
      </w:r>
      <w:proofErr w:type="spellEnd"/>
      <w:r w:rsidRPr="00982D67">
        <w:rPr>
          <w:rFonts w:eastAsia="Calibri" w:cs="Times New Roman"/>
          <w:szCs w:val="24"/>
        </w:rPr>
        <w:t xml:space="preserve"> </w:t>
      </w:r>
      <w:proofErr w:type="spellStart"/>
      <w:r w:rsidRPr="00982D67">
        <w:rPr>
          <w:rFonts w:eastAsia="Calibri" w:cs="Times New Roman"/>
          <w:szCs w:val="24"/>
        </w:rPr>
        <w:t>Initiative</w:t>
      </w:r>
      <w:proofErr w:type="spellEnd"/>
      <w:r w:rsidRPr="00982D67">
        <w:rPr>
          <w:rFonts w:eastAsia="Calibri" w:cs="Times New Roman"/>
          <w:szCs w:val="24"/>
        </w:rPr>
        <w:t xml:space="preserve">, DSSI) 6 mėnesiams iki 2021 m. TVF ir Pasaulio banko pavasarinio susitikimo, kurio metu bus svarstomas tolesnis šios iniciatyvos poreikis. G20 taip pat iš principo sutarė dėl bendros sistemos skolų traktavimui, kurią tikimasi patvirtinti papildomame G20 finansų ministrų ir centrinių bankų valdytojų susitikime, kuris bus rengiamas š. m. lapkričio mėn. prieš 2020 m. G20 viršūnių susitikimą. </w:t>
      </w:r>
    </w:p>
    <w:p w:rsidR="007932C0" w:rsidRPr="00982D67" w:rsidRDefault="009D42D8" w:rsidP="007932C0">
      <w:pPr>
        <w:spacing w:after="0" w:line="240" w:lineRule="auto"/>
        <w:ind w:left="-142"/>
        <w:jc w:val="both"/>
        <w:rPr>
          <w:rFonts w:cs="Times New Roman"/>
          <w:szCs w:val="24"/>
        </w:rPr>
      </w:pPr>
      <w:r w:rsidRPr="00982D67">
        <w:rPr>
          <w:rFonts w:eastAsia="Calibri" w:cs="Times New Roman"/>
          <w:szCs w:val="24"/>
        </w:rPr>
        <w:t>-</w:t>
      </w:r>
      <w:r w:rsidRPr="00982D67">
        <w:rPr>
          <w:rFonts w:eastAsia="Calibri" w:cs="Times New Roman"/>
          <w:szCs w:val="24"/>
        </w:rPr>
        <w:tab/>
        <w:t>G20 finansų ministrų ir centrinių bankų valdytojų susitikime EBPO pristatė pažangą siekiant reformuoti tarptautinį apmokestinimą. G20 terminą pasiekti pasaulinį konsensusu paremtą sprendimą mokesčių klausimais nukėlė į 2021 m. vidurį.</w:t>
      </w:r>
    </w:p>
    <w:p w:rsidR="00E84901" w:rsidRDefault="00E84901" w:rsidP="00982D67">
      <w:pPr>
        <w:spacing w:after="0" w:line="240" w:lineRule="auto"/>
        <w:ind w:hanging="142"/>
        <w:rPr>
          <w:rFonts w:cs="Times New Roman"/>
          <w:b/>
          <w:szCs w:val="24"/>
          <w:u w:val="single"/>
        </w:rPr>
      </w:pPr>
    </w:p>
    <w:p w:rsidR="0042242F" w:rsidRPr="00982D67" w:rsidRDefault="00471481" w:rsidP="00982D67">
      <w:pPr>
        <w:spacing w:after="0" w:line="240" w:lineRule="auto"/>
        <w:ind w:hanging="142"/>
        <w:rPr>
          <w:rFonts w:cs="Times New Roman"/>
          <w:szCs w:val="24"/>
          <w:lang w:val="en-US"/>
        </w:rPr>
      </w:pPr>
      <w:r w:rsidRPr="00982D67">
        <w:rPr>
          <w:rFonts w:cs="Times New Roman"/>
          <w:b/>
          <w:szCs w:val="24"/>
          <w:u w:val="single"/>
        </w:rPr>
        <w:t>Lietuvos pozicija</w:t>
      </w:r>
      <w:r w:rsidRPr="00982D67">
        <w:rPr>
          <w:rFonts w:cs="Times New Roman"/>
          <w:b/>
          <w:szCs w:val="24"/>
        </w:rPr>
        <w:t>.</w:t>
      </w:r>
      <w:r w:rsidRPr="00982D67">
        <w:rPr>
          <w:rFonts w:cs="Times New Roman"/>
          <w:szCs w:val="24"/>
        </w:rPr>
        <w:t xml:space="preserve"> </w:t>
      </w:r>
      <w:r w:rsidR="009D42D8" w:rsidRPr="00982D67">
        <w:rPr>
          <w:rFonts w:cs="Times New Roman"/>
          <w:szCs w:val="24"/>
        </w:rPr>
        <w:t>Išklausyti informaciją.</w:t>
      </w:r>
    </w:p>
    <w:p w:rsidR="00471481" w:rsidRPr="00982D67" w:rsidRDefault="00471481" w:rsidP="007932C0">
      <w:pPr>
        <w:spacing w:after="0" w:line="240" w:lineRule="auto"/>
        <w:rPr>
          <w:rFonts w:cs="Times New Roman"/>
          <w:szCs w:val="24"/>
        </w:rPr>
      </w:pPr>
    </w:p>
    <w:p w:rsidR="00BC6C3E" w:rsidRPr="00982D67" w:rsidRDefault="00B73D5E" w:rsidP="007932C0">
      <w:pPr>
        <w:pBdr>
          <w:top w:val="single" w:sz="4" w:space="1" w:color="auto"/>
          <w:left w:val="single" w:sz="4" w:space="4" w:color="auto"/>
          <w:bottom w:val="single" w:sz="4" w:space="0" w:color="auto"/>
          <w:right w:val="single" w:sz="4" w:space="4" w:color="auto"/>
        </w:pBdr>
        <w:shd w:val="clear" w:color="auto" w:fill="D9D9D9" w:themeFill="background1" w:themeFillShade="D9"/>
        <w:spacing w:after="0" w:line="240" w:lineRule="auto"/>
        <w:jc w:val="both"/>
        <w:rPr>
          <w:rFonts w:cs="Times New Roman"/>
          <w:i/>
          <w:iCs/>
          <w:szCs w:val="24"/>
        </w:rPr>
      </w:pPr>
      <w:r w:rsidRPr="00982D67">
        <w:rPr>
          <w:rFonts w:cs="Times New Roman"/>
          <w:b/>
          <w:szCs w:val="24"/>
          <w:lang w:eastAsia="lt-LT" w:bidi="lt-LT"/>
        </w:rPr>
        <w:t>Išvados dėl ES statistikos</w:t>
      </w:r>
      <w:r w:rsidR="0042242F" w:rsidRPr="00982D67">
        <w:rPr>
          <w:rFonts w:cs="Times New Roman"/>
          <w:b/>
          <w:szCs w:val="24"/>
          <w:lang w:eastAsia="lt-LT" w:bidi="lt-LT"/>
        </w:rPr>
        <w:t xml:space="preserve"> </w:t>
      </w:r>
      <w:r w:rsidR="0042242F" w:rsidRPr="00982D67">
        <w:rPr>
          <w:rFonts w:eastAsia="Calibri" w:cs="Times New Roman"/>
          <w:i/>
          <w:szCs w:val="24"/>
        </w:rPr>
        <w:t>(apsikeitimas nuomonėmis)</w:t>
      </w:r>
    </w:p>
    <w:p w:rsidR="00E84901" w:rsidRDefault="00E84901" w:rsidP="00A96A6D">
      <w:pPr>
        <w:spacing w:after="0" w:line="240" w:lineRule="auto"/>
        <w:jc w:val="both"/>
        <w:rPr>
          <w:rFonts w:eastAsia="Calibri" w:cs="Times New Roman"/>
          <w:b/>
          <w:szCs w:val="24"/>
          <w:u w:val="single"/>
        </w:rPr>
      </w:pPr>
    </w:p>
    <w:p w:rsidR="00A96A6D" w:rsidRPr="00982D67" w:rsidRDefault="0042242F" w:rsidP="00A96A6D">
      <w:pPr>
        <w:spacing w:after="0" w:line="240" w:lineRule="auto"/>
        <w:jc w:val="both"/>
        <w:rPr>
          <w:rFonts w:eastAsia="Calibri" w:cs="Times New Roman"/>
          <w:szCs w:val="24"/>
        </w:rPr>
      </w:pPr>
      <w:r w:rsidRPr="00982D67">
        <w:rPr>
          <w:rFonts w:eastAsia="Calibri" w:cs="Times New Roman"/>
          <w:b/>
          <w:szCs w:val="24"/>
          <w:u w:val="single"/>
        </w:rPr>
        <w:t>Klausimo esmė.</w:t>
      </w:r>
      <w:r w:rsidR="000A25C8" w:rsidRPr="00982D67">
        <w:rPr>
          <w:rFonts w:eastAsia="Calibri" w:cs="Times New Roman"/>
          <w:szCs w:val="24"/>
        </w:rPr>
        <w:t xml:space="preserve"> </w:t>
      </w:r>
      <w:r w:rsidR="00A96A6D" w:rsidRPr="00982D67">
        <w:rPr>
          <w:rFonts w:eastAsia="Calibri" w:cs="Times New Roman"/>
          <w:szCs w:val="24"/>
        </w:rPr>
        <w:t xml:space="preserve">Tarybos išvadose palankiai vertinamas greitas Europos statistikos ir Europos Centrinių Bankų sistemų atsakas į COVID-19 pandemiją, rengiant oficialiąją statistiką ir užtikrinant  jos sklaidą nustatytais terminais. Pažymima, kad Europos statistikos sistema (ESS), reaguodama į pandemijos metu kilusius vartotojų poreikius, pradėjo rengti nemažai aktualios operatyvios  eksperimentinės statistikos. Skatinamas naujų duomenų šaltinių ir technologijų, </w:t>
      </w:r>
      <w:proofErr w:type="spellStart"/>
      <w:r w:rsidR="00A96A6D" w:rsidRPr="00982D67">
        <w:rPr>
          <w:rFonts w:eastAsia="Calibri" w:cs="Times New Roman"/>
          <w:szCs w:val="24"/>
        </w:rPr>
        <w:t>inovatyvių</w:t>
      </w:r>
      <w:proofErr w:type="spellEnd"/>
      <w:r w:rsidR="00A96A6D" w:rsidRPr="00982D67">
        <w:rPr>
          <w:rFonts w:eastAsia="Calibri" w:cs="Times New Roman"/>
          <w:szCs w:val="24"/>
        </w:rPr>
        <w:t xml:space="preserve"> metodų panaudojimas.</w:t>
      </w:r>
    </w:p>
    <w:p w:rsidR="00A96A6D" w:rsidRPr="00982D67" w:rsidRDefault="00A96A6D" w:rsidP="00A96A6D">
      <w:pPr>
        <w:spacing w:after="0" w:line="240" w:lineRule="auto"/>
        <w:jc w:val="both"/>
        <w:rPr>
          <w:rFonts w:eastAsia="Calibri" w:cs="Times New Roman"/>
          <w:szCs w:val="24"/>
        </w:rPr>
      </w:pPr>
      <w:r w:rsidRPr="00982D67">
        <w:rPr>
          <w:rFonts w:eastAsia="Calibri" w:cs="Times New Roman"/>
          <w:szCs w:val="24"/>
        </w:rPr>
        <w:t xml:space="preserve">Išvadose palankiai vertinama Vokietijos statistikos tarnybos DESTATIS inicijuotos ir kartu su Eurostatu pradėtos įgyvendinti COVID švieslentės, skirtos ekonominių ir socialinių procesų atsigavimo nuo COVID pasekmių </w:t>
      </w:r>
      <w:proofErr w:type="spellStart"/>
      <w:r w:rsidRPr="00982D67">
        <w:rPr>
          <w:rFonts w:eastAsia="Calibri" w:cs="Times New Roman"/>
          <w:szCs w:val="24"/>
        </w:rPr>
        <w:t>stebėsenai</w:t>
      </w:r>
      <w:proofErr w:type="spellEnd"/>
      <w:r w:rsidRPr="00982D67">
        <w:rPr>
          <w:rFonts w:eastAsia="Calibri" w:cs="Times New Roman"/>
          <w:szCs w:val="24"/>
        </w:rPr>
        <w:t xml:space="preserve">, kūrimo iniciatyva.  </w:t>
      </w:r>
    </w:p>
    <w:p w:rsidR="00A96A6D" w:rsidRPr="00982D67" w:rsidRDefault="00A96A6D" w:rsidP="00A96A6D">
      <w:pPr>
        <w:spacing w:after="0" w:line="240" w:lineRule="auto"/>
        <w:jc w:val="both"/>
        <w:rPr>
          <w:rFonts w:eastAsia="Calibri" w:cs="Times New Roman"/>
          <w:szCs w:val="24"/>
        </w:rPr>
      </w:pPr>
      <w:r w:rsidRPr="00982D67">
        <w:rPr>
          <w:rFonts w:eastAsia="Calibri" w:cs="Times New Roman"/>
          <w:szCs w:val="24"/>
        </w:rPr>
        <w:t xml:space="preserve">Taip pat sveikinama Eurostato veikla sudarant sąlygas vieningai informacijai apie COVID-19 priemonių įtaką  valdžios sektoriaus finansų statistikai teikti. </w:t>
      </w:r>
    </w:p>
    <w:p w:rsidR="00A96A6D" w:rsidRPr="00982D67" w:rsidRDefault="00A96A6D" w:rsidP="00A96A6D">
      <w:pPr>
        <w:spacing w:after="0" w:line="240" w:lineRule="auto"/>
        <w:jc w:val="both"/>
        <w:rPr>
          <w:rFonts w:eastAsia="Calibri" w:cs="Times New Roman"/>
          <w:szCs w:val="24"/>
        </w:rPr>
      </w:pPr>
      <w:r w:rsidRPr="00982D67">
        <w:rPr>
          <w:rFonts w:eastAsia="Calibri" w:cs="Times New Roman"/>
          <w:szCs w:val="24"/>
        </w:rPr>
        <w:t>Išvadose pabrėžiama būtinybė užtikrinti tinkamas investicijas į statistikos infrastruktūrą ir jos palaikymą Europos ir nacionaliniu lygmenimis.</w:t>
      </w:r>
    </w:p>
    <w:p w:rsidR="00A96A6D" w:rsidRPr="00982D67" w:rsidRDefault="00A96A6D" w:rsidP="00A96A6D">
      <w:pPr>
        <w:spacing w:after="0" w:line="240" w:lineRule="auto"/>
        <w:jc w:val="both"/>
        <w:rPr>
          <w:rFonts w:eastAsia="Calibri" w:cs="Times New Roman"/>
          <w:szCs w:val="24"/>
        </w:rPr>
      </w:pPr>
      <w:r w:rsidRPr="00982D67">
        <w:rPr>
          <w:rFonts w:eastAsia="Calibri" w:cs="Times New Roman"/>
          <w:szCs w:val="24"/>
        </w:rPr>
        <w:t xml:space="preserve">ESS raginama teikti informaciją, reikalingą Europos Žaliojo kurso poreikiams patenkinti, įskaitant Europos aplinkos ekonominių sąskaitų programos peržiūrą ir plėtrą bei tolesnę savalaikių rodiklių plėtrą. </w:t>
      </w:r>
    </w:p>
    <w:p w:rsidR="00A96A6D" w:rsidRPr="00982D67" w:rsidRDefault="00A96A6D" w:rsidP="00A96A6D">
      <w:pPr>
        <w:spacing w:after="0" w:line="240" w:lineRule="auto"/>
        <w:jc w:val="both"/>
        <w:rPr>
          <w:rFonts w:eastAsia="Calibri" w:cs="Times New Roman"/>
          <w:szCs w:val="24"/>
        </w:rPr>
      </w:pPr>
      <w:r w:rsidRPr="00982D67">
        <w:rPr>
          <w:rFonts w:eastAsia="Calibri" w:cs="Times New Roman"/>
          <w:szCs w:val="24"/>
        </w:rPr>
        <w:t>Pripažįstama pasiekta pažanga gerinant Pagrindinių Europos ekonominių rodiklių (</w:t>
      </w:r>
      <w:proofErr w:type="spellStart"/>
      <w:r w:rsidRPr="00982D67">
        <w:rPr>
          <w:rFonts w:eastAsia="Calibri" w:cs="Times New Roman"/>
          <w:szCs w:val="24"/>
        </w:rPr>
        <w:t>PEEIs</w:t>
      </w:r>
      <w:proofErr w:type="spellEnd"/>
      <w:r w:rsidRPr="00982D67">
        <w:rPr>
          <w:rFonts w:eastAsia="Calibri" w:cs="Times New Roman"/>
          <w:szCs w:val="24"/>
        </w:rPr>
        <w:t xml:space="preserve">) kokybę teritorinės aprėpties, savalaikiškumo, laiko eilučių ilgio požiūriu. </w:t>
      </w:r>
    </w:p>
    <w:p w:rsidR="00A96A6D" w:rsidRPr="00982D67" w:rsidRDefault="00A96A6D" w:rsidP="00A96A6D">
      <w:pPr>
        <w:spacing w:after="0" w:line="240" w:lineRule="auto"/>
        <w:jc w:val="both"/>
        <w:rPr>
          <w:rFonts w:eastAsia="Calibri" w:cs="Times New Roman"/>
          <w:szCs w:val="24"/>
        </w:rPr>
      </w:pPr>
      <w:r w:rsidRPr="00982D67">
        <w:rPr>
          <w:rFonts w:eastAsia="Calibri" w:cs="Times New Roman"/>
          <w:szCs w:val="24"/>
        </w:rPr>
        <w:t xml:space="preserve">Palankiai vertinama ESS ir Europos centrinių bankų sistemos (ECBS) veikla vystant komercinės paskirties nekilnojamojo turto statistiką.  </w:t>
      </w:r>
    </w:p>
    <w:p w:rsidR="00A96A6D" w:rsidRPr="00982D67" w:rsidRDefault="00A96A6D" w:rsidP="00A96A6D">
      <w:pPr>
        <w:spacing w:after="0" w:line="240" w:lineRule="auto"/>
        <w:jc w:val="both"/>
        <w:rPr>
          <w:rFonts w:eastAsia="Calibri" w:cs="Times New Roman"/>
          <w:szCs w:val="24"/>
        </w:rPr>
      </w:pPr>
      <w:r w:rsidRPr="00982D67">
        <w:rPr>
          <w:rFonts w:eastAsia="Calibri" w:cs="Times New Roman"/>
          <w:szCs w:val="24"/>
        </w:rPr>
        <w:t>Tarybos išvadose palankiai vertinama metinė ESS ir ECBS MIP kokybės ataskaita ir joje numatyti veiksmai. Šalys skatinamos užtikrinti Stabilumo ir augimo pakto įgyvendinimui reikalingos statistikos teikimą Eurostatui.</w:t>
      </w:r>
    </w:p>
    <w:p w:rsidR="00A96A6D" w:rsidRPr="00982D67" w:rsidRDefault="00A96A6D" w:rsidP="00A96A6D">
      <w:pPr>
        <w:spacing w:after="0" w:line="240" w:lineRule="auto"/>
        <w:jc w:val="both"/>
        <w:rPr>
          <w:rFonts w:eastAsia="Calibri" w:cs="Times New Roman"/>
          <w:szCs w:val="24"/>
        </w:rPr>
      </w:pPr>
      <w:r w:rsidRPr="00982D67">
        <w:rPr>
          <w:rFonts w:eastAsia="Calibri" w:cs="Times New Roman"/>
          <w:szCs w:val="24"/>
        </w:rPr>
        <w:t xml:space="preserve">Taip pat pripažįstama gyventojų prognozių, socialinės statistikos modernizavimo didinant jos detalumą ir savalaikiškumą svarba. Kaip ypatingai aktuali įvardijama namų ūkių pajamų, vartojimo ir turto statistika. </w:t>
      </w:r>
    </w:p>
    <w:p w:rsidR="00A96A6D" w:rsidRPr="00982D67" w:rsidRDefault="00A96A6D" w:rsidP="00A96A6D">
      <w:pPr>
        <w:spacing w:after="0" w:line="240" w:lineRule="auto"/>
        <w:jc w:val="both"/>
        <w:rPr>
          <w:rFonts w:eastAsia="Calibri" w:cs="Times New Roman"/>
          <w:szCs w:val="24"/>
        </w:rPr>
      </w:pPr>
      <w:r w:rsidRPr="00982D67">
        <w:rPr>
          <w:rFonts w:eastAsia="Calibri" w:cs="Times New Roman"/>
          <w:szCs w:val="24"/>
        </w:rPr>
        <w:t xml:space="preserve">Išvadose palankiai vertinami pokyčiai, susiję su Europos verslo statistikos reglamento reikalavimų įgyvendinimu ir  verslo statistikos aktualumo didinimu (perėjimo prie mėnesinės paslaugų statistikos, apgyvendinimo paslaugų platformų duomenų panaudojimu turizmo statistikoje, detalesne tarptautinės prekybos statistika). </w:t>
      </w:r>
    </w:p>
    <w:p w:rsidR="0042242F" w:rsidRPr="004A7E04" w:rsidRDefault="00A96A6D" w:rsidP="004A7E04">
      <w:pPr>
        <w:spacing w:after="0" w:line="240" w:lineRule="auto"/>
        <w:jc w:val="both"/>
        <w:rPr>
          <w:rFonts w:cs="Times New Roman"/>
          <w:szCs w:val="24"/>
        </w:rPr>
      </w:pPr>
      <w:r w:rsidRPr="00982D67">
        <w:rPr>
          <w:rFonts w:eastAsia="Calibri" w:cs="Times New Roman"/>
          <w:szCs w:val="24"/>
        </w:rPr>
        <w:t>Atspindint globalizacijos procesus, pripažįstama ESS ir ESBS bendradarbiavimo svarba ir skatinamos duomenų mainų tarp statistikos rengėjų iniciatyvos.</w:t>
      </w:r>
    </w:p>
    <w:p w:rsidR="00E84901" w:rsidRDefault="00E84901" w:rsidP="00917A03">
      <w:pPr>
        <w:pStyle w:val="Sraopastraipa"/>
        <w:tabs>
          <w:tab w:val="left" w:pos="284"/>
        </w:tabs>
        <w:spacing w:after="0" w:line="240" w:lineRule="auto"/>
        <w:ind w:left="0"/>
        <w:jc w:val="both"/>
        <w:rPr>
          <w:rFonts w:eastAsia="Calibri" w:cs="Times New Roman"/>
          <w:b/>
          <w:szCs w:val="24"/>
          <w:u w:val="single"/>
        </w:rPr>
      </w:pPr>
    </w:p>
    <w:p w:rsidR="00917A03" w:rsidRPr="00982D67" w:rsidRDefault="0042242F" w:rsidP="00917A03">
      <w:pPr>
        <w:pStyle w:val="Sraopastraipa"/>
        <w:tabs>
          <w:tab w:val="left" w:pos="284"/>
        </w:tabs>
        <w:spacing w:after="0" w:line="240" w:lineRule="auto"/>
        <w:ind w:left="0"/>
        <w:jc w:val="both"/>
        <w:rPr>
          <w:rFonts w:eastAsia="Calibri" w:cs="Times New Roman"/>
          <w:color w:val="000000"/>
          <w:szCs w:val="24"/>
        </w:rPr>
      </w:pPr>
      <w:r w:rsidRPr="00982D67">
        <w:rPr>
          <w:rFonts w:eastAsia="Calibri" w:cs="Times New Roman"/>
          <w:b/>
          <w:szCs w:val="24"/>
          <w:u w:val="single"/>
        </w:rPr>
        <w:t>Lietuvos pozicija.</w:t>
      </w:r>
      <w:r w:rsidR="008D6B38" w:rsidRPr="00982D67">
        <w:rPr>
          <w:rFonts w:eastAsia="Calibri" w:cs="Times New Roman"/>
          <w:b/>
          <w:szCs w:val="24"/>
          <w:u w:val="single"/>
        </w:rPr>
        <w:t xml:space="preserve"> </w:t>
      </w:r>
      <w:r w:rsidR="00A96A6D" w:rsidRPr="00982D67">
        <w:rPr>
          <w:rFonts w:eastAsia="Calibri" w:cs="Times New Roman"/>
          <w:szCs w:val="24"/>
        </w:rPr>
        <w:t>Pritarti Tarybos išvadoms dėl ES statistikos.</w:t>
      </w:r>
    </w:p>
    <w:p w:rsidR="0042242F" w:rsidRDefault="0042242F" w:rsidP="007932C0">
      <w:pPr>
        <w:spacing w:after="0" w:line="240" w:lineRule="auto"/>
        <w:ind w:hanging="142"/>
        <w:jc w:val="both"/>
        <w:rPr>
          <w:rFonts w:eastAsia="Calibri" w:cs="Times New Roman"/>
          <w:b/>
          <w:szCs w:val="24"/>
          <w:u w:val="single"/>
        </w:rPr>
      </w:pPr>
    </w:p>
    <w:p w:rsidR="00E84901" w:rsidRDefault="00E84901" w:rsidP="007932C0">
      <w:pPr>
        <w:spacing w:after="0" w:line="240" w:lineRule="auto"/>
        <w:ind w:hanging="142"/>
        <w:jc w:val="both"/>
        <w:rPr>
          <w:rFonts w:eastAsia="Calibri" w:cs="Times New Roman"/>
          <w:b/>
          <w:szCs w:val="24"/>
          <w:u w:val="single"/>
        </w:rPr>
      </w:pPr>
    </w:p>
    <w:p w:rsidR="00E84901" w:rsidRPr="00982D67" w:rsidRDefault="00E84901" w:rsidP="007932C0">
      <w:pPr>
        <w:spacing w:after="0" w:line="240" w:lineRule="auto"/>
        <w:ind w:hanging="142"/>
        <w:jc w:val="both"/>
        <w:rPr>
          <w:rFonts w:eastAsia="Calibri" w:cs="Times New Roman"/>
          <w:b/>
          <w:szCs w:val="24"/>
          <w:u w:val="single"/>
        </w:rPr>
      </w:pPr>
    </w:p>
    <w:p w:rsidR="00BC6C3E" w:rsidRPr="00982D67" w:rsidRDefault="00BC6C3E" w:rsidP="007932C0">
      <w:pPr>
        <w:spacing w:after="0" w:line="240" w:lineRule="auto"/>
        <w:jc w:val="center"/>
        <w:rPr>
          <w:rFonts w:eastAsia="Calibri" w:cs="Times New Roman"/>
          <w:b/>
          <w:szCs w:val="24"/>
        </w:rPr>
      </w:pPr>
    </w:p>
    <w:p w:rsidR="00A207C8" w:rsidRPr="00982D67" w:rsidRDefault="00A207C8" w:rsidP="007932C0">
      <w:pPr>
        <w:spacing w:after="0" w:line="240" w:lineRule="auto"/>
        <w:jc w:val="center"/>
        <w:rPr>
          <w:rFonts w:eastAsia="Calibri" w:cs="Times New Roman"/>
          <w:b/>
          <w:szCs w:val="24"/>
        </w:rPr>
      </w:pPr>
      <w:r w:rsidRPr="00982D67">
        <w:rPr>
          <w:rFonts w:eastAsia="Calibri" w:cs="Times New Roman"/>
          <w:b/>
          <w:szCs w:val="24"/>
        </w:rPr>
        <w:lastRenderedPageBreak/>
        <w:t xml:space="preserve">PAŽYMA </w:t>
      </w:r>
    </w:p>
    <w:p w:rsidR="00A207C8" w:rsidRPr="00982D67" w:rsidRDefault="00917A03" w:rsidP="007932C0">
      <w:pPr>
        <w:spacing w:after="0" w:line="240" w:lineRule="auto"/>
        <w:jc w:val="center"/>
        <w:rPr>
          <w:rFonts w:eastAsia="Calibri" w:cs="Times New Roman"/>
          <w:b/>
          <w:szCs w:val="24"/>
        </w:rPr>
      </w:pPr>
      <w:r w:rsidRPr="00982D67">
        <w:rPr>
          <w:rFonts w:eastAsia="Calibri" w:cs="Times New Roman"/>
          <w:b/>
          <w:szCs w:val="24"/>
        </w:rPr>
        <w:t xml:space="preserve">Dėl š. m. lapkričio </w:t>
      </w:r>
      <w:r w:rsidRPr="00982D67">
        <w:rPr>
          <w:rFonts w:eastAsia="Calibri" w:cs="Times New Roman"/>
          <w:b/>
          <w:szCs w:val="24"/>
          <w:lang w:val="en-US"/>
        </w:rPr>
        <w:t>3</w:t>
      </w:r>
      <w:r w:rsidR="00A207C8" w:rsidRPr="00982D67">
        <w:rPr>
          <w:rFonts w:eastAsia="Calibri" w:cs="Times New Roman"/>
          <w:b/>
          <w:szCs w:val="24"/>
        </w:rPr>
        <w:t xml:space="preserve"> d. EURO grupės vaizdo konferencijoje svarstomų klausimų</w:t>
      </w:r>
    </w:p>
    <w:p w:rsidR="00982D67" w:rsidRPr="00982D67" w:rsidRDefault="00982D67" w:rsidP="00982D67">
      <w:pPr>
        <w:spacing w:after="0" w:line="240" w:lineRule="auto"/>
        <w:jc w:val="both"/>
        <w:rPr>
          <w:rFonts w:cs="Times New Roman"/>
          <w:b/>
          <w:szCs w:val="24"/>
        </w:rPr>
      </w:pPr>
    </w:p>
    <w:p w:rsidR="00982D67" w:rsidRPr="00982D67" w:rsidRDefault="00982D67" w:rsidP="00982D67">
      <w:pPr>
        <w:pBdr>
          <w:top w:val="single" w:sz="4" w:space="1" w:color="auto"/>
          <w:left w:val="single" w:sz="4" w:space="4" w:color="auto"/>
          <w:bottom w:val="single" w:sz="4" w:space="0" w:color="auto"/>
          <w:right w:val="single" w:sz="4" w:space="4" w:color="auto"/>
        </w:pBdr>
        <w:shd w:val="clear" w:color="auto" w:fill="D9D9D9" w:themeFill="background1" w:themeFillShade="D9"/>
        <w:spacing w:after="0" w:line="240" w:lineRule="auto"/>
        <w:jc w:val="both"/>
        <w:rPr>
          <w:rFonts w:cs="Times New Roman"/>
          <w:b/>
          <w:szCs w:val="24"/>
        </w:rPr>
      </w:pPr>
      <w:proofErr w:type="spellStart"/>
      <w:r w:rsidRPr="00982D67">
        <w:rPr>
          <w:rFonts w:eastAsia="Times New Roman" w:cs="Times New Roman"/>
          <w:b/>
          <w:color w:val="222222"/>
          <w:szCs w:val="24"/>
          <w:lang w:eastAsia="lt-LT"/>
        </w:rPr>
        <w:t>Covid-19</w:t>
      </w:r>
      <w:proofErr w:type="spellEnd"/>
      <w:r w:rsidRPr="00982D67">
        <w:rPr>
          <w:rFonts w:eastAsia="Times New Roman" w:cs="Times New Roman"/>
          <w:b/>
          <w:color w:val="222222"/>
          <w:szCs w:val="24"/>
          <w:lang w:eastAsia="lt-LT"/>
        </w:rPr>
        <w:t xml:space="preserve"> – ekonomikos perspektyvos ir iššūkiai euro zonoje ir pasaulio ekonomikoje. Apsikeitimas nuomonėmis su Europos Parlamento Ekonomikos ir pinigų politikos komiteto pirmininku</w:t>
      </w:r>
    </w:p>
    <w:p w:rsidR="00982D67" w:rsidRPr="00982D67" w:rsidRDefault="00982D67" w:rsidP="00982D67">
      <w:pPr>
        <w:spacing w:after="0" w:line="240" w:lineRule="auto"/>
        <w:jc w:val="both"/>
        <w:rPr>
          <w:rFonts w:cs="Times New Roman"/>
          <w:b/>
          <w:szCs w:val="24"/>
        </w:rPr>
      </w:pPr>
    </w:p>
    <w:p w:rsidR="00E84901" w:rsidRDefault="00982D67" w:rsidP="00E15DB8">
      <w:pPr>
        <w:spacing w:after="0" w:line="240" w:lineRule="auto"/>
        <w:jc w:val="both"/>
        <w:rPr>
          <w:rFonts w:cs="Times New Roman"/>
          <w:szCs w:val="24"/>
        </w:rPr>
      </w:pPr>
      <w:r w:rsidRPr="00982D67">
        <w:rPr>
          <w:rFonts w:eastAsia="Calibri" w:cs="Times New Roman"/>
          <w:b/>
          <w:szCs w:val="24"/>
          <w:u w:val="single"/>
        </w:rPr>
        <w:t>Klausimo esmė.</w:t>
      </w:r>
      <w:r w:rsidRPr="00982D67">
        <w:rPr>
          <w:rFonts w:cs="Times New Roman"/>
          <w:szCs w:val="24"/>
        </w:rPr>
        <w:t xml:space="preserve"> Šiuo metu naujausias ekonomines prognozes (spalio mėn.) yra paskelbęs Tarptautinis valiutos fondas (TVF). Naujas EK prognozes planuojama skelbti lapkričio 5 d. TVF prognozuoja, kad 2020 m. pasaulio ekonomika susitrauks 4,4 proc., euro zonos – 8,3 proc., o 2021 m. pasaulio ekonomika augs 5,2 proc., euro zonos taip pat 5,2 proc. Lietuvos ekonomika remiantis rugsėjo mėn. FM prognozėmis 2020 m. susitrauks 1,5 proc., o 2021 m. augs 3,3 proc. Pagrindiniu iššūkiu visose prognozėse išlieka neapibrėžta situacija dėl tolesnės pandemijos eigos. </w:t>
      </w:r>
    </w:p>
    <w:p w:rsidR="000601BB" w:rsidRDefault="000601BB" w:rsidP="00E15DB8">
      <w:pPr>
        <w:spacing w:after="0" w:line="240" w:lineRule="auto"/>
        <w:jc w:val="both"/>
        <w:rPr>
          <w:rFonts w:cs="Times New Roman"/>
          <w:b/>
          <w:bCs/>
          <w:szCs w:val="24"/>
          <w:u w:val="single"/>
        </w:rPr>
      </w:pPr>
    </w:p>
    <w:p w:rsidR="00E15DB8" w:rsidRPr="00C87DB9" w:rsidRDefault="00982D67" w:rsidP="00E15DB8">
      <w:pPr>
        <w:spacing w:after="0" w:line="240" w:lineRule="auto"/>
        <w:jc w:val="both"/>
        <w:rPr>
          <w:rFonts w:cs="Times New Roman"/>
          <w:szCs w:val="24"/>
        </w:rPr>
      </w:pPr>
      <w:bookmarkStart w:id="0" w:name="_GoBack"/>
      <w:bookmarkEnd w:id="0"/>
      <w:r w:rsidRPr="00982D67">
        <w:rPr>
          <w:rFonts w:cs="Times New Roman"/>
          <w:b/>
          <w:bCs/>
          <w:szCs w:val="24"/>
          <w:u w:val="single"/>
        </w:rPr>
        <w:t>Lietuvos pozicija.</w:t>
      </w:r>
      <w:r w:rsidRPr="00982D67">
        <w:rPr>
          <w:rFonts w:cs="Times New Roman"/>
          <w:b/>
          <w:bCs/>
          <w:szCs w:val="24"/>
        </w:rPr>
        <w:t xml:space="preserve"> </w:t>
      </w:r>
      <w:r w:rsidR="00E15DB8" w:rsidRPr="00982D67">
        <w:rPr>
          <w:rFonts w:cs="Times New Roman"/>
          <w:szCs w:val="24"/>
        </w:rPr>
        <w:t xml:space="preserve">Svarbu, kad dabartinės ekonomikos </w:t>
      </w:r>
      <w:r w:rsidR="00627190">
        <w:rPr>
          <w:rFonts w:cs="Times New Roman"/>
          <w:szCs w:val="24"/>
        </w:rPr>
        <w:t>gaivinimo</w:t>
      </w:r>
      <w:r w:rsidR="00E15DB8" w:rsidRPr="00982D67">
        <w:rPr>
          <w:rFonts w:cs="Times New Roman"/>
          <w:szCs w:val="24"/>
        </w:rPr>
        <w:t xml:space="preserve"> priemonės atsižvelgtų ir į ilgesnį laikotarpį, nukreiptų ekonomiką lygesnio, stipresnio ir atsparesnio augimo linkme. </w:t>
      </w:r>
    </w:p>
    <w:p w:rsidR="00982D67" w:rsidRPr="00982D67" w:rsidRDefault="00982D67" w:rsidP="00982D67">
      <w:pPr>
        <w:spacing w:after="0" w:line="240" w:lineRule="auto"/>
        <w:rPr>
          <w:rFonts w:cs="Times New Roman"/>
          <w:bCs/>
          <w:szCs w:val="24"/>
        </w:rPr>
      </w:pPr>
    </w:p>
    <w:p w:rsidR="00982D67" w:rsidRPr="00982D67" w:rsidRDefault="00982D67" w:rsidP="00982D67">
      <w:pPr>
        <w:pBdr>
          <w:top w:val="single" w:sz="4" w:space="1" w:color="auto"/>
          <w:left w:val="single" w:sz="4" w:space="4" w:color="auto"/>
          <w:bottom w:val="single" w:sz="4" w:space="0" w:color="auto"/>
          <w:right w:val="single" w:sz="4" w:space="4" w:color="auto"/>
        </w:pBdr>
        <w:shd w:val="clear" w:color="auto" w:fill="D9D9D9" w:themeFill="background1" w:themeFillShade="D9"/>
        <w:spacing w:after="0" w:line="240" w:lineRule="auto"/>
        <w:jc w:val="both"/>
        <w:rPr>
          <w:rFonts w:cs="Times New Roman"/>
          <w:b/>
          <w:szCs w:val="24"/>
        </w:rPr>
      </w:pPr>
      <w:r w:rsidRPr="00982D67">
        <w:rPr>
          <w:rFonts w:cs="Times New Roman"/>
          <w:b/>
          <w:color w:val="222222"/>
          <w:szCs w:val="24"/>
        </w:rPr>
        <w:t>Strateginė diskusija apie eurą kaip skaitmeninę</w:t>
      </w:r>
      <w:r w:rsidRPr="00982D67">
        <w:rPr>
          <w:rFonts w:cs="Times New Roman"/>
          <w:b/>
          <w:szCs w:val="24"/>
          <w:lang w:bidi="lt-LT"/>
        </w:rPr>
        <w:t xml:space="preserve"> </w:t>
      </w:r>
      <w:r w:rsidRPr="00982D67">
        <w:rPr>
          <w:rFonts w:cs="Times New Roman"/>
          <w:b/>
          <w:color w:val="222222"/>
          <w:szCs w:val="24"/>
        </w:rPr>
        <w:t>valiutą</w:t>
      </w:r>
      <w:r w:rsidRPr="00982D67">
        <w:rPr>
          <w:rFonts w:cs="Times New Roman"/>
          <w:b/>
          <w:szCs w:val="24"/>
          <w:lang w:bidi="lt-LT"/>
        </w:rPr>
        <w:t xml:space="preserve"> </w:t>
      </w:r>
    </w:p>
    <w:p w:rsidR="00982D67" w:rsidRPr="00982D67" w:rsidRDefault="00982D67" w:rsidP="00982D67">
      <w:pPr>
        <w:spacing w:after="0" w:line="240" w:lineRule="auto"/>
        <w:rPr>
          <w:rFonts w:cs="Times New Roman"/>
          <w:bCs/>
          <w:szCs w:val="24"/>
        </w:rPr>
      </w:pPr>
    </w:p>
    <w:p w:rsidR="00982D67" w:rsidRDefault="00982D67" w:rsidP="00982D67">
      <w:pPr>
        <w:spacing w:after="0" w:line="240" w:lineRule="auto"/>
        <w:jc w:val="both"/>
        <w:rPr>
          <w:rFonts w:eastAsia="Times New Roman" w:cs="Times New Roman"/>
          <w:szCs w:val="24"/>
        </w:rPr>
      </w:pPr>
      <w:r w:rsidRPr="00982D67">
        <w:rPr>
          <w:rFonts w:eastAsia="Calibri" w:cs="Times New Roman"/>
          <w:b/>
          <w:szCs w:val="24"/>
          <w:u w:val="single"/>
        </w:rPr>
        <w:t>Klausimo esmė.</w:t>
      </w:r>
      <w:r w:rsidRPr="00982D67">
        <w:rPr>
          <w:rFonts w:cs="Times New Roman"/>
          <w:szCs w:val="24"/>
        </w:rPr>
        <w:t xml:space="preserve"> </w:t>
      </w:r>
      <w:r w:rsidRPr="00982D67">
        <w:rPr>
          <w:rFonts w:eastAsia="Times New Roman" w:cs="Times New Roman"/>
          <w:szCs w:val="24"/>
        </w:rPr>
        <w:t xml:space="preserve">ECB išleido Skaitmeninio euro ataskaitą, kuria pradedama nagrinėti, ar skaitmeninis euras gali išpildyti visus valiutai keliamus reikalavimus. Kartu ECB pradėjo viešą konsultaciją, kuria siekiama identifikuoti visas skaitmeninio euro naudas ir su jo išleidimu bei naudojimu atsirandančius iššūkius. </w:t>
      </w:r>
      <w:r w:rsidRPr="00982D67">
        <w:rPr>
          <w:rFonts w:eastAsia="Times New Roman" w:cs="Times New Roman"/>
          <w:bCs/>
          <w:szCs w:val="24"/>
        </w:rPr>
        <w:t>Euro grupėje</w:t>
      </w:r>
      <w:r w:rsidRPr="00982D67">
        <w:rPr>
          <w:rFonts w:eastAsia="Times New Roman" w:cs="Times New Roman"/>
          <w:szCs w:val="24"/>
        </w:rPr>
        <w:t xml:space="preserve"> (EG) bus apsikeičiama nuomonėmis dėl galimo EG vaidmens kuriant ir plėtojant skaitmeninio euro projektą, vertinant jo galimą poveikį ES ekonomikai ir vartotojams, finansiniam stabilumui ir kt.</w:t>
      </w:r>
    </w:p>
    <w:p w:rsidR="00BD5E1E" w:rsidRDefault="00BD5E1E" w:rsidP="00982D67">
      <w:pPr>
        <w:spacing w:after="0" w:line="240" w:lineRule="auto"/>
        <w:jc w:val="both"/>
        <w:rPr>
          <w:rFonts w:eastAsia="Times New Roman" w:cs="Times New Roman"/>
          <w:szCs w:val="24"/>
        </w:rPr>
      </w:pPr>
      <w:r w:rsidRPr="00E15DB8">
        <w:rPr>
          <w:rFonts w:eastAsia="Times New Roman" w:cs="Times New Roman"/>
          <w:szCs w:val="24"/>
        </w:rPr>
        <w:t>Skaitmeninis euras prisidėtų prie: a) Eurosistemos tikslo suteikti piliečiams galimybę naudotis saugia pinigų forma greitai besikeičiančiame skaitmeniniame pasaulyje, b) Europos siekio tęsti inovacijas, c) Europos strateginio savarankiškumo, nes užsienio mokėjimo paslaugų teikėjams būtų suteikta alternatyva greitiems ir efektyviems mokėjimams Europoje ir už jos ribų. Skaitmeninis euras taip pat padėtų įgyvendinti kitus strateginius Eurosistemos tikslus. Būtų teikiamos moderniausios mokėjimo paslaugos, kurios atspindėtų kintančius vartotojų poreikius ir aktyviai skatintų inovacijas mažmeninių mokėjimų srityje, papildydamos privačius mokėjimo sprendimus. Tai galėtų padidinti skaitmeninių mokėjimų pasirinkimą, konkurenciją ir prieinamumą. Skaitmeninis euras galėtų būti naudingas prisidedant prie Europos strateginės autonomijos ir apsaugant Europos finansinį stabilumą, ypač jei užsienio kontroliuojamos skaitmeninės valiutos taptų reikšmingai naudojamos Europoje. Europos ekonomikai atsigaunant po COVID-19, ilgainiui skaitmeninis euras gali sukelti reikšmingų struktūrinių pokyčių ir pagerinti konkurencingumą.</w:t>
      </w:r>
      <w:r w:rsidRPr="00E15DB8" w:rsidDel="00915C27">
        <w:rPr>
          <w:rFonts w:eastAsia="Times New Roman" w:cs="Times New Roman"/>
          <w:szCs w:val="24"/>
        </w:rPr>
        <w:t xml:space="preserve"> </w:t>
      </w:r>
      <w:r w:rsidRPr="00E15DB8">
        <w:rPr>
          <w:rFonts w:eastAsia="Times New Roman" w:cs="Times New Roman"/>
          <w:szCs w:val="24"/>
        </w:rPr>
        <w:t xml:space="preserve">Tačiau skaitmeninis euras kartu kelia didelius socialinius, ekonominius, techninius ir politinius iššūkius. </w:t>
      </w:r>
    </w:p>
    <w:p w:rsidR="00E84901" w:rsidRPr="00982D67" w:rsidRDefault="00E84901" w:rsidP="00982D67">
      <w:pPr>
        <w:spacing w:after="0" w:line="240" w:lineRule="auto"/>
        <w:jc w:val="both"/>
        <w:rPr>
          <w:rFonts w:eastAsia="Times New Roman" w:cs="Times New Roman"/>
          <w:szCs w:val="24"/>
        </w:rPr>
      </w:pPr>
    </w:p>
    <w:p w:rsidR="00BD5E1E" w:rsidRPr="00E15DB8" w:rsidRDefault="00982D67" w:rsidP="00BD5E1E">
      <w:pPr>
        <w:spacing w:after="0" w:line="240" w:lineRule="auto"/>
        <w:contextualSpacing/>
        <w:jc w:val="both"/>
        <w:rPr>
          <w:rFonts w:cs="Times New Roman"/>
          <w:color w:val="000000"/>
          <w:szCs w:val="24"/>
          <w:u w:val="single"/>
        </w:rPr>
      </w:pPr>
      <w:r w:rsidRPr="00982D67">
        <w:rPr>
          <w:rFonts w:cs="Times New Roman"/>
          <w:b/>
          <w:bCs/>
          <w:szCs w:val="24"/>
          <w:u w:val="single"/>
        </w:rPr>
        <w:t xml:space="preserve">Lietuvos pozicija. </w:t>
      </w:r>
      <w:r w:rsidRPr="00BD5E1E">
        <w:rPr>
          <w:rFonts w:eastAsia="Times New Roman" w:cs="Times New Roman"/>
          <w:szCs w:val="24"/>
          <w:lang w:eastAsia="fr-BE"/>
        </w:rPr>
        <w:t>Pritariame tolimesnėms diskusijoms dėl skaitmeninio euro išleidimo atsižvelgiant į poveikį finansiniam stabilumui. Manome, kad EG yra tinkamas formatas peržiūrėti keliamus skaitmeninio euro iššūkius.</w:t>
      </w:r>
      <w:r w:rsidR="00BD5E1E">
        <w:rPr>
          <w:rFonts w:eastAsia="Times New Roman" w:cs="Times New Roman"/>
          <w:szCs w:val="24"/>
          <w:lang w:eastAsia="fr-BE"/>
        </w:rPr>
        <w:t xml:space="preserve"> </w:t>
      </w:r>
      <w:r w:rsidR="00BD5E1E" w:rsidRPr="00E15DB8">
        <w:rPr>
          <w:rFonts w:eastAsia="Times New Roman"/>
          <w:szCs w:val="24"/>
          <w:lang w:eastAsia="fr-BE"/>
        </w:rPr>
        <w:t>Sutinkame, kad skaitmeninis euras reikšmingai prisidės prie Europos strateginės autonomijos, taip pat padidins euro patrauklumą ir vaidmenį finansų rinkose. Pasisakome už tai, kad sprendimas dėl skaitmeninio euro dizaino turėtų būti išsamiai išnagrinėtas, kad būtų užtikrintas finansinis stabilumas, finansų sistemos vientisumas bei monetarinės politikos tikslai. Kartu sprendimas turi būti saugus – užtikrinti duomenų bei vartotojų apsaugą, atitikti pinigų plovimo prevencijos ir apsaugos nuo teroristų finansavimo reikalavimus.</w:t>
      </w:r>
    </w:p>
    <w:p w:rsidR="00982D67" w:rsidRPr="00E84901" w:rsidRDefault="00982D67" w:rsidP="00E84901">
      <w:pPr>
        <w:spacing w:after="0" w:line="240" w:lineRule="auto"/>
        <w:contextualSpacing/>
        <w:jc w:val="both"/>
        <w:rPr>
          <w:rFonts w:cs="Times New Roman"/>
          <w:strike/>
          <w:color w:val="000000"/>
          <w:szCs w:val="24"/>
          <w:u w:val="single"/>
        </w:rPr>
      </w:pPr>
      <w:r w:rsidRPr="00982D67">
        <w:rPr>
          <w:rFonts w:eastAsia="Times New Roman" w:cs="Times New Roman"/>
          <w:szCs w:val="24"/>
          <w:lang w:eastAsia="fr-BE"/>
        </w:rPr>
        <w:t xml:space="preserve"> </w:t>
      </w:r>
    </w:p>
    <w:p w:rsidR="00982D67" w:rsidRPr="00982D67" w:rsidRDefault="00982D67" w:rsidP="00982D67">
      <w:pPr>
        <w:pBdr>
          <w:top w:val="single" w:sz="4" w:space="1" w:color="auto"/>
          <w:left w:val="single" w:sz="4" w:space="4" w:color="auto"/>
          <w:bottom w:val="single" w:sz="4" w:space="0" w:color="auto"/>
          <w:right w:val="single" w:sz="4" w:space="4" w:color="auto"/>
        </w:pBdr>
        <w:shd w:val="clear" w:color="auto" w:fill="D9D9D9" w:themeFill="background1" w:themeFillShade="D9"/>
        <w:spacing w:after="0" w:line="240" w:lineRule="auto"/>
        <w:jc w:val="both"/>
        <w:rPr>
          <w:rFonts w:cs="Times New Roman"/>
          <w:b/>
          <w:szCs w:val="24"/>
        </w:rPr>
      </w:pPr>
      <w:r w:rsidRPr="00982D67">
        <w:rPr>
          <w:rFonts w:cs="Times New Roman"/>
          <w:b/>
          <w:color w:val="222222"/>
          <w:szCs w:val="24"/>
        </w:rPr>
        <w:t>Kapitalo rinkų sąjunga. Strateginė diskusija dėl euro zonos aspektų.</w:t>
      </w:r>
    </w:p>
    <w:p w:rsidR="00982D67" w:rsidRPr="00982D67" w:rsidRDefault="00982D67" w:rsidP="00982D67">
      <w:pPr>
        <w:spacing w:after="0" w:line="240" w:lineRule="auto"/>
        <w:rPr>
          <w:rFonts w:cs="Times New Roman"/>
          <w:bCs/>
          <w:szCs w:val="24"/>
        </w:rPr>
      </w:pPr>
    </w:p>
    <w:p w:rsidR="00982D67" w:rsidRDefault="00982D67" w:rsidP="00982D67">
      <w:pPr>
        <w:spacing w:after="0" w:line="240" w:lineRule="auto"/>
        <w:jc w:val="both"/>
        <w:rPr>
          <w:rFonts w:eastAsia="Calibri" w:cs="Times New Roman"/>
          <w:szCs w:val="24"/>
          <w:lang w:eastAsia="lt-LT"/>
        </w:rPr>
      </w:pPr>
      <w:r w:rsidRPr="00982D67">
        <w:rPr>
          <w:rFonts w:eastAsia="Calibri" w:cs="Times New Roman"/>
          <w:b/>
          <w:szCs w:val="24"/>
          <w:u w:val="single"/>
        </w:rPr>
        <w:t>Klausimo esmė.</w:t>
      </w:r>
      <w:r w:rsidRPr="00982D67">
        <w:rPr>
          <w:rFonts w:cs="Times New Roman"/>
          <w:szCs w:val="24"/>
        </w:rPr>
        <w:t xml:space="preserve"> </w:t>
      </w:r>
      <w:r w:rsidRPr="00982D67">
        <w:rPr>
          <w:rFonts w:eastAsia="Calibri" w:cs="Times New Roman"/>
          <w:szCs w:val="24"/>
          <w:lang w:eastAsia="lt-LT"/>
        </w:rPr>
        <w:t>Š. m. rugsėjo 24 d. Europos Komisija paskelbė Komunikatą</w:t>
      </w:r>
      <w:r w:rsidRPr="00982D67">
        <w:rPr>
          <w:rFonts w:cs="Times New Roman"/>
          <w:color w:val="000000"/>
          <w:szCs w:val="24"/>
        </w:rPr>
        <w:t xml:space="preserve"> „Kapitalo rinkų sąjunga žmonėms ir verslui – naujasis veiksmų planas“</w:t>
      </w:r>
      <w:r w:rsidRPr="00982D67">
        <w:rPr>
          <w:rFonts w:eastAsia="Calibri" w:cs="Times New Roman"/>
          <w:szCs w:val="24"/>
          <w:lang w:eastAsia="lt-LT"/>
        </w:rPr>
        <w:t xml:space="preserve">, kuriame siūlo 16 tikslinių priemonių, kad būtų padaryta reali pažanga gilinant Kapitalo rinkų sąjungą (CMU). ES ekonomikos atsigavimas po krizės iš esmės </w:t>
      </w:r>
      <w:r w:rsidRPr="00982D67">
        <w:rPr>
          <w:rFonts w:eastAsia="Calibri" w:cs="Times New Roman"/>
          <w:szCs w:val="24"/>
          <w:lang w:eastAsia="lt-LT"/>
        </w:rPr>
        <w:lastRenderedPageBreak/>
        <w:t xml:space="preserve">priklausys nuo to, kaip gerai veiks mūsų kapitalo rinkos ir ar gyventojai bei įmonės galės pasinaudoti investavimo galimybėmis ir gauti reikiamą rinkos finansavimą. </w:t>
      </w:r>
    </w:p>
    <w:p w:rsidR="00BD5E1E" w:rsidRPr="00627190" w:rsidRDefault="00BD5E1E" w:rsidP="00BD5E1E">
      <w:pPr>
        <w:spacing w:after="0" w:line="240" w:lineRule="auto"/>
        <w:jc w:val="both"/>
        <w:rPr>
          <w:rFonts w:eastAsia="Calibri" w:cs="Times New Roman"/>
          <w:szCs w:val="24"/>
          <w:lang w:eastAsia="lt-LT"/>
        </w:rPr>
      </w:pPr>
      <w:r w:rsidRPr="00627190">
        <w:rPr>
          <w:rFonts w:eastAsia="Calibri" w:cs="Times New Roman"/>
          <w:szCs w:val="24"/>
          <w:lang w:eastAsia="lt-LT"/>
        </w:rPr>
        <w:t xml:space="preserve">Šis planas buvo aptartas spalio 6 d. </w:t>
      </w:r>
      <w:proofErr w:type="spellStart"/>
      <w:r w:rsidRPr="00627190">
        <w:rPr>
          <w:rFonts w:eastAsia="Calibri" w:cs="Times New Roman"/>
          <w:szCs w:val="24"/>
          <w:lang w:eastAsia="lt-LT"/>
        </w:rPr>
        <w:t>Ecofin</w:t>
      </w:r>
      <w:proofErr w:type="spellEnd"/>
      <w:r w:rsidRPr="00627190">
        <w:rPr>
          <w:rFonts w:eastAsia="Calibri" w:cs="Times New Roman"/>
          <w:szCs w:val="24"/>
          <w:lang w:eastAsia="lt-LT"/>
        </w:rPr>
        <w:t xml:space="preserve"> posėdyje. Gruodžio mėn. vyksiančiame </w:t>
      </w:r>
      <w:proofErr w:type="spellStart"/>
      <w:r w:rsidRPr="00627190">
        <w:rPr>
          <w:rFonts w:eastAsia="Calibri" w:cs="Times New Roman"/>
          <w:szCs w:val="24"/>
          <w:lang w:eastAsia="lt-LT"/>
        </w:rPr>
        <w:t>Ecofin</w:t>
      </w:r>
      <w:proofErr w:type="spellEnd"/>
      <w:r w:rsidRPr="00627190">
        <w:rPr>
          <w:rFonts w:eastAsia="Calibri" w:cs="Times New Roman"/>
          <w:szCs w:val="24"/>
          <w:lang w:eastAsia="lt-LT"/>
        </w:rPr>
        <w:t xml:space="preserve"> posėdyje numatoma svarstyti Tarybos išvadas dėl CMU veiksmų plano.</w:t>
      </w:r>
    </w:p>
    <w:p w:rsidR="00BD5E1E" w:rsidRPr="00982D67" w:rsidRDefault="00BD5E1E" w:rsidP="00982D67">
      <w:pPr>
        <w:spacing w:after="0" w:line="240" w:lineRule="auto"/>
        <w:jc w:val="both"/>
        <w:rPr>
          <w:rFonts w:eastAsia="Calibri" w:cs="Times New Roman"/>
          <w:szCs w:val="24"/>
          <w:lang w:eastAsia="lt-LT"/>
        </w:rPr>
      </w:pPr>
    </w:p>
    <w:p w:rsidR="00BD5E1E" w:rsidRPr="008D6B38" w:rsidRDefault="00982D67" w:rsidP="00BD5E1E">
      <w:pPr>
        <w:pStyle w:val="Sraopastraipa"/>
        <w:tabs>
          <w:tab w:val="left" w:pos="284"/>
        </w:tabs>
        <w:spacing w:after="0" w:line="240" w:lineRule="auto"/>
        <w:ind w:left="0"/>
        <w:jc w:val="both"/>
        <w:rPr>
          <w:rFonts w:eastAsia="Calibri" w:cs="Times New Roman"/>
          <w:color w:val="000000"/>
          <w:szCs w:val="24"/>
        </w:rPr>
      </w:pPr>
      <w:r w:rsidRPr="00982D67">
        <w:rPr>
          <w:rFonts w:eastAsia="Calibri" w:cs="Times New Roman"/>
          <w:b/>
          <w:szCs w:val="24"/>
          <w:u w:val="single"/>
        </w:rPr>
        <w:t>Lietuvos pozicija.</w:t>
      </w:r>
      <w:r w:rsidRPr="00982D67">
        <w:rPr>
          <w:rFonts w:cs="Times New Roman"/>
          <w:bCs/>
          <w:szCs w:val="24"/>
          <w:u w:val="single"/>
        </w:rPr>
        <w:t xml:space="preserve"> </w:t>
      </w:r>
    </w:p>
    <w:p w:rsidR="00BD5E1E" w:rsidRPr="008D6B38" w:rsidRDefault="00BD5E1E" w:rsidP="00BD5E1E">
      <w:pPr>
        <w:pStyle w:val="Sraopastraipa"/>
        <w:tabs>
          <w:tab w:val="left" w:pos="284"/>
        </w:tabs>
        <w:spacing w:after="0" w:line="240" w:lineRule="auto"/>
        <w:ind w:left="0"/>
        <w:jc w:val="both"/>
        <w:rPr>
          <w:rFonts w:eastAsia="Calibri" w:cs="Times New Roman"/>
          <w:color w:val="000000"/>
          <w:szCs w:val="24"/>
        </w:rPr>
      </w:pPr>
      <w:r w:rsidRPr="008D6B38">
        <w:rPr>
          <w:rFonts w:eastAsia="Calibri" w:cs="Times New Roman"/>
          <w:color w:val="000000"/>
          <w:szCs w:val="24"/>
        </w:rPr>
        <w:t>Sveikiname Europos Sąjungos kapitalo rinkų sąjungos stiprinimo veiksmų planą, kuris leis padaryti realią pažangą kuriant Kapitalo rinkų sąjungą.</w:t>
      </w:r>
      <w:r>
        <w:rPr>
          <w:rFonts w:eastAsia="Calibri" w:cs="Times New Roman"/>
          <w:color w:val="000000"/>
          <w:szCs w:val="24"/>
        </w:rPr>
        <w:t xml:space="preserve"> </w:t>
      </w:r>
      <w:r w:rsidRPr="008D6B38">
        <w:rPr>
          <w:rFonts w:eastAsia="Calibri" w:cs="Times New Roman"/>
          <w:color w:val="000000"/>
          <w:szCs w:val="24"/>
        </w:rPr>
        <w:t>Iš esmės pritariame Europos Komisijos komunikate išdėstytiems pagrindiniams tikslams ir konkrečioms tikslinėms priemonėms, kuriomis bus siekiama pašalinti kai kurias likusias bendrosios kapitalo rinkos kliūtis. Palaikome ES siekį užtikrinti, kad kapitalo rinkos turi prisidėti prie Europos atsigavimo po ekonomikos krizės, kurią sukėlė COVID-19.</w:t>
      </w:r>
    </w:p>
    <w:p w:rsidR="00982D67" w:rsidRPr="00982D67" w:rsidRDefault="00BD5E1E" w:rsidP="00BD5E1E">
      <w:pPr>
        <w:spacing w:after="0" w:line="240" w:lineRule="auto"/>
        <w:jc w:val="both"/>
        <w:rPr>
          <w:rFonts w:eastAsia="Calibri" w:cs="Times New Roman"/>
          <w:color w:val="FF0000"/>
          <w:szCs w:val="24"/>
        </w:rPr>
      </w:pPr>
      <w:r w:rsidRPr="008D6B38">
        <w:rPr>
          <w:rFonts w:eastAsia="Calibri" w:cs="Times New Roman"/>
          <w:color w:val="000000"/>
          <w:szCs w:val="24"/>
        </w:rPr>
        <w:t xml:space="preserve">Ypač palaikome priemones, kurios vartotojams sukurs daugiau įvairių taupymo ir investavimo galimybių, kartu didins jų finansinę kompetenciją, o įmonėms, ypač SVV, užtikrins didesnę prieigą prie finansavimo visoje ES. Pritariame, kad būtina skatinti ilgalaikes institucinių investuotojų (draudimo įmonių ir bankų) investicijas į ES įmones. Šios investicijos padės ES ekonomikai tapti tvaresne, labiau skaitmenine, </w:t>
      </w:r>
      <w:proofErr w:type="spellStart"/>
      <w:r w:rsidRPr="008D6B38">
        <w:rPr>
          <w:rFonts w:eastAsia="Calibri" w:cs="Times New Roman"/>
          <w:color w:val="000000"/>
          <w:szCs w:val="24"/>
        </w:rPr>
        <w:t>įtraukesne</w:t>
      </w:r>
      <w:proofErr w:type="spellEnd"/>
      <w:r w:rsidRPr="008D6B38">
        <w:rPr>
          <w:rFonts w:eastAsia="Calibri" w:cs="Times New Roman"/>
          <w:color w:val="000000"/>
          <w:szCs w:val="24"/>
        </w:rPr>
        <w:t xml:space="preserve"> ir atsparesne ir kartu padės spręsti iškilusias klimato ir aplinkos problemas.</w:t>
      </w:r>
      <w:r>
        <w:rPr>
          <w:rFonts w:eastAsia="Calibri" w:cs="Times New Roman"/>
          <w:color w:val="000000"/>
          <w:szCs w:val="24"/>
        </w:rPr>
        <w:t xml:space="preserve"> </w:t>
      </w:r>
      <w:r w:rsidRPr="008D6B38">
        <w:rPr>
          <w:rFonts w:eastAsia="Calibri" w:cs="Times New Roman"/>
          <w:color w:val="000000"/>
          <w:szCs w:val="24"/>
        </w:rPr>
        <w:t>Tačiau abejojame dėl papildomų tiesioginių priežiūros galių suteikimo Europos priežiūros institucijoms. Manytume, kad pirmiausiai reikėtų gerai išanalizuoti kur kyla rizikos ir ar joms spręsti yra būtinos ES lygio priemonės.</w:t>
      </w:r>
    </w:p>
    <w:p w:rsidR="00982D67" w:rsidRPr="00982D67" w:rsidRDefault="00982D67" w:rsidP="00982D67">
      <w:pPr>
        <w:spacing w:after="0" w:line="240" w:lineRule="auto"/>
        <w:rPr>
          <w:rFonts w:cs="Times New Roman"/>
          <w:szCs w:val="24"/>
        </w:rPr>
      </w:pPr>
    </w:p>
    <w:p w:rsidR="00982D67" w:rsidRPr="00982D67" w:rsidRDefault="00982D67" w:rsidP="00982D67">
      <w:pPr>
        <w:pBdr>
          <w:top w:val="single" w:sz="4" w:space="1" w:color="auto"/>
          <w:left w:val="single" w:sz="4" w:space="4" w:color="auto"/>
          <w:bottom w:val="single" w:sz="4" w:space="0" w:color="auto"/>
          <w:right w:val="single" w:sz="4" w:space="4" w:color="auto"/>
        </w:pBdr>
        <w:shd w:val="clear" w:color="auto" w:fill="D9D9D9" w:themeFill="background1" w:themeFillShade="D9"/>
        <w:spacing w:after="0" w:line="240" w:lineRule="auto"/>
        <w:jc w:val="both"/>
        <w:rPr>
          <w:rFonts w:cs="Times New Roman"/>
          <w:b/>
          <w:szCs w:val="24"/>
          <w:lang w:val="en-GB"/>
        </w:rPr>
      </w:pPr>
      <w:r w:rsidRPr="00982D67">
        <w:rPr>
          <w:rFonts w:cs="Times New Roman"/>
          <w:b/>
          <w:szCs w:val="24"/>
        </w:rPr>
        <w:t>Bankų sąjunga – veiklos aspektų ataskaita</w:t>
      </w:r>
    </w:p>
    <w:p w:rsidR="00982D67" w:rsidRPr="00982D67" w:rsidRDefault="00982D67" w:rsidP="00982D67">
      <w:pPr>
        <w:pBdr>
          <w:top w:val="single" w:sz="4" w:space="1" w:color="auto"/>
          <w:left w:val="single" w:sz="4" w:space="4" w:color="auto"/>
          <w:bottom w:val="single" w:sz="4" w:space="0" w:color="auto"/>
          <w:right w:val="single" w:sz="4" w:space="4" w:color="auto"/>
        </w:pBdr>
        <w:shd w:val="clear" w:color="auto" w:fill="D9D9D9" w:themeFill="background1" w:themeFillShade="D9"/>
        <w:spacing w:after="0" w:line="240" w:lineRule="auto"/>
        <w:jc w:val="both"/>
        <w:rPr>
          <w:rFonts w:cs="Times New Roman"/>
          <w:b/>
          <w:szCs w:val="24"/>
        </w:rPr>
      </w:pPr>
      <w:r w:rsidRPr="00982D67">
        <w:rPr>
          <w:rFonts w:cs="Times New Roman"/>
          <w:b/>
          <w:szCs w:val="24"/>
        </w:rPr>
        <w:t>a. 12-asis ECB Bankų priežiūros tarnybos pirmininko klausymas</w:t>
      </w:r>
    </w:p>
    <w:p w:rsidR="00982D67" w:rsidRPr="00982D67" w:rsidRDefault="00982D67" w:rsidP="00982D67">
      <w:pPr>
        <w:pBdr>
          <w:top w:val="single" w:sz="4" w:space="1" w:color="auto"/>
          <w:left w:val="single" w:sz="4" w:space="4" w:color="auto"/>
          <w:bottom w:val="single" w:sz="4" w:space="0" w:color="auto"/>
          <w:right w:val="single" w:sz="4" w:space="4" w:color="auto"/>
        </w:pBdr>
        <w:shd w:val="clear" w:color="auto" w:fill="D9D9D9" w:themeFill="background1" w:themeFillShade="D9"/>
        <w:spacing w:after="0" w:line="240" w:lineRule="auto"/>
        <w:jc w:val="both"/>
        <w:rPr>
          <w:rFonts w:cs="Times New Roman"/>
          <w:b/>
          <w:szCs w:val="24"/>
        </w:rPr>
      </w:pPr>
      <w:r w:rsidRPr="00982D67">
        <w:rPr>
          <w:rFonts w:cs="Times New Roman"/>
          <w:b/>
          <w:szCs w:val="24"/>
        </w:rPr>
        <w:t>b. Bendros pertvarkymo valdybos (SRB) naujausios veiklos ataskaita</w:t>
      </w:r>
    </w:p>
    <w:p w:rsidR="00982D67" w:rsidRPr="00982D67" w:rsidRDefault="00982D67" w:rsidP="00982D67">
      <w:pPr>
        <w:autoSpaceDE w:val="0"/>
        <w:autoSpaceDN w:val="0"/>
        <w:adjustRightInd w:val="0"/>
        <w:spacing w:after="0" w:line="240" w:lineRule="auto"/>
        <w:jc w:val="both"/>
        <w:rPr>
          <w:rFonts w:eastAsia="Calibri" w:cs="Times New Roman"/>
          <w:b/>
          <w:szCs w:val="24"/>
          <w:u w:val="single"/>
        </w:rPr>
      </w:pPr>
    </w:p>
    <w:p w:rsidR="00982D67" w:rsidRPr="00982D67" w:rsidRDefault="00982D67" w:rsidP="00982D67">
      <w:pPr>
        <w:spacing w:after="0" w:line="240" w:lineRule="auto"/>
        <w:jc w:val="both"/>
        <w:rPr>
          <w:rFonts w:cs="Times New Roman"/>
          <w:szCs w:val="24"/>
        </w:rPr>
      </w:pPr>
      <w:r w:rsidRPr="00982D67">
        <w:rPr>
          <w:rFonts w:eastAsia="Calibri" w:cs="Times New Roman"/>
          <w:b/>
          <w:szCs w:val="24"/>
          <w:u w:val="single"/>
        </w:rPr>
        <w:t>Klausimo esmė.</w:t>
      </w:r>
      <w:r w:rsidRPr="00982D67">
        <w:rPr>
          <w:rFonts w:eastAsia="Calibri" w:cs="Times New Roman"/>
          <w:szCs w:val="24"/>
        </w:rPr>
        <w:t xml:space="preserve"> </w:t>
      </w:r>
      <w:r w:rsidRPr="00982D67">
        <w:rPr>
          <w:rFonts w:cs="Times New Roman"/>
          <w:szCs w:val="24"/>
        </w:rPr>
        <w:t xml:space="preserve">Posėdyje Europos centrinio banko priežiūros tarnybos pirmininkas pateiks informaciją apie ECB priežiūros priemonių vykdymą, </w:t>
      </w:r>
      <w:proofErr w:type="spellStart"/>
      <w:r w:rsidRPr="00982D67">
        <w:rPr>
          <w:rFonts w:cs="Times New Roman"/>
          <w:szCs w:val="24"/>
        </w:rPr>
        <w:t>Covid-19</w:t>
      </w:r>
      <w:proofErr w:type="spellEnd"/>
      <w:r w:rsidRPr="00982D67">
        <w:rPr>
          <w:rFonts w:cs="Times New Roman"/>
          <w:szCs w:val="24"/>
        </w:rPr>
        <w:t xml:space="preserve"> pandemiją ir jos poveikį bankų sektoriui. Bendra Pertvarkymo Valdyba (toliau – SRB) pateiks pranešimą apie Bankų sąjungos veiklos aspektus ir </w:t>
      </w:r>
      <w:r w:rsidRPr="00982D67">
        <w:rPr>
          <w:rFonts w:eastAsia="Calibri" w:cs="Times New Roman"/>
          <w:color w:val="000000"/>
          <w:szCs w:val="24"/>
        </w:rPr>
        <w:t>pastarųjų mėnesių rezultatus</w:t>
      </w:r>
      <w:r w:rsidRPr="00982D67">
        <w:rPr>
          <w:rFonts w:cs="Times New Roman"/>
          <w:szCs w:val="24"/>
        </w:rPr>
        <w:t xml:space="preserve">. </w:t>
      </w:r>
    </w:p>
    <w:p w:rsidR="00982D67" w:rsidRPr="00982D67" w:rsidRDefault="00982D67" w:rsidP="00982D67">
      <w:pPr>
        <w:spacing w:after="0" w:line="240" w:lineRule="auto"/>
        <w:jc w:val="both"/>
        <w:rPr>
          <w:rFonts w:eastAsia="Calibri" w:cs="Times New Roman"/>
          <w:color w:val="000000"/>
          <w:szCs w:val="24"/>
        </w:rPr>
      </w:pPr>
      <w:r w:rsidRPr="00982D67">
        <w:rPr>
          <w:rFonts w:eastAsia="Calibri" w:cs="Times New Roman"/>
          <w:b/>
          <w:color w:val="000000"/>
          <w:szCs w:val="24"/>
          <w:u w:val="single"/>
        </w:rPr>
        <w:t>Lietuvos pozicija.</w:t>
      </w:r>
      <w:r w:rsidRPr="00982D67">
        <w:rPr>
          <w:rFonts w:eastAsia="Calibri" w:cs="Times New Roman"/>
          <w:b/>
          <w:color w:val="000000"/>
          <w:szCs w:val="24"/>
        </w:rPr>
        <w:t xml:space="preserve"> </w:t>
      </w:r>
      <w:r w:rsidRPr="00982D67">
        <w:rPr>
          <w:rFonts w:eastAsia="Calibri" w:cs="Times New Roman"/>
          <w:color w:val="000000"/>
          <w:szCs w:val="24"/>
        </w:rPr>
        <w:t>Išklausyti informaciją.</w:t>
      </w:r>
    </w:p>
    <w:p w:rsidR="002243F3" w:rsidRDefault="002243F3" w:rsidP="00982D67">
      <w:pPr>
        <w:spacing w:after="0" w:line="240" w:lineRule="auto"/>
        <w:jc w:val="both"/>
        <w:rPr>
          <w:rFonts w:cs="Times New Roman"/>
          <w:b/>
          <w:szCs w:val="24"/>
        </w:rPr>
      </w:pPr>
    </w:p>
    <w:p w:rsidR="00982D67" w:rsidRPr="00982D67" w:rsidRDefault="00982D67" w:rsidP="00982D67">
      <w:pPr>
        <w:spacing w:after="0" w:line="240" w:lineRule="auto"/>
        <w:jc w:val="both"/>
        <w:rPr>
          <w:rFonts w:cs="Times New Roman"/>
          <w:b/>
          <w:szCs w:val="24"/>
        </w:rPr>
      </w:pPr>
      <w:r w:rsidRPr="00982D67">
        <w:rPr>
          <w:rFonts w:cs="Times New Roman"/>
          <w:b/>
          <w:szCs w:val="24"/>
        </w:rPr>
        <w:t>Įtraukios sudėties Euro grupė</w:t>
      </w:r>
    </w:p>
    <w:p w:rsidR="00982D67" w:rsidRPr="00982D67" w:rsidRDefault="00982D67" w:rsidP="00982D67">
      <w:pPr>
        <w:spacing w:after="0" w:line="240" w:lineRule="auto"/>
        <w:jc w:val="both"/>
        <w:rPr>
          <w:rFonts w:cs="Times New Roman"/>
          <w:color w:val="000000"/>
          <w:szCs w:val="24"/>
        </w:rPr>
      </w:pPr>
    </w:p>
    <w:p w:rsidR="00982D67" w:rsidRPr="00982D67" w:rsidRDefault="002243F3" w:rsidP="00982D67">
      <w:pPr>
        <w:pBdr>
          <w:top w:val="single" w:sz="4" w:space="1" w:color="auto"/>
          <w:left w:val="single" w:sz="4" w:space="4" w:color="auto"/>
          <w:bottom w:val="single" w:sz="4" w:space="0" w:color="auto"/>
          <w:right w:val="single" w:sz="4" w:space="4" w:color="auto"/>
        </w:pBdr>
        <w:shd w:val="clear" w:color="auto" w:fill="D9D9D9" w:themeFill="background1" w:themeFillShade="D9"/>
        <w:spacing w:after="0" w:line="240" w:lineRule="auto"/>
        <w:jc w:val="both"/>
        <w:rPr>
          <w:rFonts w:cs="Times New Roman"/>
          <w:b/>
          <w:szCs w:val="24"/>
        </w:rPr>
      </w:pPr>
      <w:r>
        <w:rPr>
          <w:rFonts w:cs="Times New Roman"/>
          <w:b/>
          <w:color w:val="222222"/>
          <w:szCs w:val="24"/>
        </w:rPr>
        <w:t>D</w:t>
      </w:r>
      <w:r w:rsidR="00982D67" w:rsidRPr="00982D67">
        <w:rPr>
          <w:rFonts w:cs="Times New Roman"/>
          <w:b/>
          <w:color w:val="222222"/>
          <w:szCs w:val="24"/>
        </w:rPr>
        <w:t>iskusij</w:t>
      </w:r>
      <w:r>
        <w:rPr>
          <w:rFonts w:cs="Times New Roman"/>
          <w:b/>
          <w:color w:val="222222"/>
          <w:szCs w:val="24"/>
        </w:rPr>
        <w:t>ų</w:t>
      </w:r>
      <w:r w:rsidR="00982D67" w:rsidRPr="00982D67">
        <w:rPr>
          <w:rFonts w:cs="Times New Roman"/>
          <w:b/>
          <w:color w:val="222222"/>
          <w:szCs w:val="24"/>
        </w:rPr>
        <w:t xml:space="preserve"> dėl likvidumo </w:t>
      </w:r>
      <w:r w:rsidR="00982D67" w:rsidRPr="00982D67">
        <w:rPr>
          <w:rFonts w:cs="Times New Roman"/>
          <w:b/>
          <w:szCs w:val="24"/>
        </w:rPr>
        <w:t>užtikrinimo</w:t>
      </w:r>
      <w:r w:rsidR="00982D67" w:rsidRPr="00982D67">
        <w:rPr>
          <w:rFonts w:cs="Times New Roman"/>
          <w:b/>
          <w:color w:val="222222"/>
          <w:szCs w:val="24"/>
        </w:rPr>
        <w:t xml:space="preserve"> </w:t>
      </w:r>
      <w:r w:rsidR="00982D67" w:rsidRPr="00982D67">
        <w:rPr>
          <w:rFonts w:cs="Times New Roman"/>
          <w:b/>
          <w:szCs w:val="24"/>
        </w:rPr>
        <w:t>pertvarkymo procese</w:t>
      </w:r>
      <w:r>
        <w:rPr>
          <w:rFonts w:cs="Times New Roman"/>
          <w:b/>
          <w:szCs w:val="24"/>
        </w:rPr>
        <w:t xml:space="preserve"> ataskaita</w:t>
      </w:r>
    </w:p>
    <w:p w:rsidR="00982D67" w:rsidRPr="00982D67" w:rsidRDefault="00982D67" w:rsidP="00982D67">
      <w:pPr>
        <w:spacing w:after="0" w:line="240" w:lineRule="auto"/>
        <w:jc w:val="both"/>
        <w:rPr>
          <w:rFonts w:cs="Times New Roman"/>
          <w:color w:val="000000"/>
          <w:szCs w:val="24"/>
        </w:rPr>
      </w:pPr>
    </w:p>
    <w:p w:rsidR="00E15DB8" w:rsidRPr="00E15DB8" w:rsidRDefault="00982D67" w:rsidP="00E15DB8">
      <w:pPr>
        <w:spacing w:after="0" w:line="240" w:lineRule="auto"/>
        <w:jc w:val="both"/>
        <w:rPr>
          <w:rFonts w:eastAsia="Calibri" w:cs="Times New Roman"/>
          <w:szCs w:val="24"/>
        </w:rPr>
      </w:pPr>
      <w:r w:rsidRPr="00E15DB8">
        <w:rPr>
          <w:rFonts w:eastAsia="Calibri" w:cs="Times New Roman"/>
          <w:b/>
          <w:szCs w:val="24"/>
          <w:u w:val="single"/>
        </w:rPr>
        <w:t>Klausimo esmė.</w:t>
      </w:r>
      <w:r w:rsidRPr="00982D67">
        <w:rPr>
          <w:rFonts w:eastAsia="Calibri" w:cs="Times New Roman"/>
          <w:szCs w:val="24"/>
        </w:rPr>
        <w:t xml:space="preserve"> </w:t>
      </w:r>
      <w:r w:rsidRPr="00982D67">
        <w:rPr>
          <w:rFonts w:cs="Times New Roman"/>
          <w:szCs w:val="24"/>
          <w:lang w:bidi="lt-LT"/>
        </w:rPr>
        <w:t xml:space="preserve">Įtraukios sudėties EG posėdyje bus pristatyta Koordinuotų veiksmų darbo grupės pirmininko teikiama ataskaita apie darbą dėl </w:t>
      </w:r>
      <w:r w:rsidRPr="00982D67">
        <w:rPr>
          <w:rFonts w:cs="Times New Roman"/>
          <w:szCs w:val="24"/>
        </w:rPr>
        <w:t xml:space="preserve">likvidumo užtikrinimo pertvarkymo procese </w:t>
      </w:r>
      <w:r w:rsidRPr="00982D67">
        <w:rPr>
          <w:rFonts w:cs="Times New Roman"/>
          <w:i/>
          <w:szCs w:val="24"/>
          <w:lang w:bidi="lt-LT"/>
        </w:rPr>
        <w:t>(</w:t>
      </w:r>
      <w:r w:rsidRPr="00982D67">
        <w:rPr>
          <w:rFonts w:cs="Times New Roman"/>
          <w:szCs w:val="24"/>
          <w:lang w:bidi="lt-LT"/>
        </w:rPr>
        <w:t xml:space="preserve">angl. </w:t>
      </w:r>
      <w:proofErr w:type="spellStart"/>
      <w:r w:rsidRPr="00982D67">
        <w:rPr>
          <w:rFonts w:cs="Times New Roman"/>
          <w:i/>
          <w:szCs w:val="24"/>
          <w:lang w:bidi="lt-LT"/>
        </w:rPr>
        <w:t>liquidity</w:t>
      </w:r>
      <w:proofErr w:type="spellEnd"/>
      <w:r w:rsidRPr="00982D67">
        <w:rPr>
          <w:rFonts w:cs="Times New Roman"/>
          <w:i/>
          <w:szCs w:val="24"/>
          <w:lang w:bidi="lt-LT"/>
        </w:rPr>
        <w:t xml:space="preserve"> </w:t>
      </w:r>
      <w:proofErr w:type="spellStart"/>
      <w:r w:rsidRPr="00982D67">
        <w:rPr>
          <w:rFonts w:cs="Times New Roman"/>
          <w:i/>
          <w:szCs w:val="24"/>
          <w:lang w:bidi="lt-LT"/>
        </w:rPr>
        <w:t>in</w:t>
      </w:r>
      <w:proofErr w:type="spellEnd"/>
      <w:r w:rsidRPr="00982D67">
        <w:rPr>
          <w:rFonts w:cs="Times New Roman"/>
          <w:i/>
          <w:szCs w:val="24"/>
          <w:lang w:bidi="lt-LT"/>
        </w:rPr>
        <w:t xml:space="preserve"> </w:t>
      </w:r>
      <w:proofErr w:type="spellStart"/>
      <w:r w:rsidRPr="00982D67">
        <w:rPr>
          <w:rFonts w:cs="Times New Roman"/>
          <w:i/>
          <w:szCs w:val="24"/>
          <w:lang w:bidi="lt-LT"/>
        </w:rPr>
        <w:t>resolution</w:t>
      </w:r>
      <w:proofErr w:type="spellEnd"/>
      <w:r w:rsidRPr="00982D67">
        <w:rPr>
          <w:rFonts w:cs="Times New Roman"/>
          <w:i/>
          <w:szCs w:val="24"/>
          <w:lang w:bidi="lt-LT"/>
        </w:rPr>
        <w:t>)</w:t>
      </w:r>
      <w:r w:rsidRPr="00982D67">
        <w:rPr>
          <w:rFonts w:cs="Times New Roman"/>
          <w:szCs w:val="24"/>
          <w:lang w:bidi="lt-LT"/>
        </w:rPr>
        <w:t xml:space="preserve">. </w:t>
      </w:r>
      <w:r w:rsidR="00E15DB8" w:rsidRPr="00E15DB8">
        <w:rPr>
          <w:rFonts w:eastAsia="Calibri" w:cs="Times New Roman"/>
          <w:szCs w:val="24"/>
        </w:rPr>
        <w:t>Ataskaitoje, daugiausia dėmesio skiriama 1) dabartinės praktikos tobulinimui; 2) SRB gebėjimams teikti įkaitus pertvarkomiems bankams; 3) SRB garantijoms Eurosistemai, įskaitant galimybę suteikti likvidumą pertvarkomiems bankams.</w:t>
      </w:r>
    </w:p>
    <w:p w:rsidR="00E15DB8" w:rsidRPr="00E15DB8" w:rsidRDefault="00E15DB8" w:rsidP="00E15DB8">
      <w:pPr>
        <w:spacing w:after="0" w:line="240" w:lineRule="auto"/>
        <w:jc w:val="both"/>
        <w:rPr>
          <w:rFonts w:eastAsia="Calibri" w:cs="Times New Roman"/>
          <w:szCs w:val="24"/>
        </w:rPr>
      </w:pPr>
      <w:r w:rsidRPr="00E15DB8">
        <w:rPr>
          <w:rFonts w:eastAsia="Calibri" w:cs="Times New Roman"/>
          <w:szCs w:val="24"/>
        </w:rPr>
        <w:t>Pažymėtina, kad valstybių narių pozicijos minėtais klausimais stipriai išsiskiria, todėl toliau bus tęsiamas techninis darbas.</w:t>
      </w:r>
    </w:p>
    <w:p w:rsidR="00982D67" w:rsidRPr="00982D67" w:rsidRDefault="00982D67" w:rsidP="00982D67">
      <w:pPr>
        <w:spacing w:after="0" w:line="240" w:lineRule="auto"/>
        <w:jc w:val="both"/>
        <w:rPr>
          <w:rFonts w:cs="Times New Roman"/>
          <w:szCs w:val="24"/>
          <w:lang w:bidi="lt-LT"/>
        </w:rPr>
      </w:pPr>
    </w:p>
    <w:p w:rsidR="00982D67" w:rsidRPr="00982D67" w:rsidRDefault="00982D67" w:rsidP="00982D67">
      <w:pPr>
        <w:spacing w:after="0" w:line="240" w:lineRule="auto"/>
        <w:jc w:val="both"/>
        <w:rPr>
          <w:rFonts w:eastAsia="SimSun" w:cs="Times New Roman"/>
          <w:szCs w:val="24"/>
        </w:rPr>
      </w:pPr>
      <w:r w:rsidRPr="00982D67">
        <w:rPr>
          <w:rFonts w:cs="Times New Roman"/>
          <w:b/>
          <w:bCs/>
          <w:szCs w:val="24"/>
          <w:u w:val="single"/>
        </w:rPr>
        <w:t xml:space="preserve">Lietuvos pozicija. </w:t>
      </w:r>
      <w:r w:rsidRPr="00982D67">
        <w:rPr>
          <w:rFonts w:cs="Times New Roman"/>
          <w:color w:val="000000"/>
          <w:szCs w:val="24"/>
          <w:lang w:eastAsia="lt-LT"/>
        </w:rPr>
        <w:t xml:space="preserve">Manome, kad siekiant rasti geriausius sprendimus bankų likvidumo trūkumams pašalinti pertvarkymo atveju verta paraleliai detaliai išnagrinėti visus esamus pasiūlymus, įskaitant ir susijusius su dabartinės praktikos patobulinimais, taip pat dėl SRB obligacijų, </w:t>
      </w:r>
      <w:r w:rsidR="00E15DB8" w:rsidRPr="00E15DB8">
        <w:rPr>
          <w:color w:val="000000"/>
          <w:szCs w:val="24"/>
          <w:lang w:eastAsia="lt-LT"/>
        </w:rPr>
        <w:t xml:space="preserve">kurios būtų naudojamos kaip bankų įkaitas, siekiant gauti likvidumo paramą iš rinkos ar iš Eurosistemos, </w:t>
      </w:r>
      <w:r w:rsidRPr="00E15DB8">
        <w:rPr>
          <w:rFonts w:cs="Times New Roman"/>
          <w:color w:val="000000"/>
          <w:szCs w:val="24"/>
          <w:lang w:eastAsia="lt-LT"/>
        </w:rPr>
        <w:t xml:space="preserve">tiek ir dėl SRB garantijų. </w:t>
      </w:r>
      <w:r w:rsidR="00E15DB8" w:rsidRPr="00E15DB8">
        <w:rPr>
          <w:rFonts w:eastAsia="Times New Roman" w:cs="Times New Roman"/>
          <w:color w:val="000000"/>
          <w:szCs w:val="24"/>
          <w:lang w:eastAsia="lt-LT"/>
        </w:rPr>
        <w:t xml:space="preserve">Svarbu, kad pasiūlyti modeliai efektyviai užtikrintų fiskalinį neutralumą vidutiniuoju laikotarpiu bei sumažintų </w:t>
      </w:r>
      <w:proofErr w:type="spellStart"/>
      <w:r w:rsidR="00E15DB8" w:rsidRPr="00E15DB8">
        <w:rPr>
          <w:rFonts w:eastAsia="Times New Roman" w:cs="Times New Roman"/>
          <w:i/>
          <w:color w:val="000000"/>
          <w:szCs w:val="24"/>
          <w:lang w:eastAsia="lt-LT"/>
        </w:rPr>
        <w:t>bank-sovereign</w:t>
      </w:r>
      <w:proofErr w:type="spellEnd"/>
      <w:r w:rsidR="00E15DB8" w:rsidRPr="00E15DB8">
        <w:rPr>
          <w:rFonts w:eastAsia="Times New Roman" w:cs="Times New Roman"/>
          <w:i/>
          <w:color w:val="000000"/>
          <w:szCs w:val="24"/>
          <w:lang w:eastAsia="lt-LT"/>
        </w:rPr>
        <w:t xml:space="preserve"> </w:t>
      </w:r>
      <w:proofErr w:type="spellStart"/>
      <w:r w:rsidR="00E15DB8" w:rsidRPr="00E15DB8">
        <w:rPr>
          <w:rFonts w:eastAsia="Times New Roman" w:cs="Times New Roman"/>
          <w:i/>
          <w:color w:val="000000"/>
          <w:szCs w:val="24"/>
          <w:lang w:eastAsia="lt-LT"/>
        </w:rPr>
        <w:t>nexus</w:t>
      </w:r>
      <w:proofErr w:type="spellEnd"/>
      <w:r w:rsidR="00E15DB8" w:rsidRPr="00E15DB8">
        <w:rPr>
          <w:rFonts w:eastAsia="Times New Roman" w:cs="Times New Roman"/>
          <w:color w:val="000000"/>
          <w:szCs w:val="24"/>
          <w:lang w:eastAsia="lt-LT"/>
        </w:rPr>
        <w:t>.</w:t>
      </w:r>
      <w:r w:rsidR="00E15DB8" w:rsidRPr="00E15DB8">
        <w:rPr>
          <w:rFonts w:eastAsia="Times New Roman" w:cs="Times New Roman"/>
          <w:color w:val="000000"/>
          <w:sz w:val="26"/>
          <w:szCs w:val="26"/>
          <w:lang w:eastAsia="lt-LT"/>
        </w:rPr>
        <w:t xml:space="preserve"> </w:t>
      </w:r>
      <w:r w:rsidRPr="00982D67">
        <w:rPr>
          <w:rFonts w:cs="Times New Roman"/>
          <w:color w:val="000000"/>
          <w:szCs w:val="24"/>
          <w:lang w:eastAsia="lt-LT"/>
        </w:rPr>
        <w:t>Palaikome tolimesnius techninio lygius darbus.</w:t>
      </w:r>
      <w:r w:rsidRPr="00982D67">
        <w:rPr>
          <w:rFonts w:cs="Times New Roman"/>
          <w:b/>
          <w:bCs/>
          <w:szCs w:val="24"/>
        </w:rPr>
        <w:t xml:space="preserve"> </w:t>
      </w:r>
    </w:p>
    <w:p w:rsidR="00982D67" w:rsidRPr="00982D67" w:rsidRDefault="00982D67" w:rsidP="00982D67">
      <w:pPr>
        <w:spacing w:after="0" w:line="240" w:lineRule="auto"/>
        <w:jc w:val="both"/>
        <w:rPr>
          <w:rFonts w:cs="Times New Roman"/>
          <w:color w:val="000000"/>
          <w:szCs w:val="24"/>
          <w:lang w:val="en-GB"/>
        </w:rPr>
      </w:pPr>
    </w:p>
    <w:p w:rsidR="00982D67" w:rsidRPr="00982D67" w:rsidRDefault="00982D67" w:rsidP="00982D67">
      <w:pPr>
        <w:pBdr>
          <w:top w:val="single" w:sz="4" w:space="1" w:color="auto"/>
          <w:left w:val="single" w:sz="4" w:space="4" w:color="auto"/>
          <w:bottom w:val="single" w:sz="4" w:space="0" w:color="auto"/>
          <w:right w:val="single" w:sz="4" w:space="4" w:color="auto"/>
        </w:pBdr>
        <w:shd w:val="clear" w:color="auto" w:fill="D9D9D9" w:themeFill="background1" w:themeFillShade="D9"/>
        <w:spacing w:after="0" w:line="240" w:lineRule="auto"/>
        <w:jc w:val="both"/>
        <w:rPr>
          <w:rFonts w:cs="Times New Roman"/>
          <w:b/>
          <w:szCs w:val="24"/>
        </w:rPr>
      </w:pPr>
      <w:r w:rsidRPr="00982D67">
        <w:rPr>
          <w:rFonts w:cs="Times New Roman"/>
          <w:b/>
          <w:color w:val="222222"/>
          <w:szCs w:val="24"/>
        </w:rPr>
        <w:t>Ekonominės priemonės, dėl kurių Euro grupė susitarė reaguodama į krizę – esama padėtis</w:t>
      </w:r>
    </w:p>
    <w:p w:rsidR="00982D67" w:rsidRPr="00982D67" w:rsidRDefault="00982D67" w:rsidP="00982D67">
      <w:pPr>
        <w:spacing w:after="0" w:line="240" w:lineRule="auto"/>
        <w:jc w:val="both"/>
        <w:rPr>
          <w:rFonts w:cs="Times New Roman"/>
          <w:color w:val="000000"/>
          <w:szCs w:val="24"/>
        </w:rPr>
      </w:pPr>
    </w:p>
    <w:p w:rsidR="00982D67" w:rsidRDefault="00982D67" w:rsidP="00982D67">
      <w:pPr>
        <w:spacing w:after="0" w:line="240" w:lineRule="auto"/>
        <w:jc w:val="both"/>
        <w:rPr>
          <w:rFonts w:cs="Times New Roman"/>
          <w:szCs w:val="24"/>
        </w:rPr>
      </w:pPr>
      <w:r w:rsidRPr="00E15DB8">
        <w:rPr>
          <w:rFonts w:eastAsia="Calibri" w:cs="Times New Roman"/>
          <w:b/>
          <w:szCs w:val="24"/>
          <w:u w:val="single"/>
        </w:rPr>
        <w:t>Klausimo esmė.</w:t>
      </w:r>
      <w:r w:rsidRPr="00982D67">
        <w:rPr>
          <w:rFonts w:eastAsia="Calibri" w:cs="Times New Roman"/>
          <w:szCs w:val="24"/>
        </w:rPr>
        <w:t xml:space="preserve"> </w:t>
      </w:r>
      <w:r w:rsidRPr="00982D67">
        <w:rPr>
          <w:rFonts w:cs="Times New Roman"/>
          <w:szCs w:val="24"/>
          <w:lang w:bidi="lt-LT"/>
        </w:rPr>
        <w:t xml:space="preserve">Įtraukios sudėties EG posėdyje bus </w:t>
      </w:r>
      <w:r w:rsidRPr="00982D67">
        <w:rPr>
          <w:rFonts w:cs="Times New Roman"/>
          <w:szCs w:val="24"/>
        </w:rPr>
        <w:t xml:space="preserve">aptarta esama padėtis dėl </w:t>
      </w:r>
      <w:r w:rsidR="00E15DB8">
        <w:rPr>
          <w:rFonts w:cs="Times New Roman"/>
          <w:szCs w:val="24"/>
        </w:rPr>
        <w:t>anksčiau patvirtintų finansinės pagalbos priemonių įgyvendinimo.</w:t>
      </w:r>
    </w:p>
    <w:p w:rsidR="00E15DB8" w:rsidRPr="00E15DB8" w:rsidRDefault="00E15DB8" w:rsidP="00E15DB8">
      <w:pPr>
        <w:spacing w:after="0"/>
        <w:jc w:val="both"/>
        <w:rPr>
          <w:rFonts w:cs="Times New Roman"/>
          <w:szCs w:val="24"/>
        </w:rPr>
      </w:pPr>
      <w:r w:rsidRPr="00E15DB8">
        <w:rPr>
          <w:rFonts w:cs="Times New Roman"/>
          <w:b/>
          <w:szCs w:val="24"/>
        </w:rPr>
        <w:lastRenderedPageBreak/>
        <w:t>SURE</w:t>
      </w:r>
      <w:r w:rsidRPr="00E15DB8">
        <w:rPr>
          <w:rFonts w:cs="Times New Roman"/>
          <w:szCs w:val="24"/>
        </w:rPr>
        <w:t xml:space="preserve"> – 2020 m. gegužės 19 d. Tarybos reglamentu sukurta Priemonė, siekiant naujojo </w:t>
      </w:r>
      <w:proofErr w:type="spellStart"/>
      <w:r w:rsidRPr="00E15DB8">
        <w:rPr>
          <w:rFonts w:cs="Times New Roman"/>
          <w:szCs w:val="24"/>
        </w:rPr>
        <w:t>koronaviruso</w:t>
      </w:r>
      <w:proofErr w:type="spellEnd"/>
      <w:r w:rsidRPr="00E15DB8">
        <w:rPr>
          <w:rFonts w:cs="Times New Roman"/>
          <w:szCs w:val="24"/>
        </w:rPr>
        <w:t xml:space="preserve"> (COVID-19) pandemijos paveiktoms Europos Sąjungos valstybėms narėms (toliau – VN) suteikti paramą patyrus staigų viešųjų išlaidų, skirtų užimtumui išsaugoti, padidėjimą. Tai – laikina finansinė priemonė, kuriai įgyvendinti numatyta skirti 100 mlrd. EUR, siekiant paremti VN joms suteikiant paskolas. </w:t>
      </w:r>
    </w:p>
    <w:p w:rsidR="00E15DB8" w:rsidRPr="00E15DB8" w:rsidRDefault="00E15DB8" w:rsidP="00E15DB8">
      <w:pPr>
        <w:spacing w:after="0"/>
        <w:jc w:val="both"/>
        <w:rPr>
          <w:rFonts w:cs="Times New Roman"/>
          <w:szCs w:val="24"/>
        </w:rPr>
      </w:pPr>
      <w:r w:rsidRPr="00E15DB8">
        <w:rPr>
          <w:rFonts w:cs="Times New Roman"/>
          <w:szCs w:val="24"/>
        </w:rPr>
        <w:t xml:space="preserve">VN turi prisidėti prie Priemonės teikdamos garantijas, padengiančias Europos Sąjungos prisiimamą riziką. Visoms ES valstybėms narėms suteikus garantijas, priemonė pradėjo veikti š. m. rugsėjo mėn. </w:t>
      </w:r>
    </w:p>
    <w:p w:rsidR="00E15DB8" w:rsidRPr="00E15DB8" w:rsidRDefault="00E15DB8" w:rsidP="00E15DB8">
      <w:pPr>
        <w:spacing w:after="0"/>
        <w:jc w:val="both"/>
        <w:rPr>
          <w:rFonts w:cs="Times New Roman"/>
          <w:szCs w:val="24"/>
        </w:rPr>
      </w:pPr>
      <w:r w:rsidRPr="00E15DB8">
        <w:rPr>
          <w:rFonts w:cs="Times New Roman"/>
          <w:szCs w:val="24"/>
        </w:rPr>
        <w:t xml:space="preserve">Šiuo metu jau patvirtintos paskolos </w:t>
      </w:r>
      <w:r w:rsidRPr="00E15DB8">
        <w:rPr>
          <w:rFonts w:cs="Times New Roman"/>
          <w:szCs w:val="24"/>
          <w:lang w:val="en-US"/>
        </w:rPr>
        <w:t xml:space="preserve">16 </w:t>
      </w:r>
      <w:r w:rsidRPr="00E15DB8">
        <w:rPr>
          <w:rFonts w:cs="Times New Roman"/>
          <w:szCs w:val="24"/>
        </w:rPr>
        <w:t>šalių 87,3 mlrd. sumai (tame tarpe ir LT 602 mln. EUR sumai).</w:t>
      </w:r>
    </w:p>
    <w:p w:rsidR="00E15DB8" w:rsidRPr="00E15DB8" w:rsidRDefault="00E15DB8" w:rsidP="00E15DB8">
      <w:pPr>
        <w:autoSpaceDE w:val="0"/>
        <w:autoSpaceDN w:val="0"/>
        <w:adjustRightInd w:val="0"/>
        <w:spacing w:after="0" w:line="240" w:lineRule="auto"/>
        <w:jc w:val="both"/>
        <w:rPr>
          <w:rFonts w:cs="Times New Roman"/>
          <w:color w:val="000000"/>
          <w:szCs w:val="24"/>
        </w:rPr>
      </w:pPr>
      <w:r w:rsidRPr="00E15DB8">
        <w:rPr>
          <w:rFonts w:cs="Times New Roman"/>
          <w:bCs/>
          <w:color w:val="000000"/>
          <w:szCs w:val="24"/>
        </w:rPr>
        <w:t>Š. m. rugpjūčio 24 d. pradėjo veiklą EIB 25 mlrd. EUR vertės</w:t>
      </w:r>
      <w:r w:rsidRPr="00E15DB8">
        <w:rPr>
          <w:rFonts w:cs="Times New Roman"/>
          <w:b/>
          <w:bCs/>
          <w:color w:val="000000"/>
          <w:szCs w:val="24"/>
        </w:rPr>
        <w:t xml:space="preserve"> Europos garantijų fondas</w:t>
      </w:r>
      <w:r w:rsidRPr="00E15DB8">
        <w:rPr>
          <w:rFonts w:cs="Times New Roman"/>
          <w:color w:val="000000"/>
          <w:szCs w:val="24"/>
        </w:rPr>
        <w:t>, kuris leistų mobilizuoti 200 mlrd. EUR finansinę paramą įmonėms (</w:t>
      </w:r>
      <w:r>
        <w:rPr>
          <w:rFonts w:cs="Times New Roman"/>
          <w:color w:val="000000"/>
          <w:szCs w:val="24"/>
        </w:rPr>
        <w:t>daugiausiai</w:t>
      </w:r>
      <w:r w:rsidRPr="00E15DB8">
        <w:rPr>
          <w:rFonts w:cs="Times New Roman"/>
          <w:color w:val="000000"/>
          <w:szCs w:val="24"/>
        </w:rPr>
        <w:t xml:space="preserve"> MVĮ). Didžioji dalis finansavimo įmones pasiektų per nacional</w:t>
      </w:r>
      <w:r>
        <w:rPr>
          <w:rFonts w:cs="Times New Roman"/>
          <w:color w:val="000000"/>
          <w:szCs w:val="24"/>
        </w:rPr>
        <w:t>ines skatinamąsias institucijas</w:t>
      </w:r>
      <w:r w:rsidRPr="00E15DB8">
        <w:rPr>
          <w:rFonts w:cs="Times New Roman"/>
          <w:color w:val="000000"/>
          <w:szCs w:val="24"/>
        </w:rPr>
        <w:t xml:space="preserve">. Numatomos šios Europos garantijų fondo priemonės: ribotos ir neribotos garantijos (angl. </w:t>
      </w:r>
      <w:proofErr w:type="spellStart"/>
      <w:r w:rsidRPr="00E15DB8">
        <w:rPr>
          <w:rFonts w:cs="Times New Roman"/>
          <w:i/>
          <w:iCs/>
          <w:color w:val="000000"/>
          <w:szCs w:val="24"/>
        </w:rPr>
        <w:t>capped</w:t>
      </w:r>
      <w:proofErr w:type="spellEnd"/>
      <w:r w:rsidRPr="00E15DB8">
        <w:rPr>
          <w:rFonts w:cs="Times New Roman"/>
          <w:i/>
          <w:iCs/>
          <w:color w:val="000000"/>
          <w:szCs w:val="24"/>
        </w:rPr>
        <w:t xml:space="preserve"> </w:t>
      </w:r>
      <w:proofErr w:type="spellStart"/>
      <w:r w:rsidRPr="00E15DB8">
        <w:rPr>
          <w:rFonts w:cs="Times New Roman"/>
          <w:i/>
          <w:iCs/>
          <w:color w:val="000000"/>
          <w:szCs w:val="24"/>
        </w:rPr>
        <w:t>and</w:t>
      </w:r>
      <w:proofErr w:type="spellEnd"/>
      <w:r w:rsidRPr="00E15DB8">
        <w:rPr>
          <w:rFonts w:cs="Times New Roman"/>
          <w:i/>
          <w:iCs/>
          <w:color w:val="000000"/>
          <w:szCs w:val="24"/>
        </w:rPr>
        <w:t xml:space="preserve"> </w:t>
      </w:r>
      <w:proofErr w:type="spellStart"/>
      <w:r w:rsidRPr="00E15DB8">
        <w:rPr>
          <w:rFonts w:cs="Times New Roman"/>
          <w:i/>
          <w:iCs/>
          <w:color w:val="000000"/>
          <w:szCs w:val="24"/>
        </w:rPr>
        <w:t>uncapped</w:t>
      </w:r>
      <w:proofErr w:type="spellEnd"/>
      <w:r w:rsidRPr="00E15DB8">
        <w:rPr>
          <w:rFonts w:cs="Times New Roman"/>
          <w:i/>
          <w:iCs/>
          <w:color w:val="000000"/>
          <w:szCs w:val="24"/>
        </w:rPr>
        <w:t xml:space="preserve"> </w:t>
      </w:r>
      <w:proofErr w:type="spellStart"/>
      <w:r w:rsidRPr="00E15DB8">
        <w:rPr>
          <w:rFonts w:cs="Times New Roman"/>
          <w:i/>
          <w:iCs/>
          <w:color w:val="000000"/>
          <w:szCs w:val="24"/>
        </w:rPr>
        <w:t>guarantees</w:t>
      </w:r>
      <w:proofErr w:type="spellEnd"/>
      <w:r w:rsidRPr="00E15DB8">
        <w:rPr>
          <w:rFonts w:cs="Times New Roman"/>
          <w:color w:val="000000"/>
          <w:szCs w:val="24"/>
        </w:rPr>
        <w:t xml:space="preserve">), įskaitant pergarantavimo (angl. </w:t>
      </w:r>
      <w:proofErr w:type="spellStart"/>
      <w:r w:rsidRPr="00E15DB8">
        <w:rPr>
          <w:rFonts w:cs="Times New Roman"/>
          <w:i/>
          <w:iCs/>
          <w:color w:val="000000"/>
          <w:szCs w:val="24"/>
        </w:rPr>
        <w:t>counter-guarantee</w:t>
      </w:r>
      <w:r w:rsidRPr="00E15DB8">
        <w:rPr>
          <w:rFonts w:cs="Times New Roman"/>
          <w:color w:val="000000"/>
          <w:szCs w:val="24"/>
        </w:rPr>
        <w:t>)</w:t>
      </w:r>
      <w:proofErr w:type="spellEnd"/>
      <w:r w:rsidRPr="00E15DB8">
        <w:rPr>
          <w:rFonts w:cs="Times New Roman"/>
          <w:color w:val="000000"/>
          <w:szCs w:val="24"/>
        </w:rPr>
        <w:t xml:space="preserve"> priemones komerciniams bankams ir nacionalinėms plėtros institucijoms; vertybinių popierių (angl. </w:t>
      </w:r>
      <w:proofErr w:type="spellStart"/>
      <w:r w:rsidRPr="00E15DB8">
        <w:rPr>
          <w:rFonts w:cs="Times New Roman"/>
          <w:i/>
          <w:iCs/>
          <w:color w:val="000000"/>
          <w:szCs w:val="24"/>
        </w:rPr>
        <w:t>securitisations</w:t>
      </w:r>
      <w:proofErr w:type="spellEnd"/>
      <w:r w:rsidRPr="00E15DB8">
        <w:rPr>
          <w:rFonts w:cs="Times New Roman"/>
          <w:color w:val="000000"/>
          <w:szCs w:val="24"/>
        </w:rPr>
        <w:t xml:space="preserve">) ir rizikos pasidalijimo (angl. </w:t>
      </w:r>
      <w:r w:rsidRPr="00E15DB8">
        <w:rPr>
          <w:rFonts w:cs="Times New Roman"/>
          <w:i/>
          <w:iCs/>
          <w:color w:val="000000"/>
          <w:szCs w:val="24"/>
        </w:rPr>
        <w:t>risk-</w:t>
      </w:r>
      <w:proofErr w:type="spellStart"/>
      <w:r w:rsidRPr="00E15DB8">
        <w:rPr>
          <w:rFonts w:cs="Times New Roman"/>
          <w:i/>
          <w:iCs/>
          <w:color w:val="000000"/>
          <w:szCs w:val="24"/>
        </w:rPr>
        <w:t>sharing</w:t>
      </w:r>
      <w:proofErr w:type="spellEnd"/>
      <w:r w:rsidRPr="00E15DB8">
        <w:rPr>
          <w:rFonts w:cs="Times New Roman"/>
          <w:color w:val="000000"/>
          <w:szCs w:val="24"/>
        </w:rPr>
        <w:t xml:space="preserve">) priemonės; investicijos į akcinį kapitalą (angl. </w:t>
      </w:r>
      <w:proofErr w:type="spellStart"/>
      <w:r w:rsidRPr="00E15DB8">
        <w:rPr>
          <w:rFonts w:cs="Times New Roman"/>
          <w:i/>
          <w:iCs/>
          <w:color w:val="000000"/>
          <w:szCs w:val="24"/>
        </w:rPr>
        <w:t>equity</w:t>
      </w:r>
      <w:proofErr w:type="spellEnd"/>
      <w:r w:rsidRPr="00E15DB8">
        <w:rPr>
          <w:rFonts w:cs="Times New Roman"/>
          <w:i/>
          <w:iCs/>
          <w:color w:val="000000"/>
          <w:szCs w:val="24"/>
        </w:rPr>
        <w:t xml:space="preserve"> </w:t>
      </w:r>
      <w:proofErr w:type="spellStart"/>
      <w:r w:rsidRPr="00E15DB8">
        <w:rPr>
          <w:rFonts w:cs="Times New Roman"/>
          <w:i/>
          <w:iCs/>
          <w:color w:val="000000"/>
          <w:szCs w:val="24"/>
        </w:rPr>
        <w:t>investments</w:t>
      </w:r>
      <w:proofErr w:type="spellEnd"/>
      <w:r w:rsidRPr="00E15DB8">
        <w:rPr>
          <w:rFonts w:cs="Times New Roman"/>
          <w:color w:val="000000"/>
          <w:szCs w:val="24"/>
        </w:rPr>
        <w:t xml:space="preserve">), įskaitant rizikos skolos (angl. </w:t>
      </w:r>
      <w:proofErr w:type="spellStart"/>
      <w:r w:rsidRPr="00E15DB8">
        <w:rPr>
          <w:rFonts w:cs="Times New Roman"/>
          <w:i/>
          <w:iCs/>
          <w:color w:val="000000"/>
          <w:szCs w:val="24"/>
        </w:rPr>
        <w:t>venture</w:t>
      </w:r>
      <w:proofErr w:type="spellEnd"/>
      <w:r w:rsidRPr="00E15DB8">
        <w:rPr>
          <w:rFonts w:cs="Times New Roman"/>
          <w:i/>
          <w:iCs/>
          <w:color w:val="000000"/>
          <w:szCs w:val="24"/>
        </w:rPr>
        <w:t xml:space="preserve"> </w:t>
      </w:r>
      <w:proofErr w:type="spellStart"/>
      <w:r w:rsidRPr="00E15DB8">
        <w:rPr>
          <w:rFonts w:cs="Times New Roman"/>
          <w:i/>
          <w:iCs/>
          <w:color w:val="000000"/>
          <w:szCs w:val="24"/>
        </w:rPr>
        <w:t>debt</w:t>
      </w:r>
      <w:proofErr w:type="spellEnd"/>
      <w:r w:rsidRPr="00E15DB8">
        <w:rPr>
          <w:rFonts w:cs="Times New Roman"/>
          <w:color w:val="000000"/>
          <w:szCs w:val="24"/>
        </w:rPr>
        <w:t xml:space="preserve">) produktus. </w:t>
      </w:r>
    </w:p>
    <w:p w:rsidR="00E15DB8" w:rsidRPr="00E15DB8" w:rsidRDefault="00E15DB8" w:rsidP="00E15DB8">
      <w:pPr>
        <w:autoSpaceDE w:val="0"/>
        <w:autoSpaceDN w:val="0"/>
        <w:adjustRightInd w:val="0"/>
        <w:spacing w:after="0" w:line="240" w:lineRule="auto"/>
        <w:jc w:val="both"/>
        <w:rPr>
          <w:rFonts w:cs="Times New Roman"/>
          <w:color w:val="000000"/>
          <w:szCs w:val="24"/>
        </w:rPr>
      </w:pPr>
      <w:r w:rsidRPr="00E15DB8">
        <w:rPr>
          <w:rFonts w:cs="Times New Roman"/>
          <w:color w:val="000000"/>
          <w:szCs w:val="24"/>
        </w:rPr>
        <w:t xml:space="preserve">Garantijas EIB </w:t>
      </w:r>
      <w:r>
        <w:rPr>
          <w:rFonts w:cs="Times New Roman"/>
          <w:color w:val="000000"/>
          <w:szCs w:val="24"/>
        </w:rPr>
        <w:t xml:space="preserve">dėl EGF </w:t>
      </w:r>
      <w:r w:rsidRPr="00E15DB8">
        <w:rPr>
          <w:rFonts w:cs="Times New Roman"/>
          <w:color w:val="000000"/>
          <w:szCs w:val="24"/>
        </w:rPr>
        <w:t xml:space="preserve">suteikė visos ES </w:t>
      </w:r>
      <w:r>
        <w:rPr>
          <w:rFonts w:cs="Times New Roman"/>
          <w:color w:val="000000"/>
          <w:szCs w:val="24"/>
        </w:rPr>
        <w:t>valstybės narės, išskyrus Čekija, Estija, Latvija</w:t>
      </w:r>
      <w:r w:rsidRPr="00E15DB8">
        <w:rPr>
          <w:rFonts w:cs="Times New Roman"/>
          <w:color w:val="000000"/>
          <w:szCs w:val="24"/>
        </w:rPr>
        <w:t>,</w:t>
      </w:r>
      <w:r>
        <w:rPr>
          <w:rFonts w:cs="Times New Roman"/>
          <w:color w:val="000000"/>
          <w:szCs w:val="24"/>
        </w:rPr>
        <w:t xml:space="preserve"> Rumunija, Vengrija ir Slovėnija</w:t>
      </w:r>
      <w:r w:rsidRPr="00E15DB8">
        <w:rPr>
          <w:rFonts w:cs="Times New Roman"/>
          <w:color w:val="000000"/>
          <w:szCs w:val="24"/>
        </w:rPr>
        <w:t xml:space="preserve">. </w:t>
      </w:r>
    </w:p>
    <w:p w:rsidR="00E15DB8" w:rsidRPr="00E15DB8" w:rsidRDefault="00E15DB8" w:rsidP="00E15DB8">
      <w:pPr>
        <w:spacing w:after="0"/>
        <w:jc w:val="both"/>
        <w:rPr>
          <w:rFonts w:cs="Times New Roman"/>
          <w:color w:val="000000"/>
          <w:szCs w:val="24"/>
        </w:rPr>
      </w:pPr>
      <w:r w:rsidRPr="00E15DB8">
        <w:rPr>
          <w:rFonts w:cs="Times New Roman"/>
          <w:color w:val="000000"/>
          <w:szCs w:val="24"/>
        </w:rPr>
        <w:t xml:space="preserve">Šiuo metu Europos garantijų fondo komitete vyksta diskusijos dėl instrumentų, kurių pagalba būtų skiriamas finansavimas prie fondo prisijungusių valstybių narių įmonėms. </w:t>
      </w:r>
    </w:p>
    <w:p w:rsidR="00E15DB8" w:rsidRPr="00E15DB8" w:rsidRDefault="00E15DB8" w:rsidP="00982D67">
      <w:pPr>
        <w:spacing w:after="0" w:line="240" w:lineRule="auto"/>
        <w:jc w:val="both"/>
        <w:rPr>
          <w:rFonts w:cs="Times New Roman"/>
          <w:szCs w:val="24"/>
        </w:rPr>
      </w:pPr>
    </w:p>
    <w:p w:rsidR="00000458" w:rsidRPr="004A7E04" w:rsidRDefault="00982D67" w:rsidP="007932C0">
      <w:pPr>
        <w:spacing w:after="0" w:line="240" w:lineRule="auto"/>
        <w:jc w:val="both"/>
        <w:rPr>
          <w:rFonts w:eastAsia="Calibri" w:cs="Times New Roman"/>
          <w:color w:val="FF0000"/>
          <w:szCs w:val="24"/>
          <w:lang w:val="en-US"/>
        </w:rPr>
      </w:pPr>
      <w:r w:rsidRPr="00E15DB8">
        <w:rPr>
          <w:rFonts w:cs="Times New Roman"/>
          <w:b/>
          <w:bCs/>
          <w:szCs w:val="24"/>
          <w:u w:val="single"/>
        </w:rPr>
        <w:t>Lietuvos pozicija.</w:t>
      </w:r>
      <w:r w:rsidRPr="00E84901">
        <w:rPr>
          <w:rFonts w:cs="Times New Roman"/>
          <w:b/>
          <w:bCs/>
          <w:szCs w:val="24"/>
        </w:rPr>
        <w:t xml:space="preserve"> </w:t>
      </w:r>
      <w:r w:rsidR="00E15DB8" w:rsidRPr="00E84901">
        <w:rPr>
          <w:rFonts w:cs="Times New Roman"/>
          <w:bCs/>
          <w:szCs w:val="24"/>
        </w:rPr>
        <w:t>Kadangi tai la</w:t>
      </w:r>
      <w:r w:rsidR="00E84901">
        <w:rPr>
          <w:rFonts w:cs="Times New Roman"/>
          <w:bCs/>
          <w:szCs w:val="24"/>
        </w:rPr>
        <w:t>ikini instrumentai, skirti COVID-19</w:t>
      </w:r>
      <w:r w:rsidR="00E15DB8" w:rsidRPr="00E84901">
        <w:rPr>
          <w:rFonts w:cs="Times New Roman"/>
          <w:bCs/>
          <w:szCs w:val="24"/>
        </w:rPr>
        <w:t xml:space="preserve"> sukeltos krizės pasekmėms švelninti, </w:t>
      </w:r>
      <w:r w:rsidR="00E84901">
        <w:rPr>
          <w:rFonts w:cs="Times New Roman"/>
          <w:bCs/>
          <w:szCs w:val="24"/>
        </w:rPr>
        <w:t>remiame</w:t>
      </w:r>
      <w:r w:rsidR="00E15DB8" w:rsidRPr="00E84901">
        <w:rPr>
          <w:rFonts w:cs="Times New Roman"/>
          <w:bCs/>
          <w:szCs w:val="24"/>
        </w:rPr>
        <w:t xml:space="preserve"> spartų šios paramos lėšų mobilizavimą ir įgyvendinimą. </w:t>
      </w:r>
      <w:r w:rsidRPr="00E84901">
        <w:rPr>
          <w:rFonts w:cs="Times New Roman"/>
          <w:szCs w:val="24"/>
          <w:lang w:eastAsia="fr-BE"/>
        </w:rPr>
        <w:t>.</w:t>
      </w:r>
    </w:p>
    <w:sectPr w:rsidR="00000458" w:rsidRPr="004A7E04" w:rsidSect="004F5635">
      <w:footerReference w:type="default" r:id="rId9"/>
      <w:pgSz w:w="11906" w:h="16838"/>
      <w:pgMar w:top="851" w:right="567" w:bottom="1134" w:left="1134"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1BC5" w:rsidRDefault="00701BC5" w:rsidP="005059EB">
      <w:pPr>
        <w:spacing w:after="0" w:line="240" w:lineRule="auto"/>
      </w:pPr>
      <w:r>
        <w:separator/>
      </w:r>
    </w:p>
  </w:endnote>
  <w:endnote w:type="continuationSeparator" w:id="0">
    <w:p w:rsidR="00701BC5" w:rsidRDefault="00701BC5" w:rsidP="005059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5732025"/>
      <w:docPartObj>
        <w:docPartGallery w:val="Page Numbers (Bottom of Page)"/>
        <w:docPartUnique/>
      </w:docPartObj>
    </w:sdtPr>
    <w:sdtEndPr/>
    <w:sdtContent>
      <w:p w:rsidR="005059EB" w:rsidRDefault="005059EB">
        <w:pPr>
          <w:pStyle w:val="Porat"/>
          <w:jc w:val="right"/>
        </w:pPr>
        <w:r>
          <w:fldChar w:fldCharType="begin"/>
        </w:r>
        <w:r>
          <w:instrText>PAGE   \* MERGEFORMAT</w:instrText>
        </w:r>
        <w:r>
          <w:fldChar w:fldCharType="separate"/>
        </w:r>
        <w:r w:rsidR="000601BB">
          <w:rPr>
            <w:noProof/>
          </w:rPr>
          <w:t>1</w:t>
        </w:r>
        <w:r>
          <w:fldChar w:fldCharType="end"/>
        </w:r>
      </w:p>
    </w:sdtContent>
  </w:sdt>
  <w:p w:rsidR="005059EB" w:rsidRDefault="005059EB">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1BC5" w:rsidRDefault="00701BC5" w:rsidP="005059EB">
      <w:pPr>
        <w:spacing w:after="0" w:line="240" w:lineRule="auto"/>
      </w:pPr>
      <w:r>
        <w:separator/>
      </w:r>
    </w:p>
  </w:footnote>
  <w:footnote w:type="continuationSeparator" w:id="0">
    <w:p w:rsidR="00701BC5" w:rsidRDefault="00701BC5" w:rsidP="005059E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F14E6"/>
    <w:multiLevelType w:val="hybridMultilevel"/>
    <w:tmpl w:val="B0FC55B2"/>
    <w:lvl w:ilvl="0" w:tplc="0427000D">
      <w:start w:val="1"/>
      <w:numFmt w:val="bullet"/>
      <w:lvlText w:val=""/>
      <w:lvlJc w:val="left"/>
      <w:pPr>
        <w:ind w:left="1440" w:hanging="360"/>
      </w:pPr>
      <w:rPr>
        <w:rFonts w:ascii="Wingdings" w:hAnsi="Wingding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nsid w:val="06495604"/>
    <w:multiLevelType w:val="multilevel"/>
    <w:tmpl w:val="3AE834CC"/>
    <w:name w:val="Points"/>
    <w:lvl w:ilvl="0">
      <w:start w:val="1"/>
      <w:numFmt w:val="decimal"/>
      <w:pStyle w:val="Point123"/>
      <w:lvlText w:val="%1."/>
      <w:lvlJc w:val="left"/>
      <w:pPr>
        <w:tabs>
          <w:tab w:val="num" w:pos="567"/>
        </w:tabs>
        <w:ind w:left="567" w:hanging="567"/>
      </w:pPr>
      <w:rPr>
        <w:bdr w:val="none" w:sz="0" w:space="0" w:color="auto" w:frame="1"/>
      </w:rPr>
    </w:lvl>
    <w:lvl w:ilvl="1">
      <w:start w:val="1"/>
      <w:numFmt w:val="lowerLetter"/>
      <w:pStyle w:val="Pointabc"/>
      <w:lvlText w:val="%2)"/>
      <w:lvlJc w:val="left"/>
      <w:pPr>
        <w:tabs>
          <w:tab w:val="num" w:pos="567"/>
        </w:tabs>
        <w:ind w:left="567" w:hanging="567"/>
      </w:pPr>
      <w:rPr>
        <w:bdr w:val="none" w:sz="0" w:space="0" w:color="auto" w:frame="1"/>
      </w:rPr>
    </w:lvl>
    <w:lvl w:ilvl="2">
      <w:start w:val="1"/>
      <w:numFmt w:val="bullet"/>
      <w:pStyle w:val="Point1231"/>
      <w:lvlText w:val=""/>
      <w:lvlJc w:val="left"/>
      <w:pPr>
        <w:tabs>
          <w:tab w:val="num" w:pos="1134"/>
        </w:tabs>
        <w:ind w:left="1134" w:hanging="567"/>
      </w:pPr>
      <w:rPr>
        <w:rFonts w:ascii="Symbol" w:hAnsi="Symbol" w:hint="default"/>
        <w:bdr w:val="none" w:sz="0" w:space="0" w:color="auto" w:frame="1"/>
      </w:rPr>
    </w:lvl>
    <w:lvl w:ilvl="3">
      <w:start w:val="1"/>
      <w:numFmt w:val="lowerLetter"/>
      <w:pStyle w:val="Pointabc1"/>
      <w:lvlText w:val="%4)"/>
      <w:lvlJc w:val="left"/>
      <w:pPr>
        <w:tabs>
          <w:tab w:val="num" w:pos="1134"/>
        </w:tabs>
        <w:ind w:left="1134" w:hanging="567"/>
      </w:pPr>
      <w:rPr>
        <w:bdr w:val="none" w:sz="0" w:space="0" w:color="auto" w:frame="1"/>
      </w:rPr>
    </w:lvl>
    <w:lvl w:ilvl="4">
      <w:start w:val="1"/>
      <w:numFmt w:val="decimal"/>
      <w:pStyle w:val="Point1232"/>
      <w:lvlText w:val="%5."/>
      <w:lvlJc w:val="left"/>
      <w:pPr>
        <w:tabs>
          <w:tab w:val="num" w:pos="1701"/>
        </w:tabs>
        <w:ind w:left="1701" w:hanging="567"/>
      </w:pPr>
      <w:rPr>
        <w:bdr w:val="none" w:sz="0" w:space="0" w:color="auto" w:frame="1"/>
      </w:rPr>
    </w:lvl>
    <w:lvl w:ilvl="5">
      <w:start w:val="1"/>
      <w:numFmt w:val="bullet"/>
      <w:pStyle w:val="Pointabc2"/>
      <w:lvlText w:val=""/>
      <w:lvlJc w:val="left"/>
      <w:pPr>
        <w:tabs>
          <w:tab w:val="num" w:pos="1701"/>
        </w:tabs>
        <w:ind w:left="1701" w:hanging="567"/>
      </w:pPr>
      <w:rPr>
        <w:rFonts w:ascii="Symbol" w:hAnsi="Symbol" w:hint="default"/>
        <w:bdr w:val="none" w:sz="0" w:space="0" w:color="auto" w:frame="1"/>
      </w:rPr>
    </w:lvl>
    <w:lvl w:ilvl="6">
      <w:start w:val="1"/>
      <w:numFmt w:val="decimal"/>
      <w:pStyle w:val="Point1233"/>
      <w:lvlText w:val="%7."/>
      <w:lvlJc w:val="left"/>
      <w:pPr>
        <w:tabs>
          <w:tab w:val="num" w:pos="2268"/>
        </w:tabs>
        <w:ind w:left="2268" w:hanging="567"/>
      </w:pPr>
      <w:rPr>
        <w:bdr w:val="none" w:sz="0" w:space="0" w:color="auto" w:frame="1"/>
      </w:rPr>
    </w:lvl>
    <w:lvl w:ilvl="7">
      <w:start w:val="1"/>
      <w:numFmt w:val="lowerLetter"/>
      <w:pStyle w:val="Pointabc3"/>
      <w:lvlText w:val="%8)"/>
      <w:lvlJc w:val="left"/>
      <w:pPr>
        <w:tabs>
          <w:tab w:val="num" w:pos="2268"/>
        </w:tabs>
        <w:ind w:left="2268" w:hanging="567"/>
      </w:pPr>
      <w:rPr>
        <w:bdr w:val="none" w:sz="0" w:space="0" w:color="auto" w:frame="1"/>
      </w:rPr>
    </w:lvl>
    <w:lvl w:ilvl="8">
      <w:start w:val="1"/>
      <w:numFmt w:val="lowerLetter"/>
      <w:pStyle w:val="Pointabc4"/>
      <w:lvlText w:val="%9)"/>
      <w:lvlJc w:val="left"/>
      <w:pPr>
        <w:tabs>
          <w:tab w:val="num" w:pos="2835"/>
        </w:tabs>
        <w:ind w:left="2835" w:hanging="567"/>
      </w:pPr>
      <w:rPr>
        <w:bdr w:val="none" w:sz="0" w:space="0" w:color="auto" w:frame="1"/>
      </w:rPr>
    </w:lvl>
  </w:abstractNum>
  <w:abstractNum w:abstractNumId="2">
    <w:nsid w:val="113C5A9C"/>
    <w:multiLevelType w:val="hybridMultilevel"/>
    <w:tmpl w:val="DAC2074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nsid w:val="15A46309"/>
    <w:multiLevelType w:val="hybridMultilevel"/>
    <w:tmpl w:val="1AF4655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nsid w:val="27936819"/>
    <w:multiLevelType w:val="hybridMultilevel"/>
    <w:tmpl w:val="E87EE4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nsid w:val="30503399"/>
    <w:multiLevelType w:val="hybridMultilevel"/>
    <w:tmpl w:val="6DFCD0F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nsid w:val="329B307C"/>
    <w:multiLevelType w:val="hybridMultilevel"/>
    <w:tmpl w:val="7E46CDD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nsid w:val="34F4404A"/>
    <w:multiLevelType w:val="hybridMultilevel"/>
    <w:tmpl w:val="330A73EE"/>
    <w:lvl w:ilvl="0" w:tplc="0427000D">
      <w:start w:val="1"/>
      <w:numFmt w:val="bullet"/>
      <w:lvlText w:val=""/>
      <w:lvlJc w:val="left"/>
      <w:pPr>
        <w:ind w:left="1353" w:hanging="360"/>
      </w:pPr>
      <w:rPr>
        <w:rFonts w:ascii="Wingdings" w:hAnsi="Wingding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8">
    <w:nsid w:val="37991697"/>
    <w:multiLevelType w:val="hybridMultilevel"/>
    <w:tmpl w:val="42D68D80"/>
    <w:lvl w:ilvl="0" w:tplc="59E8937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407A3803"/>
    <w:multiLevelType w:val="hybridMultilevel"/>
    <w:tmpl w:val="E7263AF4"/>
    <w:lvl w:ilvl="0" w:tplc="7302B284">
      <w:start w:val="15"/>
      <w:numFmt w:val="bullet"/>
      <w:lvlText w:val="-"/>
      <w:lvlJc w:val="left"/>
      <w:pPr>
        <w:ind w:left="36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nsid w:val="46AF76B1"/>
    <w:multiLevelType w:val="hybridMultilevel"/>
    <w:tmpl w:val="74125410"/>
    <w:lvl w:ilvl="0" w:tplc="04270001">
      <w:start w:val="1"/>
      <w:numFmt w:val="bullet"/>
      <w:lvlText w:val=""/>
      <w:lvlJc w:val="left"/>
      <w:pPr>
        <w:ind w:left="644"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1">
    <w:nsid w:val="47861AF5"/>
    <w:multiLevelType w:val="hybridMultilevel"/>
    <w:tmpl w:val="CF98B9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nsid w:val="4C5105D3"/>
    <w:multiLevelType w:val="hybridMultilevel"/>
    <w:tmpl w:val="8EACE520"/>
    <w:lvl w:ilvl="0" w:tplc="04270001">
      <w:start w:val="1"/>
      <w:numFmt w:val="bullet"/>
      <w:lvlText w:val=""/>
      <w:lvlJc w:val="left"/>
      <w:pPr>
        <w:ind w:left="502"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nsid w:val="4D144A69"/>
    <w:multiLevelType w:val="hybridMultilevel"/>
    <w:tmpl w:val="6E2C1A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nsid w:val="4DC67C97"/>
    <w:multiLevelType w:val="hybridMultilevel"/>
    <w:tmpl w:val="ECDC34EC"/>
    <w:lvl w:ilvl="0" w:tplc="04270001">
      <w:start w:val="1"/>
      <w:numFmt w:val="bullet"/>
      <w:lvlText w:val=""/>
      <w:lvlJc w:val="left"/>
      <w:pPr>
        <w:ind w:left="644" w:hanging="360"/>
      </w:pPr>
      <w:rPr>
        <w:rFonts w:ascii="Symbol" w:hAnsi="Symbol" w:hint="default"/>
      </w:rPr>
    </w:lvl>
    <w:lvl w:ilvl="1" w:tplc="04270003" w:tentative="1">
      <w:start w:val="1"/>
      <w:numFmt w:val="bullet"/>
      <w:lvlText w:val="o"/>
      <w:lvlJc w:val="left"/>
      <w:pPr>
        <w:ind w:left="1364" w:hanging="360"/>
      </w:pPr>
      <w:rPr>
        <w:rFonts w:ascii="Courier New" w:hAnsi="Courier New" w:cs="Courier New" w:hint="default"/>
      </w:rPr>
    </w:lvl>
    <w:lvl w:ilvl="2" w:tplc="04270005" w:tentative="1">
      <w:start w:val="1"/>
      <w:numFmt w:val="bullet"/>
      <w:lvlText w:val=""/>
      <w:lvlJc w:val="left"/>
      <w:pPr>
        <w:ind w:left="2084" w:hanging="360"/>
      </w:pPr>
      <w:rPr>
        <w:rFonts w:ascii="Wingdings" w:hAnsi="Wingdings" w:hint="default"/>
      </w:rPr>
    </w:lvl>
    <w:lvl w:ilvl="3" w:tplc="04270001" w:tentative="1">
      <w:start w:val="1"/>
      <w:numFmt w:val="bullet"/>
      <w:lvlText w:val=""/>
      <w:lvlJc w:val="left"/>
      <w:pPr>
        <w:ind w:left="2804" w:hanging="360"/>
      </w:pPr>
      <w:rPr>
        <w:rFonts w:ascii="Symbol" w:hAnsi="Symbol" w:hint="default"/>
      </w:rPr>
    </w:lvl>
    <w:lvl w:ilvl="4" w:tplc="04270003" w:tentative="1">
      <w:start w:val="1"/>
      <w:numFmt w:val="bullet"/>
      <w:lvlText w:val="o"/>
      <w:lvlJc w:val="left"/>
      <w:pPr>
        <w:ind w:left="3524" w:hanging="360"/>
      </w:pPr>
      <w:rPr>
        <w:rFonts w:ascii="Courier New" w:hAnsi="Courier New" w:cs="Courier New" w:hint="default"/>
      </w:rPr>
    </w:lvl>
    <w:lvl w:ilvl="5" w:tplc="04270005" w:tentative="1">
      <w:start w:val="1"/>
      <w:numFmt w:val="bullet"/>
      <w:lvlText w:val=""/>
      <w:lvlJc w:val="left"/>
      <w:pPr>
        <w:ind w:left="4244" w:hanging="360"/>
      </w:pPr>
      <w:rPr>
        <w:rFonts w:ascii="Wingdings" w:hAnsi="Wingdings" w:hint="default"/>
      </w:rPr>
    </w:lvl>
    <w:lvl w:ilvl="6" w:tplc="04270001" w:tentative="1">
      <w:start w:val="1"/>
      <w:numFmt w:val="bullet"/>
      <w:lvlText w:val=""/>
      <w:lvlJc w:val="left"/>
      <w:pPr>
        <w:ind w:left="4964" w:hanging="360"/>
      </w:pPr>
      <w:rPr>
        <w:rFonts w:ascii="Symbol" w:hAnsi="Symbol" w:hint="default"/>
      </w:rPr>
    </w:lvl>
    <w:lvl w:ilvl="7" w:tplc="04270003" w:tentative="1">
      <w:start w:val="1"/>
      <w:numFmt w:val="bullet"/>
      <w:lvlText w:val="o"/>
      <w:lvlJc w:val="left"/>
      <w:pPr>
        <w:ind w:left="5684" w:hanging="360"/>
      </w:pPr>
      <w:rPr>
        <w:rFonts w:ascii="Courier New" w:hAnsi="Courier New" w:cs="Courier New" w:hint="default"/>
      </w:rPr>
    </w:lvl>
    <w:lvl w:ilvl="8" w:tplc="04270005" w:tentative="1">
      <w:start w:val="1"/>
      <w:numFmt w:val="bullet"/>
      <w:lvlText w:val=""/>
      <w:lvlJc w:val="left"/>
      <w:pPr>
        <w:ind w:left="6404" w:hanging="360"/>
      </w:pPr>
      <w:rPr>
        <w:rFonts w:ascii="Wingdings" w:hAnsi="Wingdings" w:hint="default"/>
      </w:rPr>
    </w:lvl>
  </w:abstractNum>
  <w:abstractNum w:abstractNumId="15">
    <w:nsid w:val="520E1A0E"/>
    <w:multiLevelType w:val="hybridMultilevel"/>
    <w:tmpl w:val="9DE6ED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nsid w:val="53CF6F44"/>
    <w:multiLevelType w:val="hybridMultilevel"/>
    <w:tmpl w:val="817E4A38"/>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7">
    <w:nsid w:val="550607E8"/>
    <w:multiLevelType w:val="hybridMultilevel"/>
    <w:tmpl w:val="E536E96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nsid w:val="5C6A0AA1"/>
    <w:multiLevelType w:val="hybridMultilevel"/>
    <w:tmpl w:val="E41462A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nsid w:val="5DE14646"/>
    <w:multiLevelType w:val="hybridMultilevel"/>
    <w:tmpl w:val="3F72627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nsid w:val="697E4B98"/>
    <w:multiLevelType w:val="hybridMultilevel"/>
    <w:tmpl w:val="A8AA34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nsid w:val="6A226FEA"/>
    <w:multiLevelType w:val="hybridMultilevel"/>
    <w:tmpl w:val="837A60E2"/>
    <w:lvl w:ilvl="0" w:tplc="04270001">
      <w:start w:val="1"/>
      <w:numFmt w:val="bullet"/>
      <w:lvlText w:val=""/>
      <w:lvlJc w:val="left"/>
      <w:pPr>
        <w:ind w:left="644" w:hanging="360"/>
      </w:pPr>
      <w:rPr>
        <w:rFonts w:ascii="Symbol" w:hAnsi="Symbol" w:hint="default"/>
      </w:rPr>
    </w:lvl>
    <w:lvl w:ilvl="1" w:tplc="04270003" w:tentative="1">
      <w:start w:val="1"/>
      <w:numFmt w:val="bullet"/>
      <w:lvlText w:val="o"/>
      <w:lvlJc w:val="left"/>
      <w:pPr>
        <w:ind w:left="1364" w:hanging="360"/>
      </w:pPr>
      <w:rPr>
        <w:rFonts w:ascii="Courier New" w:hAnsi="Courier New" w:cs="Courier New" w:hint="default"/>
      </w:rPr>
    </w:lvl>
    <w:lvl w:ilvl="2" w:tplc="04270005" w:tentative="1">
      <w:start w:val="1"/>
      <w:numFmt w:val="bullet"/>
      <w:lvlText w:val=""/>
      <w:lvlJc w:val="left"/>
      <w:pPr>
        <w:ind w:left="2084" w:hanging="360"/>
      </w:pPr>
      <w:rPr>
        <w:rFonts w:ascii="Wingdings" w:hAnsi="Wingdings" w:hint="default"/>
      </w:rPr>
    </w:lvl>
    <w:lvl w:ilvl="3" w:tplc="04270001" w:tentative="1">
      <w:start w:val="1"/>
      <w:numFmt w:val="bullet"/>
      <w:lvlText w:val=""/>
      <w:lvlJc w:val="left"/>
      <w:pPr>
        <w:ind w:left="2804" w:hanging="360"/>
      </w:pPr>
      <w:rPr>
        <w:rFonts w:ascii="Symbol" w:hAnsi="Symbol" w:hint="default"/>
      </w:rPr>
    </w:lvl>
    <w:lvl w:ilvl="4" w:tplc="04270003" w:tentative="1">
      <w:start w:val="1"/>
      <w:numFmt w:val="bullet"/>
      <w:lvlText w:val="o"/>
      <w:lvlJc w:val="left"/>
      <w:pPr>
        <w:ind w:left="3524" w:hanging="360"/>
      </w:pPr>
      <w:rPr>
        <w:rFonts w:ascii="Courier New" w:hAnsi="Courier New" w:cs="Courier New" w:hint="default"/>
      </w:rPr>
    </w:lvl>
    <w:lvl w:ilvl="5" w:tplc="04270005" w:tentative="1">
      <w:start w:val="1"/>
      <w:numFmt w:val="bullet"/>
      <w:lvlText w:val=""/>
      <w:lvlJc w:val="left"/>
      <w:pPr>
        <w:ind w:left="4244" w:hanging="360"/>
      </w:pPr>
      <w:rPr>
        <w:rFonts w:ascii="Wingdings" w:hAnsi="Wingdings" w:hint="default"/>
      </w:rPr>
    </w:lvl>
    <w:lvl w:ilvl="6" w:tplc="04270001" w:tentative="1">
      <w:start w:val="1"/>
      <w:numFmt w:val="bullet"/>
      <w:lvlText w:val=""/>
      <w:lvlJc w:val="left"/>
      <w:pPr>
        <w:ind w:left="4964" w:hanging="360"/>
      </w:pPr>
      <w:rPr>
        <w:rFonts w:ascii="Symbol" w:hAnsi="Symbol" w:hint="default"/>
      </w:rPr>
    </w:lvl>
    <w:lvl w:ilvl="7" w:tplc="04270003" w:tentative="1">
      <w:start w:val="1"/>
      <w:numFmt w:val="bullet"/>
      <w:lvlText w:val="o"/>
      <w:lvlJc w:val="left"/>
      <w:pPr>
        <w:ind w:left="5684" w:hanging="360"/>
      </w:pPr>
      <w:rPr>
        <w:rFonts w:ascii="Courier New" w:hAnsi="Courier New" w:cs="Courier New" w:hint="default"/>
      </w:rPr>
    </w:lvl>
    <w:lvl w:ilvl="8" w:tplc="04270005" w:tentative="1">
      <w:start w:val="1"/>
      <w:numFmt w:val="bullet"/>
      <w:lvlText w:val=""/>
      <w:lvlJc w:val="left"/>
      <w:pPr>
        <w:ind w:left="6404" w:hanging="360"/>
      </w:pPr>
      <w:rPr>
        <w:rFonts w:ascii="Wingdings" w:hAnsi="Wingdings" w:hint="default"/>
      </w:rPr>
    </w:lvl>
  </w:abstractNum>
  <w:num w:numId="1">
    <w:abstractNumId w:val="1"/>
    <w:lvlOverride w:ilvl="0">
      <w:startOverride w:val="1"/>
    </w:lvlOverride>
    <w:lvlOverride w:ilvl="1">
      <w:startOverride w:val="1"/>
    </w:lvlOverride>
    <w:lvlOverride w:ilvl="2"/>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2">
    <w:abstractNumId w:val="2"/>
  </w:num>
  <w:num w:numId="3">
    <w:abstractNumId w:val="21"/>
  </w:num>
  <w:num w:numId="4">
    <w:abstractNumId w:val="19"/>
  </w:num>
  <w:num w:numId="5">
    <w:abstractNumId w:val="12"/>
  </w:num>
  <w:num w:numId="6">
    <w:abstractNumId w:val="14"/>
  </w:num>
  <w:num w:numId="7">
    <w:abstractNumId w:val="17"/>
  </w:num>
  <w:num w:numId="8">
    <w:abstractNumId w:val="10"/>
  </w:num>
  <w:num w:numId="9">
    <w:abstractNumId w:val="5"/>
  </w:num>
  <w:num w:numId="10">
    <w:abstractNumId w:val="13"/>
  </w:num>
  <w:num w:numId="11">
    <w:abstractNumId w:val="4"/>
  </w:num>
  <w:num w:numId="12">
    <w:abstractNumId w:val="18"/>
  </w:num>
  <w:num w:numId="13">
    <w:abstractNumId w:val="11"/>
  </w:num>
  <w:num w:numId="14">
    <w:abstractNumId w:val="20"/>
  </w:num>
  <w:num w:numId="15">
    <w:abstractNumId w:val="7"/>
  </w:num>
  <w:num w:numId="16">
    <w:abstractNumId w:val="0"/>
  </w:num>
  <w:num w:numId="17">
    <w:abstractNumId w:val="16"/>
  </w:num>
  <w:num w:numId="18">
    <w:abstractNumId w:val="6"/>
  </w:num>
  <w:num w:numId="19">
    <w:abstractNumId w:val="9"/>
  </w:num>
  <w:num w:numId="20">
    <w:abstractNumId w:val="8"/>
  </w:num>
  <w:num w:numId="21">
    <w:abstractNumId w:val="3"/>
  </w:num>
  <w:num w:numId="22">
    <w:abstractNumId w:val="1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4D70"/>
    <w:rsid w:val="00000458"/>
    <w:rsid w:val="00017A8E"/>
    <w:rsid w:val="00047C8A"/>
    <w:rsid w:val="000601BB"/>
    <w:rsid w:val="00065E8C"/>
    <w:rsid w:val="000678AA"/>
    <w:rsid w:val="000713A4"/>
    <w:rsid w:val="000769A5"/>
    <w:rsid w:val="00076A9E"/>
    <w:rsid w:val="00096A64"/>
    <w:rsid w:val="000A17B8"/>
    <w:rsid w:val="000A25C8"/>
    <w:rsid w:val="000A3B2A"/>
    <w:rsid w:val="000A7ECC"/>
    <w:rsid w:val="000E1051"/>
    <w:rsid w:val="000F1A7A"/>
    <w:rsid w:val="000F2114"/>
    <w:rsid w:val="000F4400"/>
    <w:rsid w:val="000F589C"/>
    <w:rsid w:val="00114907"/>
    <w:rsid w:val="0011678C"/>
    <w:rsid w:val="00126F54"/>
    <w:rsid w:val="00136C11"/>
    <w:rsid w:val="00144F3B"/>
    <w:rsid w:val="001815A1"/>
    <w:rsid w:val="0018263F"/>
    <w:rsid w:val="00187F2F"/>
    <w:rsid w:val="001E0AC8"/>
    <w:rsid w:val="001E3961"/>
    <w:rsid w:val="00201304"/>
    <w:rsid w:val="00214FF8"/>
    <w:rsid w:val="002155E0"/>
    <w:rsid w:val="002243F3"/>
    <w:rsid w:val="00244C46"/>
    <w:rsid w:val="00261FBA"/>
    <w:rsid w:val="002764C2"/>
    <w:rsid w:val="002817F5"/>
    <w:rsid w:val="002836CE"/>
    <w:rsid w:val="002914B1"/>
    <w:rsid w:val="00293E2E"/>
    <w:rsid w:val="002A01DD"/>
    <w:rsid w:val="002D4A2E"/>
    <w:rsid w:val="002E08FF"/>
    <w:rsid w:val="002E7316"/>
    <w:rsid w:val="003068BF"/>
    <w:rsid w:val="00334CDB"/>
    <w:rsid w:val="00342933"/>
    <w:rsid w:val="0037377D"/>
    <w:rsid w:val="00377706"/>
    <w:rsid w:val="003779F0"/>
    <w:rsid w:val="00380F9D"/>
    <w:rsid w:val="0038198B"/>
    <w:rsid w:val="003868AF"/>
    <w:rsid w:val="0039677B"/>
    <w:rsid w:val="003B2B69"/>
    <w:rsid w:val="003C602D"/>
    <w:rsid w:val="003D4291"/>
    <w:rsid w:val="003E5320"/>
    <w:rsid w:val="004030AB"/>
    <w:rsid w:val="00405345"/>
    <w:rsid w:val="0040729F"/>
    <w:rsid w:val="00421F1D"/>
    <w:rsid w:val="0042242F"/>
    <w:rsid w:val="00433C22"/>
    <w:rsid w:val="00455FB7"/>
    <w:rsid w:val="00462AA2"/>
    <w:rsid w:val="00471481"/>
    <w:rsid w:val="0047220D"/>
    <w:rsid w:val="00472B78"/>
    <w:rsid w:val="0047419C"/>
    <w:rsid w:val="0048780D"/>
    <w:rsid w:val="00492AE1"/>
    <w:rsid w:val="004A7E04"/>
    <w:rsid w:val="004B0771"/>
    <w:rsid w:val="004E03CD"/>
    <w:rsid w:val="004F5635"/>
    <w:rsid w:val="005008AD"/>
    <w:rsid w:val="005059EB"/>
    <w:rsid w:val="00511707"/>
    <w:rsid w:val="005136DB"/>
    <w:rsid w:val="00544006"/>
    <w:rsid w:val="00547D85"/>
    <w:rsid w:val="00552B86"/>
    <w:rsid w:val="00553114"/>
    <w:rsid w:val="005706F9"/>
    <w:rsid w:val="005718DC"/>
    <w:rsid w:val="005736B5"/>
    <w:rsid w:val="005A1557"/>
    <w:rsid w:val="005A7E67"/>
    <w:rsid w:val="005D1308"/>
    <w:rsid w:val="005D1A89"/>
    <w:rsid w:val="005E170B"/>
    <w:rsid w:val="005F1C12"/>
    <w:rsid w:val="00621E17"/>
    <w:rsid w:val="00627190"/>
    <w:rsid w:val="006356C2"/>
    <w:rsid w:val="006425A0"/>
    <w:rsid w:val="00651BAA"/>
    <w:rsid w:val="00652FBD"/>
    <w:rsid w:val="006C0FB5"/>
    <w:rsid w:val="006C1EBC"/>
    <w:rsid w:val="006C29E0"/>
    <w:rsid w:val="006E224F"/>
    <w:rsid w:val="006F2118"/>
    <w:rsid w:val="00701BC5"/>
    <w:rsid w:val="00705ACA"/>
    <w:rsid w:val="00705E0F"/>
    <w:rsid w:val="00707F09"/>
    <w:rsid w:val="00713B84"/>
    <w:rsid w:val="007142F3"/>
    <w:rsid w:val="00720C6E"/>
    <w:rsid w:val="00723FC9"/>
    <w:rsid w:val="007256AD"/>
    <w:rsid w:val="0074051D"/>
    <w:rsid w:val="00741E5F"/>
    <w:rsid w:val="00745E44"/>
    <w:rsid w:val="0075072F"/>
    <w:rsid w:val="007569CF"/>
    <w:rsid w:val="007633CD"/>
    <w:rsid w:val="00765E5B"/>
    <w:rsid w:val="007731A8"/>
    <w:rsid w:val="0078551E"/>
    <w:rsid w:val="00791517"/>
    <w:rsid w:val="007932C0"/>
    <w:rsid w:val="00793E3C"/>
    <w:rsid w:val="0079438B"/>
    <w:rsid w:val="007B02BB"/>
    <w:rsid w:val="007C2CFB"/>
    <w:rsid w:val="007D4C6A"/>
    <w:rsid w:val="007F75CB"/>
    <w:rsid w:val="00806F29"/>
    <w:rsid w:val="00814201"/>
    <w:rsid w:val="00830198"/>
    <w:rsid w:val="00873647"/>
    <w:rsid w:val="00874104"/>
    <w:rsid w:val="00883390"/>
    <w:rsid w:val="0088529B"/>
    <w:rsid w:val="008C24FE"/>
    <w:rsid w:val="008D6B38"/>
    <w:rsid w:val="008E21A0"/>
    <w:rsid w:val="008E7545"/>
    <w:rsid w:val="008F1E61"/>
    <w:rsid w:val="009178E9"/>
    <w:rsid w:val="00917A03"/>
    <w:rsid w:val="009202C6"/>
    <w:rsid w:val="009342B1"/>
    <w:rsid w:val="0094073A"/>
    <w:rsid w:val="009411C0"/>
    <w:rsid w:val="00962666"/>
    <w:rsid w:val="009633E2"/>
    <w:rsid w:val="00982D67"/>
    <w:rsid w:val="009A253B"/>
    <w:rsid w:val="009B11DF"/>
    <w:rsid w:val="009B3952"/>
    <w:rsid w:val="009C336F"/>
    <w:rsid w:val="009C5EF2"/>
    <w:rsid w:val="009D3FE2"/>
    <w:rsid w:val="009D42D8"/>
    <w:rsid w:val="009D4D70"/>
    <w:rsid w:val="009D63C7"/>
    <w:rsid w:val="009E0F69"/>
    <w:rsid w:val="00A00AAA"/>
    <w:rsid w:val="00A0435E"/>
    <w:rsid w:val="00A051EB"/>
    <w:rsid w:val="00A207C8"/>
    <w:rsid w:val="00A369D4"/>
    <w:rsid w:val="00A613D7"/>
    <w:rsid w:val="00A67809"/>
    <w:rsid w:val="00A85B8F"/>
    <w:rsid w:val="00A96A6D"/>
    <w:rsid w:val="00AA132A"/>
    <w:rsid w:val="00AA1408"/>
    <w:rsid w:val="00AB31B4"/>
    <w:rsid w:val="00AB4C6D"/>
    <w:rsid w:val="00AB5028"/>
    <w:rsid w:val="00AC6837"/>
    <w:rsid w:val="00AD6AE8"/>
    <w:rsid w:val="00AE2304"/>
    <w:rsid w:val="00AF01BF"/>
    <w:rsid w:val="00B11566"/>
    <w:rsid w:val="00B26F29"/>
    <w:rsid w:val="00B35CCF"/>
    <w:rsid w:val="00B73D5E"/>
    <w:rsid w:val="00B8132B"/>
    <w:rsid w:val="00B85E5A"/>
    <w:rsid w:val="00B9638E"/>
    <w:rsid w:val="00B977E3"/>
    <w:rsid w:val="00B97A6B"/>
    <w:rsid w:val="00BA2279"/>
    <w:rsid w:val="00BB562B"/>
    <w:rsid w:val="00BB78AE"/>
    <w:rsid w:val="00BC6C3E"/>
    <w:rsid w:val="00BD4191"/>
    <w:rsid w:val="00BD577A"/>
    <w:rsid w:val="00BD5E1E"/>
    <w:rsid w:val="00BE1479"/>
    <w:rsid w:val="00BF44D9"/>
    <w:rsid w:val="00C02794"/>
    <w:rsid w:val="00C14B3D"/>
    <w:rsid w:val="00C22A8F"/>
    <w:rsid w:val="00C4696A"/>
    <w:rsid w:val="00C47633"/>
    <w:rsid w:val="00C55FA8"/>
    <w:rsid w:val="00C73355"/>
    <w:rsid w:val="00C7657E"/>
    <w:rsid w:val="00C83F3B"/>
    <w:rsid w:val="00C87DB9"/>
    <w:rsid w:val="00C94D14"/>
    <w:rsid w:val="00CB3447"/>
    <w:rsid w:val="00CE195C"/>
    <w:rsid w:val="00CF7AA6"/>
    <w:rsid w:val="00D007F5"/>
    <w:rsid w:val="00D0691E"/>
    <w:rsid w:val="00D11163"/>
    <w:rsid w:val="00D22BC3"/>
    <w:rsid w:val="00D252B6"/>
    <w:rsid w:val="00D256DD"/>
    <w:rsid w:val="00D33DBA"/>
    <w:rsid w:val="00D4154B"/>
    <w:rsid w:val="00D52069"/>
    <w:rsid w:val="00D56A2E"/>
    <w:rsid w:val="00D62032"/>
    <w:rsid w:val="00D8565B"/>
    <w:rsid w:val="00DB79E7"/>
    <w:rsid w:val="00DC63E4"/>
    <w:rsid w:val="00DE28FB"/>
    <w:rsid w:val="00DE5FBF"/>
    <w:rsid w:val="00DF5308"/>
    <w:rsid w:val="00DF72D6"/>
    <w:rsid w:val="00E01424"/>
    <w:rsid w:val="00E0211F"/>
    <w:rsid w:val="00E07431"/>
    <w:rsid w:val="00E15DB8"/>
    <w:rsid w:val="00E22CAC"/>
    <w:rsid w:val="00E26685"/>
    <w:rsid w:val="00E52040"/>
    <w:rsid w:val="00E551ED"/>
    <w:rsid w:val="00E6493F"/>
    <w:rsid w:val="00E77291"/>
    <w:rsid w:val="00E8342B"/>
    <w:rsid w:val="00E84901"/>
    <w:rsid w:val="00EA5E92"/>
    <w:rsid w:val="00EB0D85"/>
    <w:rsid w:val="00EB1704"/>
    <w:rsid w:val="00EC447A"/>
    <w:rsid w:val="00F502DC"/>
    <w:rsid w:val="00F53837"/>
    <w:rsid w:val="00F83D27"/>
    <w:rsid w:val="00FA4251"/>
    <w:rsid w:val="00FB1CFA"/>
    <w:rsid w:val="00FB3F9A"/>
    <w:rsid w:val="00FE5B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2242F"/>
    <w:rPr>
      <w:rFonts w:ascii="Times New Roman" w:hAnsi="Times New Roman"/>
      <w:sz w:val="24"/>
    </w:rPr>
  </w:style>
  <w:style w:type="paragraph" w:styleId="Antrat1">
    <w:name w:val="heading 1"/>
    <w:basedOn w:val="prastasis"/>
    <w:next w:val="prastasis"/>
    <w:link w:val="Antrat1Diagrama"/>
    <w:uiPriority w:val="9"/>
    <w:qFormat/>
    <w:rsid w:val="00E15D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numbered (a)),References,WB List Paragraph,Su numeracija,Akapit z listą,Dot pt,F5 List Paragraph,List Paragraph1,Recommendation,List Paragraph11,Numerowanie,Kolorowa lista — akcent 11,Akapit z listą1,Listaszerű bekezdés1"/>
    <w:basedOn w:val="prastasis"/>
    <w:link w:val="SraopastraipaDiagrama"/>
    <w:uiPriority w:val="34"/>
    <w:qFormat/>
    <w:rsid w:val="0011678C"/>
    <w:pPr>
      <w:ind w:left="720"/>
      <w:contextualSpacing/>
    </w:pPr>
  </w:style>
  <w:style w:type="character" w:customStyle="1" w:styleId="SraopastraipaDiagrama">
    <w:name w:val="Sąrašo pastraipa Diagrama"/>
    <w:aliases w:val="List Paragraph (numbered (a)) Diagrama,References Diagrama,WB List Paragraph Diagrama,Su numeracija Diagrama,Akapit z listą Diagrama,Dot pt Diagrama,F5 List Paragraph Diagrama,List Paragraph1 Diagrama,Recommendation Diagrama"/>
    <w:link w:val="Sraopastraipa"/>
    <w:uiPriority w:val="34"/>
    <w:qFormat/>
    <w:locked/>
    <w:rsid w:val="004F5635"/>
    <w:rPr>
      <w:rFonts w:ascii="Times New Roman" w:hAnsi="Times New Roman"/>
      <w:sz w:val="24"/>
    </w:rPr>
  </w:style>
  <w:style w:type="paragraph" w:customStyle="1" w:styleId="Pointabc">
    <w:name w:val="Point abc"/>
    <w:basedOn w:val="prastasis"/>
    <w:rsid w:val="004F5635"/>
    <w:pPr>
      <w:numPr>
        <w:ilvl w:val="1"/>
        <w:numId w:val="1"/>
      </w:numPr>
      <w:spacing w:before="200" w:after="0" w:line="240" w:lineRule="auto"/>
    </w:pPr>
    <w:rPr>
      <w:rFonts w:cs="Times New Roman"/>
      <w:lang w:val="en-GB"/>
    </w:rPr>
  </w:style>
  <w:style w:type="paragraph" w:customStyle="1" w:styleId="Pointabc1">
    <w:name w:val="Point abc (1)"/>
    <w:basedOn w:val="prastasis"/>
    <w:rsid w:val="004F5635"/>
    <w:pPr>
      <w:numPr>
        <w:ilvl w:val="3"/>
        <w:numId w:val="1"/>
      </w:numPr>
      <w:spacing w:after="0" w:line="240" w:lineRule="auto"/>
    </w:pPr>
    <w:rPr>
      <w:rFonts w:cs="Times New Roman"/>
      <w:lang w:val="en-GB"/>
    </w:rPr>
  </w:style>
  <w:style w:type="paragraph" w:customStyle="1" w:styleId="Pointabc2">
    <w:name w:val="Point abc (2)"/>
    <w:basedOn w:val="prastasis"/>
    <w:rsid w:val="004F5635"/>
    <w:pPr>
      <w:numPr>
        <w:ilvl w:val="5"/>
        <w:numId w:val="1"/>
      </w:numPr>
      <w:spacing w:after="0" w:line="240" w:lineRule="auto"/>
    </w:pPr>
    <w:rPr>
      <w:rFonts w:cs="Times New Roman"/>
      <w:lang w:val="en-GB"/>
    </w:rPr>
  </w:style>
  <w:style w:type="paragraph" w:customStyle="1" w:styleId="Pointabc3">
    <w:name w:val="Point abc (3)"/>
    <w:basedOn w:val="prastasis"/>
    <w:rsid w:val="004F5635"/>
    <w:pPr>
      <w:numPr>
        <w:ilvl w:val="7"/>
        <w:numId w:val="1"/>
      </w:numPr>
      <w:spacing w:after="0" w:line="240" w:lineRule="auto"/>
    </w:pPr>
    <w:rPr>
      <w:rFonts w:cs="Times New Roman"/>
      <w:lang w:val="en-GB"/>
    </w:rPr>
  </w:style>
  <w:style w:type="paragraph" w:customStyle="1" w:styleId="Pointabc4">
    <w:name w:val="Point abc (4)"/>
    <w:basedOn w:val="prastasis"/>
    <w:rsid w:val="004F5635"/>
    <w:pPr>
      <w:numPr>
        <w:ilvl w:val="8"/>
        <w:numId w:val="1"/>
      </w:numPr>
      <w:spacing w:after="0" w:line="240" w:lineRule="auto"/>
    </w:pPr>
    <w:rPr>
      <w:rFonts w:cs="Times New Roman"/>
      <w:lang w:val="en-GB"/>
    </w:rPr>
  </w:style>
  <w:style w:type="paragraph" w:customStyle="1" w:styleId="Point123">
    <w:name w:val="Point 123"/>
    <w:basedOn w:val="prastasis"/>
    <w:rsid w:val="004F5635"/>
    <w:pPr>
      <w:numPr>
        <w:numId w:val="1"/>
      </w:numPr>
      <w:spacing w:before="200" w:after="0" w:line="240" w:lineRule="auto"/>
    </w:pPr>
    <w:rPr>
      <w:rFonts w:cs="Times New Roman"/>
      <w:lang w:val="en-GB"/>
    </w:rPr>
  </w:style>
  <w:style w:type="paragraph" w:customStyle="1" w:styleId="Point1231">
    <w:name w:val="Point 123 (1)"/>
    <w:basedOn w:val="prastasis"/>
    <w:rsid w:val="004F5635"/>
    <w:pPr>
      <w:numPr>
        <w:ilvl w:val="2"/>
        <w:numId w:val="1"/>
      </w:numPr>
      <w:spacing w:after="0" w:line="240" w:lineRule="auto"/>
    </w:pPr>
    <w:rPr>
      <w:rFonts w:cs="Times New Roman"/>
      <w:lang w:val="en-GB"/>
    </w:rPr>
  </w:style>
  <w:style w:type="paragraph" w:customStyle="1" w:styleId="Point1232">
    <w:name w:val="Point 123 (2)"/>
    <w:basedOn w:val="prastasis"/>
    <w:rsid w:val="004F5635"/>
    <w:pPr>
      <w:numPr>
        <w:ilvl w:val="4"/>
        <w:numId w:val="1"/>
      </w:numPr>
      <w:spacing w:after="0" w:line="240" w:lineRule="auto"/>
    </w:pPr>
    <w:rPr>
      <w:rFonts w:cs="Times New Roman"/>
      <w:lang w:val="en-GB"/>
    </w:rPr>
  </w:style>
  <w:style w:type="paragraph" w:customStyle="1" w:styleId="Point1233">
    <w:name w:val="Point 123 (3)"/>
    <w:basedOn w:val="prastasis"/>
    <w:rsid w:val="004F5635"/>
    <w:pPr>
      <w:numPr>
        <w:ilvl w:val="6"/>
        <w:numId w:val="1"/>
      </w:numPr>
      <w:spacing w:after="0" w:line="240" w:lineRule="auto"/>
    </w:pPr>
    <w:rPr>
      <w:rFonts w:cs="Times New Roman"/>
      <w:lang w:val="en-GB"/>
    </w:rPr>
  </w:style>
  <w:style w:type="paragraph" w:styleId="Antrats">
    <w:name w:val="header"/>
    <w:basedOn w:val="prastasis"/>
    <w:link w:val="AntratsDiagrama"/>
    <w:uiPriority w:val="99"/>
    <w:unhideWhenUsed/>
    <w:rsid w:val="005059E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059EB"/>
    <w:rPr>
      <w:rFonts w:ascii="Times New Roman" w:hAnsi="Times New Roman"/>
      <w:sz w:val="24"/>
    </w:rPr>
  </w:style>
  <w:style w:type="paragraph" w:styleId="Porat">
    <w:name w:val="footer"/>
    <w:basedOn w:val="prastasis"/>
    <w:link w:val="PoratDiagrama"/>
    <w:uiPriority w:val="99"/>
    <w:unhideWhenUsed/>
    <w:rsid w:val="005059E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059EB"/>
    <w:rPr>
      <w:rFonts w:ascii="Times New Roman" w:hAnsi="Times New Roman"/>
      <w:sz w:val="24"/>
    </w:rPr>
  </w:style>
  <w:style w:type="paragraph" w:styleId="Puslapioinaostekstas">
    <w:name w:val="footnote text"/>
    <w:basedOn w:val="prastasis"/>
    <w:link w:val="PuslapioinaostekstasDiagrama"/>
    <w:uiPriority w:val="99"/>
    <w:semiHidden/>
    <w:unhideWhenUsed/>
    <w:rsid w:val="009E0F69"/>
    <w:pPr>
      <w:spacing w:after="0" w:line="240" w:lineRule="auto"/>
    </w:pPr>
    <w:rPr>
      <w:rFonts w:asciiTheme="minorHAnsi" w:hAnsiTheme="minorHAnsi"/>
      <w:sz w:val="20"/>
      <w:szCs w:val="20"/>
    </w:rPr>
  </w:style>
  <w:style w:type="character" w:customStyle="1" w:styleId="PuslapioinaostekstasDiagrama">
    <w:name w:val="Puslapio išnašos tekstas Diagrama"/>
    <w:basedOn w:val="Numatytasispastraiposriftas"/>
    <w:link w:val="Puslapioinaostekstas"/>
    <w:uiPriority w:val="99"/>
    <w:semiHidden/>
    <w:rsid w:val="009E0F69"/>
    <w:rPr>
      <w:sz w:val="20"/>
      <w:szCs w:val="20"/>
    </w:rPr>
  </w:style>
  <w:style w:type="character" w:styleId="Puslapioinaosnuoroda">
    <w:name w:val="footnote reference"/>
    <w:basedOn w:val="Numatytasispastraiposriftas"/>
    <w:uiPriority w:val="99"/>
    <w:semiHidden/>
    <w:unhideWhenUsed/>
    <w:rsid w:val="009E0F69"/>
    <w:rPr>
      <w:vertAlign w:val="superscript"/>
    </w:rPr>
  </w:style>
  <w:style w:type="character" w:styleId="Komentaronuoroda">
    <w:name w:val="annotation reference"/>
    <w:basedOn w:val="Numatytasispastraiposriftas"/>
    <w:uiPriority w:val="99"/>
    <w:semiHidden/>
    <w:unhideWhenUsed/>
    <w:rsid w:val="003B2B69"/>
    <w:rPr>
      <w:sz w:val="16"/>
      <w:szCs w:val="16"/>
    </w:rPr>
  </w:style>
  <w:style w:type="paragraph" w:styleId="Komentarotekstas">
    <w:name w:val="annotation text"/>
    <w:basedOn w:val="prastasis"/>
    <w:link w:val="KomentarotekstasDiagrama"/>
    <w:uiPriority w:val="99"/>
    <w:semiHidden/>
    <w:unhideWhenUsed/>
    <w:rsid w:val="003B2B69"/>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3B2B69"/>
    <w:rPr>
      <w:rFonts w:ascii="Times New Roman" w:hAnsi="Times New Roman"/>
      <w:sz w:val="20"/>
      <w:szCs w:val="20"/>
    </w:rPr>
  </w:style>
  <w:style w:type="paragraph" w:styleId="Komentarotema">
    <w:name w:val="annotation subject"/>
    <w:basedOn w:val="Komentarotekstas"/>
    <w:next w:val="Komentarotekstas"/>
    <w:link w:val="KomentarotemaDiagrama"/>
    <w:uiPriority w:val="99"/>
    <w:semiHidden/>
    <w:unhideWhenUsed/>
    <w:rsid w:val="003B2B69"/>
    <w:rPr>
      <w:b/>
      <w:bCs/>
    </w:rPr>
  </w:style>
  <w:style w:type="character" w:customStyle="1" w:styleId="KomentarotemaDiagrama">
    <w:name w:val="Komentaro tema Diagrama"/>
    <w:basedOn w:val="KomentarotekstasDiagrama"/>
    <w:link w:val="Komentarotema"/>
    <w:uiPriority w:val="99"/>
    <w:semiHidden/>
    <w:rsid w:val="003B2B69"/>
    <w:rPr>
      <w:rFonts w:ascii="Times New Roman" w:hAnsi="Times New Roman"/>
      <w:b/>
      <w:bCs/>
      <w:sz w:val="20"/>
      <w:szCs w:val="20"/>
    </w:rPr>
  </w:style>
  <w:style w:type="paragraph" w:styleId="Debesliotekstas">
    <w:name w:val="Balloon Text"/>
    <w:basedOn w:val="prastasis"/>
    <w:link w:val="DebesliotekstasDiagrama"/>
    <w:uiPriority w:val="99"/>
    <w:semiHidden/>
    <w:unhideWhenUsed/>
    <w:rsid w:val="003B2B69"/>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B2B69"/>
    <w:rPr>
      <w:rFonts w:ascii="Tahoma" w:hAnsi="Tahoma" w:cs="Tahoma"/>
      <w:sz w:val="16"/>
      <w:szCs w:val="16"/>
    </w:rPr>
  </w:style>
  <w:style w:type="character" w:customStyle="1" w:styleId="tlid-translation">
    <w:name w:val="tlid-translation"/>
    <w:basedOn w:val="Numatytasispastraiposriftas"/>
    <w:rsid w:val="00065E8C"/>
  </w:style>
  <w:style w:type="character" w:customStyle="1" w:styleId="Antrat1Diagrama">
    <w:name w:val="Antraštė 1 Diagrama"/>
    <w:basedOn w:val="Numatytasispastraiposriftas"/>
    <w:link w:val="Antrat1"/>
    <w:uiPriority w:val="9"/>
    <w:rsid w:val="00E15DB8"/>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2242F"/>
    <w:rPr>
      <w:rFonts w:ascii="Times New Roman" w:hAnsi="Times New Roman"/>
      <w:sz w:val="24"/>
    </w:rPr>
  </w:style>
  <w:style w:type="paragraph" w:styleId="Antrat1">
    <w:name w:val="heading 1"/>
    <w:basedOn w:val="prastasis"/>
    <w:next w:val="prastasis"/>
    <w:link w:val="Antrat1Diagrama"/>
    <w:uiPriority w:val="9"/>
    <w:qFormat/>
    <w:rsid w:val="00E15D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numbered (a)),References,WB List Paragraph,Su numeracija,Akapit z listą,Dot pt,F5 List Paragraph,List Paragraph1,Recommendation,List Paragraph11,Numerowanie,Kolorowa lista — akcent 11,Akapit z listą1,Listaszerű bekezdés1"/>
    <w:basedOn w:val="prastasis"/>
    <w:link w:val="SraopastraipaDiagrama"/>
    <w:uiPriority w:val="34"/>
    <w:qFormat/>
    <w:rsid w:val="0011678C"/>
    <w:pPr>
      <w:ind w:left="720"/>
      <w:contextualSpacing/>
    </w:pPr>
  </w:style>
  <w:style w:type="character" w:customStyle="1" w:styleId="SraopastraipaDiagrama">
    <w:name w:val="Sąrašo pastraipa Diagrama"/>
    <w:aliases w:val="List Paragraph (numbered (a)) Diagrama,References Diagrama,WB List Paragraph Diagrama,Su numeracija Diagrama,Akapit z listą Diagrama,Dot pt Diagrama,F5 List Paragraph Diagrama,List Paragraph1 Diagrama,Recommendation Diagrama"/>
    <w:link w:val="Sraopastraipa"/>
    <w:uiPriority w:val="34"/>
    <w:qFormat/>
    <w:locked/>
    <w:rsid w:val="004F5635"/>
    <w:rPr>
      <w:rFonts w:ascii="Times New Roman" w:hAnsi="Times New Roman"/>
      <w:sz w:val="24"/>
    </w:rPr>
  </w:style>
  <w:style w:type="paragraph" w:customStyle="1" w:styleId="Pointabc">
    <w:name w:val="Point abc"/>
    <w:basedOn w:val="prastasis"/>
    <w:rsid w:val="004F5635"/>
    <w:pPr>
      <w:numPr>
        <w:ilvl w:val="1"/>
        <w:numId w:val="1"/>
      </w:numPr>
      <w:spacing w:before="200" w:after="0" w:line="240" w:lineRule="auto"/>
    </w:pPr>
    <w:rPr>
      <w:rFonts w:cs="Times New Roman"/>
      <w:lang w:val="en-GB"/>
    </w:rPr>
  </w:style>
  <w:style w:type="paragraph" w:customStyle="1" w:styleId="Pointabc1">
    <w:name w:val="Point abc (1)"/>
    <w:basedOn w:val="prastasis"/>
    <w:rsid w:val="004F5635"/>
    <w:pPr>
      <w:numPr>
        <w:ilvl w:val="3"/>
        <w:numId w:val="1"/>
      </w:numPr>
      <w:spacing w:after="0" w:line="240" w:lineRule="auto"/>
    </w:pPr>
    <w:rPr>
      <w:rFonts w:cs="Times New Roman"/>
      <w:lang w:val="en-GB"/>
    </w:rPr>
  </w:style>
  <w:style w:type="paragraph" w:customStyle="1" w:styleId="Pointabc2">
    <w:name w:val="Point abc (2)"/>
    <w:basedOn w:val="prastasis"/>
    <w:rsid w:val="004F5635"/>
    <w:pPr>
      <w:numPr>
        <w:ilvl w:val="5"/>
        <w:numId w:val="1"/>
      </w:numPr>
      <w:spacing w:after="0" w:line="240" w:lineRule="auto"/>
    </w:pPr>
    <w:rPr>
      <w:rFonts w:cs="Times New Roman"/>
      <w:lang w:val="en-GB"/>
    </w:rPr>
  </w:style>
  <w:style w:type="paragraph" w:customStyle="1" w:styleId="Pointabc3">
    <w:name w:val="Point abc (3)"/>
    <w:basedOn w:val="prastasis"/>
    <w:rsid w:val="004F5635"/>
    <w:pPr>
      <w:numPr>
        <w:ilvl w:val="7"/>
        <w:numId w:val="1"/>
      </w:numPr>
      <w:spacing w:after="0" w:line="240" w:lineRule="auto"/>
    </w:pPr>
    <w:rPr>
      <w:rFonts w:cs="Times New Roman"/>
      <w:lang w:val="en-GB"/>
    </w:rPr>
  </w:style>
  <w:style w:type="paragraph" w:customStyle="1" w:styleId="Pointabc4">
    <w:name w:val="Point abc (4)"/>
    <w:basedOn w:val="prastasis"/>
    <w:rsid w:val="004F5635"/>
    <w:pPr>
      <w:numPr>
        <w:ilvl w:val="8"/>
        <w:numId w:val="1"/>
      </w:numPr>
      <w:spacing w:after="0" w:line="240" w:lineRule="auto"/>
    </w:pPr>
    <w:rPr>
      <w:rFonts w:cs="Times New Roman"/>
      <w:lang w:val="en-GB"/>
    </w:rPr>
  </w:style>
  <w:style w:type="paragraph" w:customStyle="1" w:styleId="Point123">
    <w:name w:val="Point 123"/>
    <w:basedOn w:val="prastasis"/>
    <w:rsid w:val="004F5635"/>
    <w:pPr>
      <w:numPr>
        <w:numId w:val="1"/>
      </w:numPr>
      <w:spacing w:before="200" w:after="0" w:line="240" w:lineRule="auto"/>
    </w:pPr>
    <w:rPr>
      <w:rFonts w:cs="Times New Roman"/>
      <w:lang w:val="en-GB"/>
    </w:rPr>
  </w:style>
  <w:style w:type="paragraph" w:customStyle="1" w:styleId="Point1231">
    <w:name w:val="Point 123 (1)"/>
    <w:basedOn w:val="prastasis"/>
    <w:rsid w:val="004F5635"/>
    <w:pPr>
      <w:numPr>
        <w:ilvl w:val="2"/>
        <w:numId w:val="1"/>
      </w:numPr>
      <w:spacing w:after="0" w:line="240" w:lineRule="auto"/>
    </w:pPr>
    <w:rPr>
      <w:rFonts w:cs="Times New Roman"/>
      <w:lang w:val="en-GB"/>
    </w:rPr>
  </w:style>
  <w:style w:type="paragraph" w:customStyle="1" w:styleId="Point1232">
    <w:name w:val="Point 123 (2)"/>
    <w:basedOn w:val="prastasis"/>
    <w:rsid w:val="004F5635"/>
    <w:pPr>
      <w:numPr>
        <w:ilvl w:val="4"/>
        <w:numId w:val="1"/>
      </w:numPr>
      <w:spacing w:after="0" w:line="240" w:lineRule="auto"/>
    </w:pPr>
    <w:rPr>
      <w:rFonts w:cs="Times New Roman"/>
      <w:lang w:val="en-GB"/>
    </w:rPr>
  </w:style>
  <w:style w:type="paragraph" w:customStyle="1" w:styleId="Point1233">
    <w:name w:val="Point 123 (3)"/>
    <w:basedOn w:val="prastasis"/>
    <w:rsid w:val="004F5635"/>
    <w:pPr>
      <w:numPr>
        <w:ilvl w:val="6"/>
        <w:numId w:val="1"/>
      </w:numPr>
      <w:spacing w:after="0" w:line="240" w:lineRule="auto"/>
    </w:pPr>
    <w:rPr>
      <w:rFonts w:cs="Times New Roman"/>
      <w:lang w:val="en-GB"/>
    </w:rPr>
  </w:style>
  <w:style w:type="paragraph" w:styleId="Antrats">
    <w:name w:val="header"/>
    <w:basedOn w:val="prastasis"/>
    <w:link w:val="AntratsDiagrama"/>
    <w:uiPriority w:val="99"/>
    <w:unhideWhenUsed/>
    <w:rsid w:val="005059E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059EB"/>
    <w:rPr>
      <w:rFonts w:ascii="Times New Roman" w:hAnsi="Times New Roman"/>
      <w:sz w:val="24"/>
    </w:rPr>
  </w:style>
  <w:style w:type="paragraph" w:styleId="Porat">
    <w:name w:val="footer"/>
    <w:basedOn w:val="prastasis"/>
    <w:link w:val="PoratDiagrama"/>
    <w:uiPriority w:val="99"/>
    <w:unhideWhenUsed/>
    <w:rsid w:val="005059E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059EB"/>
    <w:rPr>
      <w:rFonts w:ascii="Times New Roman" w:hAnsi="Times New Roman"/>
      <w:sz w:val="24"/>
    </w:rPr>
  </w:style>
  <w:style w:type="paragraph" w:styleId="Puslapioinaostekstas">
    <w:name w:val="footnote text"/>
    <w:basedOn w:val="prastasis"/>
    <w:link w:val="PuslapioinaostekstasDiagrama"/>
    <w:uiPriority w:val="99"/>
    <w:semiHidden/>
    <w:unhideWhenUsed/>
    <w:rsid w:val="009E0F69"/>
    <w:pPr>
      <w:spacing w:after="0" w:line="240" w:lineRule="auto"/>
    </w:pPr>
    <w:rPr>
      <w:rFonts w:asciiTheme="minorHAnsi" w:hAnsiTheme="minorHAnsi"/>
      <w:sz w:val="20"/>
      <w:szCs w:val="20"/>
    </w:rPr>
  </w:style>
  <w:style w:type="character" w:customStyle="1" w:styleId="PuslapioinaostekstasDiagrama">
    <w:name w:val="Puslapio išnašos tekstas Diagrama"/>
    <w:basedOn w:val="Numatytasispastraiposriftas"/>
    <w:link w:val="Puslapioinaostekstas"/>
    <w:uiPriority w:val="99"/>
    <w:semiHidden/>
    <w:rsid w:val="009E0F69"/>
    <w:rPr>
      <w:sz w:val="20"/>
      <w:szCs w:val="20"/>
    </w:rPr>
  </w:style>
  <w:style w:type="character" w:styleId="Puslapioinaosnuoroda">
    <w:name w:val="footnote reference"/>
    <w:basedOn w:val="Numatytasispastraiposriftas"/>
    <w:uiPriority w:val="99"/>
    <w:semiHidden/>
    <w:unhideWhenUsed/>
    <w:rsid w:val="009E0F69"/>
    <w:rPr>
      <w:vertAlign w:val="superscript"/>
    </w:rPr>
  </w:style>
  <w:style w:type="character" w:styleId="Komentaronuoroda">
    <w:name w:val="annotation reference"/>
    <w:basedOn w:val="Numatytasispastraiposriftas"/>
    <w:uiPriority w:val="99"/>
    <w:semiHidden/>
    <w:unhideWhenUsed/>
    <w:rsid w:val="003B2B69"/>
    <w:rPr>
      <w:sz w:val="16"/>
      <w:szCs w:val="16"/>
    </w:rPr>
  </w:style>
  <w:style w:type="paragraph" w:styleId="Komentarotekstas">
    <w:name w:val="annotation text"/>
    <w:basedOn w:val="prastasis"/>
    <w:link w:val="KomentarotekstasDiagrama"/>
    <w:uiPriority w:val="99"/>
    <w:semiHidden/>
    <w:unhideWhenUsed/>
    <w:rsid w:val="003B2B69"/>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3B2B69"/>
    <w:rPr>
      <w:rFonts w:ascii="Times New Roman" w:hAnsi="Times New Roman"/>
      <w:sz w:val="20"/>
      <w:szCs w:val="20"/>
    </w:rPr>
  </w:style>
  <w:style w:type="paragraph" w:styleId="Komentarotema">
    <w:name w:val="annotation subject"/>
    <w:basedOn w:val="Komentarotekstas"/>
    <w:next w:val="Komentarotekstas"/>
    <w:link w:val="KomentarotemaDiagrama"/>
    <w:uiPriority w:val="99"/>
    <w:semiHidden/>
    <w:unhideWhenUsed/>
    <w:rsid w:val="003B2B69"/>
    <w:rPr>
      <w:b/>
      <w:bCs/>
    </w:rPr>
  </w:style>
  <w:style w:type="character" w:customStyle="1" w:styleId="KomentarotemaDiagrama">
    <w:name w:val="Komentaro tema Diagrama"/>
    <w:basedOn w:val="KomentarotekstasDiagrama"/>
    <w:link w:val="Komentarotema"/>
    <w:uiPriority w:val="99"/>
    <w:semiHidden/>
    <w:rsid w:val="003B2B69"/>
    <w:rPr>
      <w:rFonts w:ascii="Times New Roman" w:hAnsi="Times New Roman"/>
      <w:b/>
      <w:bCs/>
      <w:sz w:val="20"/>
      <w:szCs w:val="20"/>
    </w:rPr>
  </w:style>
  <w:style w:type="paragraph" w:styleId="Debesliotekstas">
    <w:name w:val="Balloon Text"/>
    <w:basedOn w:val="prastasis"/>
    <w:link w:val="DebesliotekstasDiagrama"/>
    <w:uiPriority w:val="99"/>
    <w:semiHidden/>
    <w:unhideWhenUsed/>
    <w:rsid w:val="003B2B69"/>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B2B69"/>
    <w:rPr>
      <w:rFonts w:ascii="Tahoma" w:hAnsi="Tahoma" w:cs="Tahoma"/>
      <w:sz w:val="16"/>
      <w:szCs w:val="16"/>
    </w:rPr>
  </w:style>
  <w:style w:type="character" w:customStyle="1" w:styleId="tlid-translation">
    <w:name w:val="tlid-translation"/>
    <w:basedOn w:val="Numatytasispastraiposriftas"/>
    <w:rsid w:val="00065E8C"/>
  </w:style>
  <w:style w:type="character" w:customStyle="1" w:styleId="Antrat1Diagrama">
    <w:name w:val="Antraštė 1 Diagrama"/>
    <w:basedOn w:val="Numatytasispastraiposriftas"/>
    <w:link w:val="Antrat1"/>
    <w:uiPriority w:val="9"/>
    <w:rsid w:val="00E15DB8"/>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404749">
      <w:bodyDiv w:val="1"/>
      <w:marLeft w:val="0"/>
      <w:marRight w:val="0"/>
      <w:marTop w:val="0"/>
      <w:marBottom w:val="0"/>
      <w:divBdr>
        <w:top w:val="none" w:sz="0" w:space="0" w:color="auto"/>
        <w:left w:val="none" w:sz="0" w:space="0" w:color="auto"/>
        <w:bottom w:val="none" w:sz="0" w:space="0" w:color="auto"/>
        <w:right w:val="none" w:sz="0" w:space="0" w:color="auto"/>
      </w:divBdr>
      <w:divsChild>
        <w:div w:id="433283570">
          <w:marLeft w:val="0"/>
          <w:marRight w:val="0"/>
          <w:marTop w:val="0"/>
          <w:marBottom w:val="0"/>
          <w:divBdr>
            <w:top w:val="none" w:sz="0" w:space="0" w:color="auto"/>
            <w:left w:val="none" w:sz="0" w:space="0" w:color="auto"/>
            <w:bottom w:val="none" w:sz="0" w:space="0" w:color="auto"/>
            <w:right w:val="none" w:sz="0" w:space="0" w:color="auto"/>
          </w:divBdr>
        </w:div>
      </w:divsChild>
    </w:div>
    <w:div w:id="1331523899">
      <w:bodyDiv w:val="1"/>
      <w:marLeft w:val="0"/>
      <w:marRight w:val="0"/>
      <w:marTop w:val="0"/>
      <w:marBottom w:val="0"/>
      <w:divBdr>
        <w:top w:val="none" w:sz="0" w:space="0" w:color="auto"/>
        <w:left w:val="none" w:sz="0" w:space="0" w:color="auto"/>
        <w:bottom w:val="none" w:sz="0" w:space="0" w:color="auto"/>
        <w:right w:val="none" w:sz="0" w:space="0" w:color="auto"/>
      </w:divBdr>
    </w:div>
    <w:div w:id="1337684271">
      <w:bodyDiv w:val="1"/>
      <w:marLeft w:val="0"/>
      <w:marRight w:val="0"/>
      <w:marTop w:val="0"/>
      <w:marBottom w:val="0"/>
      <w:divBdr>
        <w:top w:val="none" w:sz="0" w:space="0" w:color="auto"/>
        <w:left w:val="none" w:sz="0" w:space="0" w:color="auto"/>
        <w:bottom w:val="none" w:sz="0" w:space="0" w:color="auto"/>
        <w:right w:val="none" w:sz="0" w:space="0" w:color="auto"/>
      </w:divBdr>
    </w:div>
    <w:div w:id="1415591921">
      <w:bodyDiv w:val="1"/>
      <w:marLeft w:val="0"/>
      <w:marRight w:val="0"/>
      <w:marTop w:val="0"/>
      <w:marBottom w:val="0"/>
      <w:divBdr>
        <w:top w:val="none" w:sz="0" w:space="0" w:color="auto"/>
        <w:left w:val="none" w:sz="0" w:space="0" w:color="auto"/>
        <w:bottom w:val="none" w:sz="0" w:space="0" w:color="auto"/>
        <w:right w:val="none" w:sz="0" w:space="0" w:color="auto"/>
      </w:divBdr>
    </w:div>
    <w:div w:id="1438871682">
      <w:bodyDiv w:val="1"/>
      <w:marLeft w:val="0"/>
      <w:marRight w:val="0"/>
      <w:marTop w:val="0"/>
      <w:marBottom w:val="0"/>
      <w:divBdr>
        <w:top w:val="none" w:sz="0" w:space="0" w:color="auto"/>
        <w:left w:val="none" w:sz="0" w:space="0" w:color="auto"/>
        <w:bottom w:val="none" w:sz="0" w:space="0" w:color="auto"/>
        <w:right w:val="none" w:sz="0" w:space="0" w:color="auto"/>
      </w:divBdr>
    </w:div>
    <w:div w:id="1450973189">
      <w:bodyDiv w:val="1"/>
      <w:marLeft w:val="0"/>
      <w:marRight w:val="0"/>
      <w:marTop w:val="0"/>
      <w:marBottom w:val="0"/>
      <w:divBdr>
        <w:top w:val="none" w:sz="0" w:space="0" w:color="auto"/>
        <w:left w:val="none" w:sz="0" w:space="0" w:color="auto"/>
        <w:bottom w:val="none" w:sz="0" w:space="0" w:color="auto"/>
        <w:right w:val="none" w:sz="0" w:space="0" w:color="auto"/>
      </w:divBdr>
      <w:divsChild>
        <w:div w:id="614480118">
          <w:marLeft w:val="0"/>
          <w:marRight w:val="0"/>
          <w:marTop w:val="0"/>
          <w:marBottom w:val="0"/>
          <w:divBdr>
            <w:top w:val="none" w:sz="0" w:space="0" w:color="auto"/>
            <w:left w:val="none" w:sz="0" w:space="0" w:color="auto"/>
            <w:bottom w:val="none" w:sz="0" w:space="0" w:color="auto"/>
            <w:right w:val="none" w:sz="0" w:space="0" w:color="auto"/>
          </w:divBdr>
        </w:div>
      </w:divsChild>
    </w:div>
    <w:div w:id="1461992523">
      <w:bodyDiv w:val="1"/>
      <w:marLeft w:val="0"/>
      <w:marRight w:val="0"/>
      <w:marTop w:val="0"/>
      <w:marBottom w:val="0"/>
      <w:divBdr>
        <w:top w:val="none" w:sz="0" w:space="0" w:color="auto"/>
        <w:left w:val="none" w:sz="0" w:space="0" w:color="auto"/>
        <w:bottom w:val="none" w:sz="0" w:space="0" w:color="auto"/>
        <w:right w:val="none" w:sz="0" w:space="0" w:color="auto"/>
      </w:divBdr>
      <w:divsChild>
        <w:div w:id="320502628">
          <w:marLeft w:val="0"/>
          <w:marRight w:val="0"/>
          <w:marTop w:val="0"/>
          <w:marBottom w:val="0"/>
          <w:divBdr>
            <w:top w:val="none" w:sz="0" w:space="0" w:color="auto"/>
            <w:left w:val="none" w:sz="0" w:space="0" w:color="auto"/>
            <w:bottom w:val="none" w:sz="0" w:space="0" w:color="auto"/>
            <w:right w:val="none" w:sz="0" w:space="0" w:color="auto"/>
          </w:divBdr>
          <w:divsChild>
            <w:div w:id="518472175">
              <w:marLeft w:val="0"/>
              <w:marRight w:val="0"/>
              <w:marTop w:val="0"/>
              <w:marBottom w:val="0"/>
              <w:divBdr>
                <w:top w:val="none" w:sz="0" w:space="0" w:color="auto"/>
                <w:left w:val="none" w:sz="0" w:space="0" w:color="auto"/>
                <w:bottom w:val="none" w:sz="0" w:space="0" w:color="auto"/>
                <w:right w:val="none" w:sz="0" w:space="0" w:color="auto"/>
              </w:divBdr>
              <w:divsChild>
                <w:div w:id="1524590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504324">
      <w:bodyDiv w:val="1"/>
      <w:marLeft w:val="0"/>
      <w:marRight w:val="0"/>
      <w:marTop w:val="0"/>
      <w:marBottom w:val="0"/>
      <w:divBdr>
        <w:top w:val="none" w:sz="0" w:space="0" w:color="auto"/>
        <w:left w:val="none" w:sz="0" w:space="0" w:color="auto"/>
        <w:bottom w:val="none" w:sz="0" w:space="0" w:color="auto"/>
        <w:right w:val="none" w:sz="0" w:space="0" w:color="auto"/>
      </w:divBdr>
      <w:divsChild>
        <w:div w:id="788744897">
          <w:marLeft w:val="0"/>
          <w:marRight w:val="0"/>
          <w:marTop w:val="0"/>
          <w:marBottom w:val="0"/>
          <w:divBdr>
            <w:top w:val="none" w:sz="0" w:space="0" w:color="auto"/>
            <w:left w:val="none" w:sz="0" w:space="0" w:color="auto"/>
            <w:bottom w:val="none" w:sz="0" w:space="0" w:color="auto"/>
            <w:right w:val="none" w:sz="0" w:space="0" w:color="auto"/>
          </w:divBdr>
          <w:divsChild>
            <w:div w:id="1025641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8F9064-9082-4B3E-8346-3BF7D7C71E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16561</Words>
  <Characters>9440</Characters>
  <Application>Microsoft Office Word</Application>
  <DocSecurity>0</DocSecurity>
  <Lines>78</Lines>
  <Paragraphs>51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 Markevičius</dc:creator>
  <cp:lastModifiedBy>Simona Narkevičienė</cp:lastModifiedBy>
  <cp:revision>3</cp:revision>
  <cp:lastPrinted>2020-07-03T08:02:00Z</cp:lastPrinted>
  <dcterms:created xsi:type="dcterms:W3CDTF">2020-10-27T06:27:00Z</dcterms:created>
  <dcterms:modified xsi:type="dcterms:W3CDTF">2020-10-27T06:27:00Z</dcterms:modified>
</cp:coreProperties>
</file>