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F43B" w14:textId="77777777" w:rsidR="006D0B4D" w:rsidRDefault="006D0B4D">
      <w:pPr>
        <w:tabs>
          <w:tab w:val="center" w:pos="4819"/>
          <w:tab w:val="right" w:pos="9638"/>
        </w:tabs>
        <w:rPr>
          <w:szCs w:val="24"/>
          <w:lang w:val="x-none" w:eastAsia="x-none"/>
        </w:rPr>
      </w:pPr>
    </w:p>
    <w:p w14:paraId="45BF763E" w14:textId="77777777" w:rsidR="006D0B4D" w:rsidRDefault="00E23ED4">
      <w:pPr>
        <w:ind w:left="7088" w:hanging="99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Projektas Nr. </w:t>
      </w:r>
    </w:p>
    <w:p w14:paraId="5D27F746" w14:textId="77777777" w:rsidR="006D0B4D" w:rsidRDefault="006D0B4D">
      <w:pPr>
        <w:ind w:left="7088" w:hanging="992"/>
        <w:jc w:val="right"/>
        <w:rPr>
          <w:b/>
          <w:szCs w:val="24"/>
          <w:lang w:eastAsia="lt-LT"/>
        </w:rPr>
      </w:pPr>
    </w:p>
    <w:p w14:paraId="61460E98" w14:textId="77777777" w:rsidR="006D0B4D" w:rsidRDefault="006D0B4D">
      <w:pPr>
        <w:jc w:val="center"/>
        <w:rPr>
          <w:b/>
          <w:szCs w:val="24"/>
          <w:lang w:eastAsia="lt-LT"/>
        </w:rPr>
      </w:pPr>
    </w:p>
    <w:p w14:paraId="57AAD913" w14:textId="77777777" w:rsidR="006D0B4D" w:rsidRDefault="00E23ED4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</w:p>
    <w:p w14:paraId="50569168" w14:textId="77777777" w:rsidR="006D0B4D" w:rsidRDefault="00E23ED4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TERITORIJOS ADMINISTRACINIŲ VIENETŲ IR JŲ RIBŲ ĮSTATYMO NR. I-558</w:t>
      </w:r>
    </w:p>
    <w:p w14:paraId="24152504" w14:textId="77777777" w:rsidR="006D0B4D" w:rsidRDefault="00E23ED4">
      <w:pPr>
        <w:spacing w:line="276" w:lineRule="auto"/>
        <w:ind w:firstLine="124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3 STRAIPSNIO PAKEITIMO </w:t>
      </w:r>
    </w:p>
    <w:p w14:paraId="5A39C2F3" w14:textId="77777777" w:rsidR="006D0B4D" w:rsidRDefault="00E23ED4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74F8BC77" w14:textId="77777777" w:rsidR="006D0B4D" w:rsidRDefault="006D0B4D">
      <w:pPr>
        <w:jc w:val="center"/>
        <w:rPr>
          <w:b/>
          <w:szCs w:val="24"/>
          <w:lang w:eastAsia="lt-LT"/>
        </w:rPr>
      </w:pPr>
    </w:p>
    <w:p w14:paraId="0563196B" w14:textId="77777777" w:rsidR="006D0B4D" w:rsidRDefault="00E23ED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2021 m.                               d. Nr.</w:t>
      </w:r>
    </w:p>
    <w:p w14:paraId="45D2DED5" w14:textId="77777777" w:rsidR="006D0B4D" w:rsidRDefault="00E23ED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45BB7DBA" w14:textId="77777777" w:rsidR="006D0B4D" w:rsidRDefault="006D0B4D">
      <w:pPr>
        <w:spacing w:line="360" w:lineRule="auto"/>
        <w:ind w:firstLine="720"/>
        <w:jc w:val="both"/>
        <w:rPr>
          <w:b/>
          <w:szCs w:val="24"/>
          <w:lang w:eastAsia="lt-LT"/>
        </w:rPr>
      </w:pPr>
    </w:p>
    <w:p w14:paraId="44D31512" w14:textId="77777777" w:rsidR="006D0B4D" w:rsidRDefault="00E23ED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 straipsnis.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3 straipsnio pakeitimas</w:t>
      </w:r>
    </w:p>
    <w:p w14:paraId="70DC3ED5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Pakeisti 3 </w:t>
      </w:r>
      <w:r>
        <w:rPr>
          <w:szCs w:val="24"/>
          <w:lang w:eastAsia="lt-LT"/>
        </w:rPr>
        <w:t>straipsnį ir jį išdėstyti taip:</w:t>
      </w:r>
    </w:p>
    <w:p w14:paraId="4C6375C7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„3 straipsnis. Lietuvos Respublikos seniūnijų aptarnaujamų teritorijų ir gyvenamųjų vietovių bei sodininkų bendrijų teritorijų samprata </w:t>
      </w:r>
    </w:p>
    <w:p w14:paraId="1EAA2BA3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Seniūnijos aptarnaujama teritorija yra savivaldybės teritorijos dalis, susidedanti iš g</w:t>
      </w:r>
      <w:r>
        <w:rPr>
          <w:szCs w:val="24"/>
          <w:lang w:eastAsia="lt-LT"/>
        </w:rPr>
        <w:t>yvenamųjų vietovių ar dalies miesto teritorijos. Seniūnija turi savo aptarnaujamos teritorijos ribas ir pavadinimą.</w:t>
      </w:r>
    </w:p>
    <w:p w14:paraId="0158C59D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Miestai yra kompaktiškai užstatytos gyvenamosios vietovės, turinčios daugiau kaip 3 tūkst. gyventojų, kurių daugiau kaip 2/3 dirbančiųjų dir</w:t>
      </w:r>
      <w:r>
        <w:rPr>
          <w:szCs w:val="24"/>
          <w:lang w:eastAsia="lt-LT"/>
        </w:rPr>
        <w:t>ba pramonėje, verslo bei gamybinės ir socialinės infrastruktūros srityse.</w:t>
      </w:r>
    </w:p>
    <w:p w14:paraId="45A1D0C1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Mažiau kaip 3 tūkst. gyventojų turintys Lietuvos Respublikos miestai, rajonų miestai bei miesto tipo gyvenvietės, turėję miesto statusą, kaip gyvenamosios vietovės yra laikomi miesta</w:t>
      </w:r>
      <w:r>
        <w:rPr>
          <w:szCs w:val="24"/>
          <w:lang w:eastAsia="lt-LT"/>
        </w:rPr>
        <w:t>is ir įsigaliojus Lietuvos Respublikos teritorijos administracinių vienetų ir jų ribų įstatymui.</w:t>
      </w:r>
    </w:p>
    <w:p w14:paraId="6BD26935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Miesteliai yra kompaktiškai užstatytos gyvenamosios vietovės, turinčios nuo 500 iki 3000 gyventojų, kurių daugiau kaip pusė dirbančiųjų dirba pramonėje, verslo</w:t>
      </w:r>
      <w:r>
        <w:rPr>
          <w:szCs w:val="24"/>
          <w:lang w:eastAsia="lt-LT"/>
        </w:rPr>
        <w:t xml:space="preserve"> bei gamybinės ir socialinės infrastruktūros srityse, taip pat tradiciniai miesteliai.</w:t>
      </w:r>
    </w:p>
    <w:p w14:paraId="021B0D8B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Kaimai yra gyvenamosios vietovės, neturinčios miesto, miestelio ir viensėdžio požymių.</w:t>
      </w:r>
    </w:p>
    <w:p w14:paraId="62E34790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Viensėdžiai yra istoriškai susiformavusios gyvenamosios vietovės, paprastai sudary</w:t>
      </w:r>
      <w:r>
        <w:rPr>
          <w:szCs w:val="24"/>
          <w:lang w:eastAsia="lt-LT"/>
        </w:rPr>
        <w:t>tos arba kilusios iš vienos sodybos ir turinčios ne daugiau kaip 20 objektų skirtingu adresu.</w:t>
      </w:r>
    </w:p>
    <w:p w14:paraId="443D56C0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Gyvenamosios vietovės, kuriose yra moksliškai ištirtų ir pripažintų gydomaisiais gamtinių gydomųjų veiksnių (mineralinių vandenų, gydomojo purvo, </w:t>
      </w:r>
      <w:r>
        <w:rPr>
          <w:szCs w:val="24"/>
          <w:lang w:eastAsia="lt-LT"/>
        </w:rPr>
        <w:t>sveikatai palankus mikroklimatas, rekreacinių želdinių, vandens telkinių) ir išplėtota speciali infrastruktūra naudoti šiuos veiksnius gydymo, sveikatinimo, turizmo ir poilsio reikmėms, gali turėti kurorto statusą.</w:t>
      </w:r>
    </w:p>
    <w:p w14:paraId="0035E2C3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Kurorto statusą turi Birštonas, Druskinin</w:t>
      </w:r>
      <w:r>
        <w:rPr>
          <w:szCs w:val="24"/>
          <w:lang w:eastAsia="lt-LT"/>
        </w:rPr>
        <w:t>kai, Neringa, Palanga.</w:t>
      </w:r>
    </w:p>
    <w:p w14:paraId="2E49129B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Gyvenamosios vietovės, kuriose yra gamtinių išteklių, galinčių turėti gydomųjų savybių, ir speciali infrastruktūra naudoti šiuos išteklius sveikatinimo, turizmo ir poilsio reikmėms, gali turėti kurortinės teritorijos statusą. Kurorti</w:t>
      </w:r>
      <w:r>
        <w:rPr>
          <w:szCs w:val="24"/>
          <w:lang w:eastAsia="lt-LT"/>
        </w:rPr>
        <w:t>nės teritorijos statusas suteikiamas vienai ar kelioms gyvenamosioms vietovėms arba jų dalims.</w:t>
      </w:r>
    </w:p>
    <w:p w14:paraId="445B8DE4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Reikalavimus kurorto ir kurortinės teritorijos statusui suteikti nustato Lietuvos Respublikos Vyriausybė.</w:t>
      </w:r>
    </w:p>
    <w:p w14:paraId="075F33EE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Gyvenamosios vietovės ar gyvenamųjų vietovių teritorijų</w:t>
      </w:r>
      <w:r>
        <w:rPr>
          <w:szCs w:val="24"/>
          <w:lang w:eastAsia="lt-LT"/>
        </w:rPr>
        <w:t xml:space="preserve"> dalys, kuriose remiantis istoriniais, architektūriniais ir urbanistiniais planais, archyviniais ir archeologiniais tyrimais, rašytiniais istoriniais šaltiniais yra kultūros paveldo objektų (kraštovaizdžiai, istorinę sostinę formuojantys objektai, istorišk</w:t>
      </w:r>
      <w:r>
        <w:rPr>
          <w:szCs w:val="24"/>
          <w:lang w:eastAsia="lt-LT"/>
        </w:rPr>
        <w:t xml:space="preserve">ai vertingas etnokultūrinis, archeologinis, </w:t>
      </w:r>
      <w:proofErr w:type="spellStart"/>
      <w:r>
        <w:rPr>
          <w:szCs w:val="24"/>
          <w:lang w:eastAsia="lt-LT"/>
        </w:rPr>
        <w:t>paleontologinis</w:t>
      </w:r>
      <w:proofErr w:type="spellEnd"/>
      <w:r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lastRenderedPageBreak/>
        <w:t>antropologinis paveldas) ir Lietuvos kultūros vertybių registre įregistruotų kultūros vertybių objektų, svarbių visos Lietuvos istoriniam kultūriniam identitetui, valstybinei kultūrinei atminčiai</w:t>
      </w:r>
      <w:r>
        <w:rPr>
          <w:szCs w:val="24"/>
          <w:lang w:eastAsia="lt-LT"/>
        </w:rPr>
        <w:t>, žinomumui pasaulyje ir turinčių sąsajas su tuometinių sostinių vertingiausia istorine aplinka bei turinčių specialią infrastuktūrą naudotis šiais objektais ir vertybėmis, gali turėti istorinės sostinės teritorijos statusą.</w:t>
      </w:r>
    </w:p>
    <w:p w14:paraId="6A57EB9A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Istorinės sostinės teritorijos </w:t>
      </w:r>
      <w:r>
        <w:rPr>
          <w:szCs w:val="24"/>
          <w:lang w:eastAsia="lt-LT"/>
        </w:rPr>
        <w:t xml:space="preserve">statusą turi Kauno miesto senamiestis, Kernavė, Trakai su Senaisiais Trakais, Vilniaus miesto senamiestis. </w:t>
      </w:r>
    </w:p>
    <w:p w14:paraId="49F67159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Reikalavimus istorinės sostinės teritorijos statusui suteikti, nustato Lietuvos Respublikos Vyriausybė.</w:t>
      </w:r>
    </w:p>
    <w:p w14:paraId="0E674D95" w14:textId="77777777" w:rsidR="006D0B4D" w:rsidRDefault="00E23ED4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Sodininkų bendrijos teritorija yra gyvenamos</w:t>
      </w:r>
      <w:r>
        <w:rPr>
          <w:szCs w:val="24"/>
          <w:lang w:eastAsia="lt-LT"/>
        </w:rPr>
        <w:t>ios vietovės teritorijos dalis, turinti savo ribas ir pavadinimą.“</w:t>
      </w:r>
    </w:p>
    <w:p w14:paraId="2C181656" w14:textId="77777777" w:rsidR="006D0B4D" w:rsidRDefault="006D0B4D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331DA67A" w14:textId="77777777" w:rsidR="006D0B4D" w:rsidRDefault="00E23ED4">
      <w:pPr>
        <w:spacing w:line="276" w:lineRule="auto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2 straipsnis. Įstatymo įsigaliojimas ir įgyvendinimas</w:t>
      </w:r>
    </w:p>
    <w:p w14:paraId="138869DE" w14:textId="77777777" w:rsidR="006D0B4D" w:rsidRDefault="00E23ED4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1. Šis įstatymas, išskyrus šio straipsnio 2 dalį, įsigalioja 2021 m. spalio 1 d.</w:t>
      </w:r>
    </w:p>
    <w:p w14:paraId="7352316D" w14:textId="77777777" w:rsidR="006D0B4D" w:rsidRDefault="00E23ED4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2. Lietuvos Respublikos Vyriausybė iki 2021 m. rugsėj</w:t>
      </w:r>
      <w:r>
        <w:rPr>
          <w:bCs/>
          <w:szCs w:val="24"/>
        </w:rPr>
        <w:t xml:space="preserve">o 30 d. priima šio įstatymo įgyvendinamuosius teisės aktus. </w:t>
      </w:r>
    </w:p>
    <w:p w14:paraId="333F2340" w14:textId="77777777" w:rsidR="006D0B4D" w:rsidRDefault="006D0B4D">
      <w:pPr>
        <w:spacing w:line="360" w:lineRule="auto"/>
        <w:ind w:firstLine="720"/>
        <w:jc w:val="both"/>
        <w:rPr>
          <w:bCs/>
          <w:i/>
          <w:szCs w:val="24"/>
          <w:lang w:eastAsia="lt-LT"/>
        </w:rPr>
      </w:pPr>
    </w:p>
    <w:p w14:paraId="18382372" w14:textId="77777777" w:rsidR="006D0B4D" w:rsidRDefault="006D0B4D">
      <w:pPr>
        <w:spacing w:line="360" w:lineRule="auto"/>
        <w:ind w:firstLine="720"/>
        <w:jc w:val="both"/>
        <w:rPr>
          <w:bCs/>
          <w:i/>
          <w:szCs w:val="24"/>
          <w:lang w:eastAsia="lt-LT"/>
        </w:rPr>
      </w:pPr>
    </w:p>
    <w:p w14:paraId="3CB4940C" w14:textId="77777777" w:rsidR="006D0B4D" w:rsidRDefault="00E23ED4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i/>
          <w:szCs w:val="24"/>
          <w:lang w:eastAsia="lt-LT"/>
        </w:rPr>
        <w:t>Skelbiu šį Lietuvos Respublikos Seimo priimtą įstatymą.</w:t>
      </w:r>
    </w:p>
    <w:p w14:paraId="76A05CB5" w14:textId="77777777" w:rsidR="006D0B4D" w:rsidRDefault="006D0B4D">
      <w:pPr>
        <w:spacing w:line="360" w:lineRule="auto"/>
        <w:jc w:val="both"/>
        <w:rPr>
          <w:bCs/>
          <w:szCs w:val="24"/>
          <w:lang w:eastAsia="lt-LT"/>
        </w:rPr>
      </w:pPr>
    </w:p>
    <w:p w14:paraId="01118F7B" w14:textId="77777777" w:rsidR="006D0B4D" w:rsidRDefault="00E23ED4">
      <w:pPr>
        <w:spacing w:line="360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Respublikos Prezidentas </w:t>
      </w:r>
    </w:p>
    <w:p w14:paraId="19BA21C0" w14:textId="77777777" w:rsidR="006D0B4D" w:rsidRDefault="006D0B4D">
      <w:pPr>
        <w:spacing w:line="360" w:lineRule="auto"/>
        <w:jc w:val="both"/>
        <w:rPr>
          <w:bCs/>
          <w:szCs w:val="24"/>
          <w:lang w:eastAsia="lt-LT"/>
        </w:rPr>
      </w:pPr>
    </w:p>
    <w:p w14:paraId="14AD81D8" w14:textId="77777777" w:rsidR="006D0B4D" w:rsidRDefault="00E23ED4">
      <w:pPr>
        <w:spacing w:line="360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Teikia:</w:t>
      </w:r>
      <w:r>
        <w:rPr>
          <w:bCs/>
          <w:szCs w:val="24"/>
          <w:lang w:eastAsia="lt-LT"/>
        </w:rPr>
        <w:tab/>
      </w:r>
    </w:p>
    <w:p w14:paraId="5F5AF832" w14:textId="77777777" w:rsidR="006D0B4D" w:rsidRDefault="00E23ED4">
      <w:pPr>
        <w:spacing w:line="360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Seimo nariai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sectPr w:rsidR="006D0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3FCF" w14:textId="77777777" w:rsidR="006D0B4D" w:rsidRDefault="00E23ED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E4BFF18" w14:textId="77777777" w:rsidR="006D0B4D" w:rsidRDefault="00E23ED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23A5FDC7" w14:textId="77777777" w:rsidR="006D0B4D" w:rsidRDefault="006D0B4D">
      <w:pPr>
        <w:rPr>
          <w:szCs w:val="24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6BAE" w14:textId="77777777" w:rsidR="006D0B4D" w:rsidRDefault="006D0B4D">
    <w:pPr>
      <w:tabs>
        <w:tab w:val="center" w:pos="4819"/>
        <w:tab w:val="right" w:pos="9638"/>
      </w:tabs>
      <w:rPr>
        <w:szCs w:val="24"/>
        <w:lang w:val="x-none"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2186" w14:textId="77777777" w:rsidR="006D0B4D" w:rsidRDefault="006D0B4D">
    <w:pPr>
      <w:tabs>
        <w:tab w:val="center" w:pos="4819"/>
        <w:tab w:val="right" w:pos="9638"/>
      </w:tabs>
      <w:jc w:val="center"/>
      <w:rPr>
        <w:szCs w:val="24"/>
        <w:lang w:val="x-none" w:eastAsia="x-none"/>
      </w:rPr>
    </w:pPr>
  </w:p>
  <w:p w14:paraId="31FDB832" w14:textId="77777777" w:rsidR="006D0B4D" w:rsidRDefault="006D0B4D">
    <w:pPr>
      <w:tabs>
        <w:tab w:val="center" w:pos="4819"/>
        <w:tab w:val="right" w:pos="9638"/>
      </w:tabs>
      <w:rPr>
        <w:szCs w:val="24"/>
        <w:lang w:val="x-none" w:eastAsia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D186" w14:textId="77777777" w:rsidR="006D0B4D" w:rsidRDefault="006D0B4D">
    <w:pPr>
      <w:tabs>
        <w:tab w:val="center" w:pos="4819"/>
        <w:tab w:val="right" w:pos="9638"/>
      </w:tabs>
      <w:rPr>
        <w:szCs w:val="24"/>
        <w:lang w:val="x-none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8B9D" w14:textId="77777777" w:rsidR="006D0B4D" w:rsidRDefault="00E23ED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5E66376E" w14:textId="77777777" w:rsidR="006D0B4D" w:rsidRDefault="00E23ED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723001E3" w14:textId="77777777" w:rsidR="006D0B4D" w:rsidRDefault="006D0B4D">
      <w:pPr>
        <w:rPr>
          <w:szCs w:val="24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F003" w14:textId="77777777" w:rsidR="006D0B4D" w:rsidRDefault="006D0B4D">
    <w:pPr>
      <w:tabs>
        <w:tab w:val="center" w:pos="4819"/>
        <w:tab w:val="right" w:pos="9638"/>
      </w:tabs>
      <w:rPr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1B47" w14:textId="77777777" w:rsidR="006D0B4D" w:rsidRDefault="00E23ED4">
    <w:pPr>
      <w:tabs>
        <w:tab w:val="center" w:pos="4819"/>
        <w:tab w:val="right" w:pos="9638"/>
      </w:tabs>
      <w:jc w:val="center"/>
      <w:rPr>
        <w:szCs w:val="24"/>
        <w:lang w:val="x-none" w:eastAsia="x-none"/>
      </w:rPr>
    </w:pPr>
    <w:r>
      <w:rPr>
        <w:szCs w:val="24"/>
        <w:lang w:val="x-none" w:eastAsia="x-none"/>
      </w:rPr>
      <w:fldChar w:fldCharType="begin"/>
    </w:r>
    <w:r>
      <w:rPr>
        <w:szCs w:val="24"/>
        <w:lang w:val="x-none" w:eastAsia="x-none"/>
      </w:rPr>
      <w:instrText>PAGE   \* MERGEFORMAT</w:instrText>
    </w:r>
    <w:r>
      <w:rPr>
        <w:szCs w:val="24"/>
        <w:lang w:val="x-none" w:eastAsia="x-none"/>
      </w:rPr>
      <w:fldChar w:fldCharType="separate"/>
    </w:r>
    <w:r>
      <w:rPr>
        <w:szCs w:val="24"/>
        <w:lang w:val="x-none" w:eastAsia="x-none"/>
      </w:rPr>
      <w:t>2</w:t>
    </w:r>
    <w:r>
      <w:rPr>
        <w:szCs w:val="24"/>
        <w:lang w:val="x-none" w:eastAsia="x-none"/>
      </w:rPr>
      <w:fldChar w:fldCharType="end"/>
    </w:r>
  </w:p>
  <w:p w14:paraId="33732213" w14:textId="77777777" w:rsidR="006D0B4D" w:rsidRDefault="006D0B4D">
    <w:pPr>
      <w:tabs>
        <w:tab w:val="center" w:pos="4819"/>
        <w:tab w:val="right" w:pos="9638"/>
      </w:tabs>
      <w:rPr>
        <w:szCs w:val="24"/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5232" w14:textId="77777777" w:rsidR="006D0B4D" w:rsidRDefault="006D0B4D">
    <w:pPr>
      <w:tabs>
        <w:tab w:val="center" w:pos="4819"/>
        <w:tab w:val="right" w:pos="9638"/>
      </w:tabs>
      <w:rPr>
        <w:szCs w:val="24"/>
        <w:lang w:val="x-none"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4A"/>
    <w:rsid w:val="004E274A"/>
    <w:rsid w:val="006D0B4D"/>
    <w:rsid w:val="00E2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E378E"/>
  <w15:docId w15:val="{A7D42E57-257B-4708-9B0B-0F31A6ED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Z6YWEJNPDQQR-207733147-6158</_dlc_DocId>
    <_dlc_DocIdUrl xmlns="28130d43-1b56-4a10-ad88-2cd38123f4c1">
      <Url>http://intranetas/7/_layouts/15/DocIdRedir.aspx?ID=Z6YWEJNPDQQR-207733147-6158</Url>
      <Description>Z6YWEJNPDQQR-207733147-6158</Description>
    </_dlc_DocIdUrl>
    <busena xmlns="120f128f-f02f-4461-8ad7-cfdadf3a05bf">Suderintas</buse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72212BE21FD3449416523FD618DB71" ma:contentTypeVersion="1" ma:contentTypeDescription="Kurkite naują dokumentą." ma:contentTypeScope="" ma:versionID="c4be85268a7e6caa8fcef1fc2e053788">
  <xsd:schema xmlns:xsd="http://www.w3.org/2001/XMLSchema" xmlns:xs="http://www.w3.org/2001/XMLSchema" xmlns:p="http://schemas.microsoft.com/office/2006/metadata/properties" xmlns:ns2="28130d43-1b56-4a10-ad88-2cd38123f4c1" xmlns:ns3="120f128f-f02f-4461-8ad7-cfdadf3a05bf" targetNamespace="http://schemas.microsoft.com/office/2006/metadata/properties" ma:root="true" ma:fieldsID="3f56acb1c6b64af312ef71b15088b0de" ns2:_="" ns3:_="">
    <xsd:import namespace="28130d43-1b56-4a10-ad88-2cd38123f4c1"/>
    <xsd:import namespace="120f128f-f02f-4461-8ad7-cfdadf3a05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us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f128f-f02f-4461-8ad7-cfdadf3a05bf" elementFormDefault="qualified">
    <xsd:import namespace="http://schemas.microsoft.com/office/2006/documentManagement/types"/>
    <xsd:import namespace="http://schemas.microsoft.com/office/infopath/2007/PartnerControls"/>
    <xsd:element name="busena" ma:index="11" nillable="true" ma:displayName="Būsena" ma:default="Rengiamas" ma:format="Dropdown" ma:internalName="busena">
      <xsd:simpleType>
        <xsd:restriction base="dms:Choice">
          <xsd:enumeration value="Rengiamas"/>
          <xsd:enumeration value="Parengtas"/>
          <xsd:enumeration value="Derinamas"/>
          <xsd:enumeration value="Suderintas"/>
          <xsd:enumeration value="Pasirašyta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B163AA-6FD7-490F-A291-5D47496034E5}">
  <ds:schemaRefs>
    <ds:schemaRef ds:uri="http://purl.org/dc/elements/1.1/"/>
    <ds:schemaRef ds:uri="http://schemas.microsoft.com/office/2006/metadata/properties"/>
    <ds:schemaRef ds:uri="28130d43-1b56-4a10-ad88-2cd38123f4c1"/>
    <ds:schemaRef ds:uri="120f128f-f02f-4461-8ad7-cfdadf3a05b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75F2E5-C3E6-4C46-B534-153D9996E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120f128f-f02f-4461-8ad7-cfdadf3a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705B9-F468-4998-B8C7-2929C6B40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0DBA7-F350-4060-A93D-CE7977EC8D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6575B9-A665-406F-91DA-E7AED9CFCF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3980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LR SADM</dc:creator>
  <cp:lastModifiedBy>Piotr Gerasimovič</cp:lastModifiedBy>
  <cp:revision>2</cp:revision>
  <cp:lastPrinted>2019-03-12T11:46:00Z</cp:lastPrinted>
  <dcterms:created xsi:type="dcterms:W3CDTF">2021-10-01T05:40:00Z</dcterms:created>
  <dcterms:modified xsi:type="dcterms:W3CDTF">2021-10-01T05:40:00Z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0x0101009372212BE21FD3449416523FD618DB71</vt:lpwstr>
  </property>
  <property fmtid="{D5CDD505-2E9C-101B-9397-08002B2CF9AE}" pid="4" name="_dlc_DocIdItemGuid">
    <vt:lpwstr>64f10f98-07d4-4ed2-900d-12c681f23727</vt:lpwstr>
  </property>
</Properties>
</file>