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6403" w:rsidRPr="00DF3F93" w:rsidRDefault="00B86403" w:rsidP="00D65621">
      <w:pPr>
        <w:jc w:val="both"/>
        <w:rPr>
          <w:szCs w:val="24"/>
        </w:rPr>
      </w:pPr>
      <w:bookmarkStart w:id="0" w:name="_Toc473644121"/>
      <w:r w:rsidRPr="00DF3F93">
        <w:rPr>
          <w:rFonts w:eastAsia="Calibri"/>
          <w:b/>
          <w:noProof/>
          <w:color w:val="0070C0"/>
          <w:szCs w:val="24"/>
          <w:lang w:eastAsia="lt-LT"/>
        </w:rPr>
        <w:drawing>
          <wp:inline distT="0" distB="0" distL="0" distR="0" wp14:anchorId="1871B5E2" wp14:editId="5D5B5F2A">
            <wp:extent cx="2914650" cy="1149350"/>
            <wp:effectExtent l="0" t="0" r="0" b="0"/>
            <wp:docPr id="387" name="Paveikslėlis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4650" cy="1149350"/>
                    </a:xfrm>
                    <a:prstGeom prst="rect">
                      <a:avLst/>
                    </a:prstGeom>
                    <a:noFill/>
                    <a:ln>
                      <a:noFill/>
                    </a:ln>
                  </pic:spPr>
                </pic:pic>
              </a:graphicData>
            </a:graphic>
          </wp:inline>
        </w:drawing>
      </w:r>
    </w:p>
    <w:p w:rsidR="00B86403" w:rsidRPr="00DF3F93" w:rsidRDefault="00B86403" w:rsidP="00D65621">
      <w:pPr>
        <w:jc w:val="both"/>
        <w:rPr>
          <w:szCs w:val="24"/>
        </w:rPr>
      </w:pPr>
    </w:p>
    <w:p w:rsidR="00B86403" w:rsidRPr="00DF3F93" w:rsidRDefault="00B86403" w:rsidP="00D65621">
      <w:pPr>
        <w:jc w:val="both"/>
        <w:rPr>
          <w:szCs w:val="24"/>
        </w:rPr>
      </w:pPr>
    </w:p>
    <w:p w:rsidR="00B86403" w:rsidRPr="00DF3F93" w:rsidRDefault="00B86403" w:rsidP="00D65621">
      <w:pPr>
        <w:jc w:val="both"/>
        <w:rPr>
          <w:szCs w:val="24"/>
        </w:rPr>
      </w:pPr>
    </w:p>
    <w:p w:rsidR="00B86403" w:rsidRPr="00DF3F93" w:rsidRDefault="00B86403" w:rsidP="00D65621">
      <w:pPr>
        <w:jc w:val="both"/>
        <w:rPr>
          <w:szCs w:val="24"/>
        </w:rPr>
      </w:pPr>
    </w:p>
    <w:p w:rsidR="00C42339" w:rsidRPr="00DF3F93" w:rsidRDefault="00C42339" w:rsidP="00D65621">
      <w:pPr>
        <w:jc w:val="both"/>
        <w:rPr>
          <w:szCs w:val="24"/>
        </w:rPr>
      </w:pPr>
    </w:p>
    <w:p w:rsidR="00B86403" w:rsidRPr="00DF3F93" w:rsidRDefault="00B86403" w:rsidP="00D65621">
      <w:pPr>
        <w:jc w:val="both"/>
        <w:rPr>
          <w:szCs w:val="24"/>
        </w:rPr>
      </w:pPr>
      <w:r w:rsidRPr="00DF3F93">
        <w:rPr>
          <w:noProof/>
          <w:szCs w:val="24"/>
          <w:lang w:eastAsia="lt-LT"/>
        </w:rPr>
        <mc:AlternateContent>
          <mc:Choice Requires="wps">
            <w:drawing>
              <wp:anchor distT="0" distB="0" distL="114300" distR="114300" simplePos="0" relativeHeight="251659264" behindDoc="0" locked="0" layoutInCell="1" allowOverlap="1" wp14:anchorId="155EB3B7" wp14:editId="6D2124B5">
                <wp:simplePos x="0" y="0"/>
                <wp:positionH relativeFrom="column">
                  <wp:posOffset>73925</wp:posOffset>
                </wp:positionH>
                <wp:positionV relativeFrom="paragraph">
                  <wp:posOffset>374214</wp:posOffset>
                </wp:positionV>
                <wp:extent cx="6209665" cy="2169994"/>
                <wp:effectExtent l="0" t="0" r="0" b="0"/>
                <wp:wrapNone/>
                <wp:docPr id="388" name="Teksto laukas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665" cy="216999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6CC5" w:rsidRPr="00BD3E54" w:rsidRDefault="008A6CC5" w:rsidP="00D65621">
                            <w:pPr>
                              <w:ind w:left="-142"/>
                              <w:jc w:val="center"/>
                              <w:rPr>
                                <w:rFonts w:ascii="Calibri" w:hAnsi="Calibri"/>
                                <w:b/>
                                <w:color w:val="D9D9D9"/>
                                <w:sz w:val="48"/>
                                <w:szCs w:val="48"/>
                              </w:rPr>
                            </w:pPr>
                            <w:r w:rsidRPr="00BD3E54">
                              <w:rPr>
                                <w:rFonts w:ascii="Calibri" w:hAnsi="Calibri"/>
                                <w:b/>
                                <w:color w:val="D9D9D9"/>
                                <w:sz w:val="48"/>
                                <w:szCs w:val="48"/>
                              </w:rPr>
                              <w:t xml:space="preserve">2014–2020 M. </w:t>
                            </w:r>
                            <w:proofErr w:type="gramStart"/>
                            <w:r w:rsidRPr="00BD3E54">
                              <w:rPr>
                                <w:rFonts w:ascii="Calibri" w:hAnsi="Calibri"/>
                                <w:b/>
                                <w:color w:val="D9D9D9"/>
                                <w:sz w:val="48"/>
                                <w:szCs w:val="48"/>
                              </w:rPr>
                              <w:t>EUROPOS SĄJUNGOS</w:t>
                            </w:r>
                            <w:proofErr w:type="gramEnd"/>
                            <w:r w:rsidRPr="00BD3E54">
                              <w:rPr>
                                <w:rFonts w:ascii="Calibri" w:hAnsi="Calibri"/>
                                <w:b/>
                                <w:color w:val="D9D9D9"/>
                                <w:sz w:val="48"/>
                                <w:szCs w:val="48"/>
                              </w:rPr>
                              <w:t xml:space="preserve"> FONDŲ INVESTICIJŲ </w:t>
                            </w:r>
                            <w:r>
                              <w:rPr>
                                <w:rFonts w:ascii="Calibri" w:hAnsi="Calibri"/>
                                <w:b/>
                                <w:color w:val="D9D9D9"/>
                                <w:sz w:val="48"/>
                                <w:szCs w:val="48"/>
                              </w:rPr>
                              <w:t>VEIKSMŲ PROGRAMOS</w:t>
                            </w:r>
                            <w:r w:rsidRPr="00BD3E54">
                              <w:rPr>
                                <w:rFonts w:ascii="Calibri" w:hAnsi="Calibri"/>
                                <w:b/>
                                <w:color w:val="D9D9D9"/>
                                <w:sz w:val="48"/>
                                <w:szCs w:val="48"/>
                              </w:rPr>
                              <w:t xml:space="preserve"> ĮGYVENDINIMO KETVIRTINĖ ATASKAITA</w:t>
                            </w:r>
                          </w:p>
                          <w:p w:rsidR="008A6CC5" w:rsidRDefault="008A6CC5" w:rsidP="00B86403">
                            <w:pPr>
                              <w:rPr>
                                <w:rFonts w:ascii="Calibri" w:hAnsi="Calibri"/>
                                <w:b/>
                                <w:color w:val="D9D9D9"/>
                                <w:sz w:val="48"/>
                                <w:szCs w:val="48"/>
                              </w:rPr>
                            </w:pPr>
                          </w:p>
                          <w:p w:rsidR="008A6CC5" w:rsidRPr="00BD3E54" w:rsidRDefault="008A6CC5" w:rsidP="00B86403">
                            <w:pPr>
                              <w:rPr>
                                <w:rFonts w:ascii="Calibri" w:hAnsi="Calibri"/>
                                <w:b/>
                                <w:color w:val="D9D9D9"/>
                                <w:sz w:val="48"/>
                                <w:szCs w:val="48"/>
                              </w:rPr>
                            </w:pPr>
                          </w:p>
                          <w:p w:rsidR="008A6CC5" w:rsidRPr="00A40881" w:rsidRDefault="008A6CC5" w:rsidP="00D65621">
                            <w:pPr>
                              <w:jc w:val="center"/>
                              <w:rPr>
                                <w:sz w:val="28"/>
                                <w:szCs w:val="28"/>
                              </w:rPr>
                            </w:pPr>
                            <w:r>
                              <w:rPr>
                                <w:rFonts w:ascii="Calibri" w:hAnsi="Calibri"/>
                                <w:b/>
                                <w:color w:val="D9D9D9"/>
                                <w:sz w:val="28"/>
                                <w:szCs w:val="28"/>
                              </w:rPr>
                              <w:t>2020 metų III ketvirtis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o laukas 388" o:spid="_x0000_s1026" type="#_x0000_t202" style="position:absolute;left:0;text-align:left;margin-left:5.8pt;margin-top:29.45pt;width:488.95pt;height:17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" stroked="f">
                <v:fill opacity="0"/>
                <v:textbox>
                  <w:txbxContent>
                    <w:p w:rsidR="008A6CC5" w:rsidRPr="00BD3E54" w:rsidRDefault="008A6CC5" w:rsidP="00D65621">
                      <w:pPr>
                        <w:ind w:left="-142"/>
                        <w:jc w:val="center"/>
                        <w:rPr>
                          <w:rFonts w:ascii="Calibri" w:hAnsi="Calibri"/>
                          <w:b/>
                          <w:color w:val="D9D9D9"/>
                          <w:sz w:val="48"/>
                          <w:szCs w:val="48"/>
                        </w:rPr>
                      </w:pPr>
                      <w:r w:rsidRPr="00BD3E54">
                        <w:rPr>
                          <w:rFonts w:ascii="Calibri" w:hAnsi="Calibri"/>
                          <w:b/>
                          <w:color w:val="D9D9D9"/>
                          <w:sz w:val="48"/>
                          <w:szCs w:val="48"/>
                        </w:rPr>
                        <w:t xml:space="preserve">2014–2020 M. </w:t>
                      </w:r>
                      <w:proofErr w:type="gramStart"/>
                      <w:r w:rsidRPr="00BD3E54">
                        <w:rPr>
                          <w:rFonts w:ascii="Calibri" w:hAnsi="Calibri"/>
                          <w:b/>
                          <w:color w:val="D9D9D9"/>
                          <w:sz w:val="48"/>
                          <w:szCs w:val="48"/>
                        </w:rPr>
                        <w:t>EUROPOS SĄJUNGOS</w:t>
                      </w:r>
                      <w:proofErr w:type="gramEnd"/>
                      <w:r w:rsidRPr="00BD3E54">
                        <w:rPr>
                          <w:rFonts w:ascii="Calibri" w:hAnsi="Calibri"/>
                          <w:b/>
                          <w:color w:val="D9D9D9"/>
                          <w:sz w:val="48"/>
                          <w:szCs w:val="48"/>
                        </w:rPr>
                        <w:t xml:space="preserve"> FONDŲ INVESTICIJŲ </w:t>
                      </w:r>
                      <w:r>
                        <w:rPr>
                          <w:rFonts w:ascii="Calibri" w:hAnsi="Calibri"/>
                          <w:b/>
                          <w:color w:val="D9D9D9"/>
                          <w:sz w:val="48"/>
                          <w:szCs w:val="48"/>
                        </w:rPr>
                        <w:t>VEIKSMŲ PROGRAMOS</w:t>
                      </w:r>
                      <w:r w:rsidRPr="00BD3E54">
                        <w:rPr>
                          <w:rFonts w:ascii="Calibri" w:hAnsi="Calibri"/>
                          <w:b/>
                          <w:color w:val="D9D9D9"/>
                          <w:sz w:val="48"/>
                          <w:szCs w:val="48"/>
                        </w:rPr>
                        <w:t xml:space="preserve"> ĮGYVENDINIMO KETVIRTINĖ ATASKAITA</w:t>
                      </w:r>
                    </w:p>
                    <w:p w:rsidR="008A6CC5" w:rsidRDefault="008A6CC5" w:rsidP="00B86403">
                      <w:pPr>
                        <w:rPr>
                          <w:rFonts w:ascii="Calibri" w:hAnsi="Calibri"/>
                          <w:b/>
                          <w:color w:val="D9D9D9"/>
                          <w:sz w:val="48"/>
                          <w:szCs w:val="48"/>
                        </w:rPr>
                      </w:pPr>
                    </w:p>
                    <w:p w:rsidR="008A6CC5" w:rsidRPr="00BD3E54" w:rsidRDefault="008A6CC5" w:rsidP="00B86403">
                      <w:pPr>
                        <w:rPr>
                          <w:rFonts w:ascii="Calibri" w:hAnsi="Calibri"/>
                          <w:b/>
                          <w:color w:val="D9D9D9"/>
                          <w:sz w:val="48"/>
                          <w:szCs w:val="48"/>
                        </w:rPr>
                      </w:pPr>
                    </w:p>
                    <w:p w:rsidR="008A6CC5" w:rsidRPr="00A40881" w:rsidRDefault="008A6CC5" w:rsidP="00D65621">
                      <w:pPr>
                        <w:jc w:val="center"/>
                        <w:rPr>
                          <w:sz w:val="28"/>
                          <w:szCs w:val="28"/>
                        </w:rPr>
                      </w:pPr>
                      <w:r>
                        <w:rPr>
                          <w:rFonts w:ascii="Calibri" w:hAnsi="Calibri"/>
                          <w:b/>
                          <w:color w:val="D9D9D9"/>
                          <w:sz w:val="28"/>
                          <w:szCs w:val="28"/>
                        </w:rPr>
                        <w:t>2020 metų III ketvirtis</w:t>
                      </w:r>
                    </w:p>
                  </w:txbxContent>
                </v:textbox>
              </v:shape>
            </w:pict>
          </mc:Fallback>
        </mc:AlternateContent>
      </w:r>
    </w:p>
    <w:p w:rsidR="00B86403" w:rsidRPr="00DF3F93" w:rsidRDefault="00B86403" w:rsidP="00D65621">
      <w:pPr>
        <w:jc w:val="both"/>
        <w:rPr>
          <w:szCs w:val="24"/>
        </w:rPr>
      </w:pPr>
      <w:r w:rsidRPr="00DF3F93">
        <w:rPr>
          <w:noProof/>
          <w:szCs w:val="24"/>
          <w:lang w:eastAsia="lt-LT"/>
        </w:rPr>
        <mc:AlternateContent>
          <mc:Choice Requires="wps">
            <w:drawing>
              <wp:anchor distT="0" distB="0" distL="114300" distR="114300" simplePos="0" relativeHeight="251657216" behindDoc="1" locked="0" layoutInCell="1" allowOverlap="1" wp14:anchorId="2B8A1A8F" wp14:editId="6C299B84">
                <wp:simplePos x="0" y="0"/>
                <wp:positionH relativeFrom="column">
                  <wp:posOffset>76835</wp:posOffset>
                </wp:positionH>
                <wp:positionV relativeFrom="paragraph">
                  <wp:posOffset>143510</wp:posOffset>
                </wp:positionV>
                <wp:extent cx="6510655" cy="3155315"/>
                <wp:effectExtent l="635" t="4445" r="3810" b="2540"/>
                <wp:wrapSquare wrapText="bothSides"/>
                <wp:docPr id="390" name="Teksto laukas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0655" cy="315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6CC5" w:rsidRDefault="008A6CC5" w:rsidP="00670A6A">
                            <w:pPr>
                              <w:ind w:left="-567"/>
                              <w:jc w:val="center"/>
                            </w:pPr>
                            <w:r>
                              <w:rPr>
                                <w:noProof/>
                                <w:lang w:eastAsia="lt-LT"/>
                              </w:rPr>
                              <w:drawing>
                                <wp:inline distT="0" distB="0" distL="0" distR="0" wp14:anchorId="3E1D89DB" wp14:editId="0E3E79FE">
                                  <wp:extent cx="6564517" cy="2790967"/>
                                  <wp:effectExtent l="0" t="0" r="8255"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1219" cy="2793816"/>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ksto laukas 390" o:spid="_x0000_s1027" type="#_x0000_t202" style="position:absolute;left:0;text-align:left;margin-left:6.05pt;margin-top:11.3pt;width:512.65pt;height:248.4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" filled="f" stroked="f">
                <v:textbox style="mso-fit-shape-to-text:t">
                  <w:txbxContent>
                    <w:p w:rsidR="008A6CC5" w:rsidRDefault="008A6CC5" w:rsidP="00670A6A">
                      <w:pPr>
                        <w:ind w:left="-567"/>
                        <w:jc w:val="center"/>
                      </w:pPr>
                      <w:r>
                        <w:rPr>
                          <w:noProof/>
                          <w:lang w:eastAsia="lt-LT"/>
                        </w:rPr>
                        <w:drawing>
                          <wp:inline distT="0" distB="0" distL="0" distR="0" wp14:anchorId="3E1D89DB" wp14:editId="0E3E79FE">
                            <wp:extent cx="6564517" cy="2790967"/>
                            <wp:effectExtent l="0" t="0" r="8255"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1219" cy="2793816"/>
                                    </a:xfrm>
                                    <a:prstGeom prst="rect">
                                      <a:avLst/>
                                    </a:prstGeom>
                                    <a:noFill/>
                                    <a:ln>
                                      <a:noFill/>
                                    </a:ln>
                                  </pic:spPr>
                                </pic:pic>
                              </a:graphicData>
                            </a:graphic>
                          </wp:inline>
                        </w:drawing>
                      </w:r>
                    </w:p>
                  </w:txbxContent>
                </v:textbox>
                <w10:wrap type="square"/>
              </v:shape>
            </w:pict>
          </mc:Fallback>
        </mc:AlternateContent>
      </w:r>
    </w:p>
    <w:p w:rsidR="00A40881" w:rsidRPr="00DF3F93" w:rsidRDefault="000C4C16" w:rsidP="00D65621">
      <w:pPr>
        <w:rPr>
          <w:rFonts w:eastAsia="Calibri"/>
          <w:b/>
          <w:color w:val="0070C0"/>
          <w:szCs w:val="24"/>
          <w:lang w:eastAsia="lt-LT"/>
        </w:rPr>
      </w:pPr>
      <w:r w:rsidRPr="00DF3F93">
        <w:rPr>
          <w:rFonts w:eastAsia="Calibri"/>
          <w:b/>
          <w:color w:val="0070C0"/>
          <w:szCs w:val="24"/>
          <w:lang w:eastAsia="lt-LT"/>
        </w:rPr>
        <w:br w:type="page"/>
      </w:r>
    </w:p>
    <w:sdt>
      <w:sdtPr>
        <w:rPr>
          <w:rFonts w:eastAsia="Calibri"/>
          <w:bCs/>
          <w:color w:val="7F7F7F" w:themeColor="text1" w:themeTint="80"/>
          <w:szCs w:val="24"/>
        </w:rPr>
        <w:id w:val="-865983546"/>
        <w:docPartObj>
          <w:docPartGallery w:val="Table of Contents"/>
          <w:docPartUnique/>
        </w:docPartObj>
      </w:sdtPr>
      <w:sdtEndPr>
        <w:rPr>
          <w:bCs w:val="0"/>
          <w:color w:val="666666"/>
        </w:rPr>
      </w:sdtEndPr>
      <w:sdtContent>
        <w:p w:rsidR="00B86403" w:rsidRPr="00C4777B" w:rsidRDefault="00B86403" w:rsidP="00D65621">
          <w:pPr>
            <w:rPr>
              <w:color w:val="595959" w:themeColor="text1" w:themeTint="A6"/>
              <w:szCs w:val="24"/>
              <w:lang w:eastAsia="lt-LT"/>
            </w:rPr>
          </w:pPr>
          <w:r w:rsidRPr="00C4777B">
            <w:rPr>
              <w:color w:val="595959" w:themeColor="text1" w:themeTint="A6"/>
              <w:szCs w:val="24"/>
              <w:lang w:eastAsia="lt-LT"/>
            </w:rPr>
            <w:t>Turinys</w:t>
          </w:r>
        </w:p>
        <w:p w:rsidR="00C4777B" w:rsidRPr="00C4777B" w:rsidRDefault="00B86403">
          <w:pPr>
            <w:pStyle w:val="Turinys1"/>
            <w:tabs>
              <w:tab w:val="left" w:pos="440"/>
              <w:tab w:val="right" w:leader="dot" w:pos="9628"/>
            </w:tabs>
            <w:rPr>
              <w:rFonts w:asciiTheme="minorHAnsi" w:eastAsiaTheme="minorEastAsia" w:hAnsiTheme="minorHAnsi" w:cstheme="minorBidi"/>
              <w:noProof/>
              <w:color w:val="595959" w:themeColor="text1" w:themeTint="A6"/>
              <w:sz w:val="22"/>
              <w:szCs w:val="22"/>
              <w:lang w:eastAsia="lt-LT"/>
            </w:rPr>
          </w:pPr>
          <w:r w:rsidRPr="00C4777B">
            <w:rPr>
              <w:color w:val="595959" w:themeColor="text1" w:themeTint="A6"/>
              <w:szCs w:val="24"/>
              <w:lang w:eastAsia="lt-LT"/>
            </w:rPr>
            <w:fldChar w:fldCharType="begin"/>
          </w:r>
          <w:r w:rsidRPr="00C4777B">
            <w:rPr>
              <w:color w:val="595959" w:themeColor="text1" w:themeTint="A6"/>
              <w:szCs w:val="24"/>
              <w:lang w:eastAsia="lt-LT"/>
            </w:rPr>
            <w:instrText xml:space="preserve"> TOC \o "1-3" \h \z \u </w:instrText>
          </w:r>
          <w:r w:rsidRPr="00C4777B">
            <w:rPr>
              <w:color w:val="595959" w:themeColor="text1" w:themeTint="A6"/>
              <w:szCs w:val="24"/>
              <w:lang w:eastAsia="lt-LT"/>
            </w:rPr>
            <w:fldChar w:fldCharType="separate"/>
          </w:r>
          <w:hyperlink w:anchor="_Toc54258629" w:history="1">
            <w:r w:rsidR="00C4777B" w:rsidRPr="00C4777B">
              <w:rPr>
                <w:rStyle w:val="Hipersaitas"/>
                <w:noProof/>
                <w:color w:val="595959" w:themeColor="text1" w:themeTint="A6"/>
              </w:rPr>
              <w:t>I.</w:t>
            </w:r>
            <w:r w:rsidR="00C4777B" w:rsidRPr="00C4777B">
              <w:rPr>
                <w:rFonts w:asciiTheme="minorHAnsi" w:eastAsiaTheme="minorEastAsia" w:hAnsiTheme="minorHAnsi" w:cstheme="minorBidi"/>
                <w:noProof/>
                <w:color w:val="595959" w:themeColor="text1" w:themeTint="A6"/>
                <w:sz w:val="22"/>
                <w:szCs w:val="22"/>
                <w:lang w:eastAsia="lt-LT"/>
              </w:rPr>
              <w:tab/>
            </w:r>
            <w:r w:rsidR="00C4777B" w:rsidRPr="00C4777B">
              <w:rPr>
                <w:rStyle w:val="Hipersaitas"/>
                <w:noProof/>
                <w:color w:val="595959" w:themeColor="text1" w:themeTint="A6"/>
              </w:rPr>
              <w:t>Bendra Veiksmų programos įgyvendinimo apžvalga</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_Toc54258629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5</w:t>
            </w:r>
            <w:r w:rsidR="00C4777B" w:rsidRPr="00C4777B">
              <w:rPr>
                <w:noProof/>
                <w:webHidden/>
                <w:color w:val="595959" w:themeColor="text1" w:themeTint="A6"/>
              </w:rPr>
              <w:fldChar w:fldCharType="end"/>
            </w:r>
          </w:hyperlink>
        </w:p>
        <w:p w:rsidR="00C4777B" w:rsidRPr="00C4777B" w:rsidRDefault="009C1170">
          <w:pPr>
            <w:pStyle w:val="Turinys1"/>
            <w:tabs>
              <w:tab w:val="left" w:pos="660"/>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0" w:history="1">
            <w:r w:rsidR="00C4777B" w:rsidRPr="00C4777B">
              <w:rPr>
                <w:rStyle w:val="Hipersaitas"/>
                <w:noProof/>
                <w:color w:val="595959" w:themeColor="text1" w:themeTint="A6"/>
              </w:rPr>
              <w:t>II.</w:t>
            </w:r>
            <w:r w:rsidR="00C4777B" w:rsidRPr="00C4777B">
              <w:rPr>
                <w:rFonts w:asciiTheme="minorHAnsi" w:eastAsiaTheme="minorEastAsia" w:hAnsiTheme="minorHAnsi" w:cstheme="minorBidi"/>
                <w:noProof/>
                <w:color w:val="595959" w:themeColor="text1" w:themeTint="A6"/>
                <w:sz w:val="22"/>
                <w:szCs w:val="22"/>
                <w:lang w:eastAsia="lt-LT"/>
              </w:rPr>
              <w:tab/>
            </w:r>
            <w:r w:rsidR="00C4777B" w:rsidRPr="00C4777B">
              <w:rPr>
                <w:rStyle w:val="Hipersaitas"/>
                <w:noProof/>
                <w:color w:val="595959" w:themeColor="text1" w:themeTint="A6"/>
              </w:rPr>
              <w:t>Situacijos sektoriuose analizė ir siūlymai</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_Toc54258630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9</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1" w:history="1">
            <w:r w:rsidR="00C4777B" w:rsidRPr="00C4777B">
              <w:rPr>
                <w:rStyle w:val="Hipersaitas"/>
                <w:rFonts w:eastAsiaTheme="majorEastAsia"/>
                <w:bCs/>
                <w:noProof/>
                <w:color w:val="595959" w:themeColor="text1" w:themeTint="A6"/>
                <w:lang w:eastAsia="lt-LT"/>
              </w:rPr>
              <w:t>1 prioritetas. Mokslinių tyrimų, eksperimentinės plėtros ir inovacijų skatinimas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_Toc54258631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9</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2" w:history="1">
            <w:r w:rsidR="00C4777B" w:rsidRPr="00C4777B">
              <w:rPr>
                <w:rStyle w:val="Hipersaitas"/>
                <w:rFonts w:eastAsiaTheme="majorEastAsia"/>
                <w:bCs/>
                <w:noProof/>
                <w:color w:val="595959" w:themeColor="text1" w:themeTint="A6"/>
                <w:lang w:eastAsia="lt-LT"/>
              </w:rPr>
              <w:t>2 prioritetas. Informacinės visuomenės skatinimas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_Toc54258632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10</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3" w:history="1">
            <w:r w:rsidR="00C4777B" w:rsidRPr="00C4777B">
              <w:rPr>
                <w:rStyle w:val="Hipersaitas"/>
                <w:rFonts w:eastAsiaTheme="majorEastAsia"/>
                <w:bCs/>
                <w:noProof/>
                <w:color w:val="595959" w:themeColor="text1" w:themeTint="A6"/>
                <w:lang w:eastAsia="lt-LT"/>
              </w:rPr>
              <w:t>3 prioritetas. Smulkiojo ir vidutinio verslo konkurencingumo skatinimas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_Toc54258633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10</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4" w:history="1">
            <w:r w:rsidR="00C4777B" w:rsidRPr="00C4777B">
              <w:rPr>
                <w:rStyle w:val="Hipersaitas"/>
                <w:rFonts w:eastAsiaTheme="majorEastAsia"/>
                <w:bCs/>
                <w:noProof/>
                <w:color w:val="595959" w:themeColor="text1" w:themeTint="A6"/>
                <w:lang w:eastAsia="lt-LT"/>
              </w:rPr>
              <w:t>4 prioritetas. Energijos efektyvumo ir atsinaujinančių išteklių energijos gamybos ir naudojimo skatinimas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_Toc54258634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11</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5" w:history="1">
            <w:r w:rsidR="00C4777B" w:rsidRPr="00C4777B">
              <w:rPr>
                <w:rStyle w:val="Hipersaitas"/>
                <w:rFonts w:eastAsiaTheme="majorEastAsia"/>
                <w:bCs/>
                <w:noProof/>
                <w:color w:val="595959" w:themeColor="text1" w:themeTint="A6"/>
                <w:lang w:eastAsia="lt-LT"/>
              </w:rPr>
              <w:t>5 prioritetas. Aplinkosauga, gamtos išteklių darnus naudojimas ir prisitaikymas prie klimato kaitos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_Toc54258635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13</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6" w:history="1">
            <w:r w:rsidR="00C4777B" w:rsidRPr="00C4777B">
              <w:rPr>
                <w:rStyle w:val="Hipersaitas"/>
                <w:noProof/>
                <w:color w:val="595959" w:themeColor="text1" w:themeTint="A6"/>
              </w:rPr>
              <w:t>6 prioritetas. Darnaus transporto ir pagrindinių tinklų infrastruktūros plėtra</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_Toc54258636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14</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7" w:history="1">
            <w:r w:rsidR="00C4777B" w:rsidRPr="00C4777B">
              <w:rPr>
                <w:rStyle w:val="Hipersaitas"/>
                <w:noProof/>
                <w:color w:val="595959" w:themeColor="text1" w:themeTint="A6"/>
              </w:rPr>
              <w:t>7 prioritetas. Kokybiško užimtumo ir dalyvavimo darbo rinkoje skatinimas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_Toc54258637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15</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8" w:history="1">
            <w:r w:rsidR="00C4777B" w:rsidRPr="00C4777B">
              <w:rPr>
                <w:rStyle w:val="Hipersaitas"/>
                <w:noProof/>
                <w:color w:val="595959" w:themeColor="text1" w:themeTint="A6"/>
              </w:rPr>
              <w:t>8 prioritetas. Socialinės įtraukties didinimas ir kova su skurdu</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_Toc54258638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17</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39" w:history="1">
            <w:r w:rsidR="00C4777B" w:rsidRPr="00C4777B">
              <w:rPr>
                <w:rStyle w:val="Hipersaitas"/>
                <w:noProof/>
                <w:color w:val="595959" w:themeColor="text1" w:themeTint="A6"/>
              </w:rPr>
              <w:t>9 prioritetas. Visuomenės švietimas ir žmogiškųjų išteklių potencialo didinimas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_Toc54258639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19</w:t>
            </w:r>
            <w:r w:rsidR="00C4777B" w:rsidRPr="00C4777B">
              <w:rPr>
                <w:noProof/>
                <w:webHidden/>
                <w:color w:val="595959" w:themeColor="text1" w:themeTint="A6"/>
              </w:rPr>
              <w:fldChar w:fldCharType="end"/>
            </w:r>
          </w:hyperlink>
        </w:p>
        <w:p w:rsidR="00C4777B" w:rsidRPr="00C4777B" w:rsidRDefault="009C1170">
          <w:pPr>
            <w:pStyle w:val="Turinys2"/>
            <w:tabs>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40" w:history="1">
            <w:r w:rsidR="00C4777B" w:rsidRPr="00C4777B">
              <w:rPr>
                <w:rStyle w:val="Hipersaitas"/>
                <w:noProof/>
                <w:color w:val="595959" w:themeColor="text1" w:themeTint="A6"/>
              </w:rPr>
              <w:t>10 prioritetas. Visuomenės poreikius atitinkantis ir pažangus viešasis valdymas</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_Toc54258640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20</w:t>
            </w:r>
            <w:r w:rsidR="00C4777B" w:rsidRPr="00C4777B">
              <w:rPr>
                <w:noProof/>
                <w:webHidden/>
                <w:color w:val="595959" w:themeColor="text1" w:themeTint="A6"/>
              </w:rPr>
              <w:fldChar w:fldCharType="end"/>
            </w:r>
          </w:hyperlink>
        </w:p>
        <w:p w:rsidR="00C4777B" w:rsidRPr="00C4777B" w:rsidRDefault="009C1170">
          <w:pPr>
            <w:pStyle w:val="Turinys1"/>
            <w:tabs>
              <w:tab w:val="left" w:pos="660"/>
              <w:tab w:val="right" w:leader="dot" w:pos="9628"/>
            </w:tabs>
            <w:rPr>
              <w:rFonts w:asciiTheme="minorHAnsi" w:eastAsiaTheme="minorEastAsia" w:hAnsiTheme="minorHAnsi" w:cstheme="minorBidi"/>
              <w:noProof/>
              <w:color w:val="595959" w:themeColor="text1" w:themeTint="A6"/>
              <w:sz w:val="22"/>
              <w:szCs w:val="22"/>
              <w:lang w:eastAsia="lt-LT"/>
            </w:rPr>
          </w:pPr>
          <w:hyperlink w:anchor="_Toc54258641" w:history="1">
            <w:r w:rsidR="00C4777B" w:rsidRPr="00C4777B">
              <w:rPr>
                <w:rStyle w:val="Hipersaitas"/>
                <w:noProof/>
                <w:color w:val="595959" w:themeColor="text1" w:themeTint="A6"/>
              </w:rPr>
              <w:t>III.</w:t>
            </w:r>
            <w:r w:rsidR="00C4777B" w:rsidRPr="00C4777B">
              <w:rPr>
                <w:rFonts w:asciiTheme="minorHAnsi" w:eastAsiaTheme="minorEastAsia" w:hAnsiTheme="minorHAnsi" w:cstheme="minorBidi"/>
                <w:noProof/>
                <w:color w:val="595959" w:themeColor="text1" w:themeTint="A6"/>
                <w:sz w:val="22"/>
                <w:szCs w:val="22"/>
                <w:lang w:eastAsia="lt-LT"/>
              </w:rPr>
              <w:tab/>
            </w:r>
            <w:r w:rsidR="00C4777B" w:rsidRPr="00C4777B">
              <w:rPr>
                <w:rStyle w:val="Hipersaitas"/>
                <w:noProof/>
                <w:color w:val="595959" w:themeColor="text1" w:themeTint="A6"/>
              </w:rPr>
              <w:t>Valstybės kontrolės pastebėjimai</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_Toc54258641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20</w:t>
            </w:r>
            <w:r w:rsidR="00C4777B" w:rsidRPr="00C4777B">
              <w:rPr>
                <w:noProof/>
                <w:webHidden/>
                <w:color w:val="595959" w:themeColor="text1" w:themeTint="A6"/>
              </w:rPr>
              <w:fldChar w:fldCharType="end"/>
            </w:r>
          </w:hyperlink>
        </w:p>
        <w:p w:rsidR="00C4777B" w:rsidRPr="00C4777B" w:rsidRDefault="009C1170">
          <w:pPr>
            <w:pStyle w:val="Turinys1"/>
            <w:tabs>
              <w:tab w:val="left" w:pos="660"/>
              <w:tab w:val="right" w:leader="dot" w:pos="9628"/>
            </w:tabs>
            <w:rPr>
              <w:rFonts w:asciiTheme="minorHAnsi" w:eastAsiaTheme="minorEastAsia" w:hAnsiTheme="minorHAnsi" w:cstheme="minorBidi"/>
              <w:noProof/>
              <w:sz w:val="22"/>
              <w:szCs w:val="22"/>
              <w:lang w:eastAsia="lt-LT"/>
            </w:rPr>
          </w:pPr>
          <w:hyperlink w:anchor="_Toc54258642" w:history="1">
            <w:r w:rsidR="00C4777B" w:rsidRPr="00C4777B">
              <w:rPr>
                <w:rStyle w:val="Hipersaitas"/>
                <w:noProof/>
                <w:color w:val="595959" w:themeColor="text1" w:themeTint="A6"/>
              </w:rPr>
              <w:t>IV.</w:t>
            </w:r>
            <w:r w:rsidR="00C4777B" w:rsidRPr="00C4777B">
              <w:rPr>
                <w:rFonts w:asciiTheme="minorHAnsi" w:eastAsiaTheme="minorEastAsia" w:hAnsiTheme="minorHAnsi" w:cstheme="minorBidi"/>
                <w:noProof/>
                <w:color w:val="595959" w:themeColor="text1" w:themeTint="A6"/>
                <w:sz w:val="22"/>
                <w:szCs w:val="22"/>
                <w:lang w:eastAsia="lt-LT"/>
              </w:rPr>
              <w:tab/>
            </w:r>
            <w:r w:rsidR="00C4777B" w:rsidRPr="00C4777B">
              <w:rPr>
                <w:rStyle w:val="Hipersaitas"/>
                <w:noProof/>
                <w:color w:val="595959" w:themeColor="text1" w:themeTint="A6"/>
              </w:rPr>
              <w:t>Pasirengimas 2021–2027 m. periodui</w:t>
            </w:r>
            <w:r w:rsidR="00C4777B" w:rsidRPr="00C4777B">
              <w:rPr>
                <w:noProof/>
                <w:webHidden/>
                <w:color w:val="595959" w:themeColor="text1" w:themeTint="A6"/>
              </w:rPr>
              <w:tab/>
            </w:r>
            <w:r w:rsidR="00C4777B" w:rsidRPr="00C4777B">
              <w:rPr>
                <w:noProof/>
                <w:webHidden/>
                <w:color w:val="595959" w:themeColor="text1" w:themeTint="A6"/>
              </w:rPr>
              <w:fldChar w:fldCharType="begin"/>
            </w:r>
            <w:r w:rsidR="00C4777B" w:rsidRPr="00C4777B">
              <w:rPr>
                <w:noProof/>
                <w:webHidden/>
                <w:color w:val="595959" w:themeColor="text1" w:themeTint="A6"/>
              </w:rPr>
              <w:instrText xml:space="preserve"> PAGEREF _Toc54258642 \h </w:instrText>
            </w:r>
            <w:r w:rsidR="00C4777B" w:rsidRPr="00C4777B">
              <w:rPr>
                <w:noProof/>
                <w:webHidden/>
                <w:color w:val="595959" w:themeColor="text1" w:themeTint="A6"/>
              </w:rPr>
            </w:r>
            <w:r w:rsidR="00C4777B" w:rsidRPr="00C4777B">
              <w:rPr>
                <w:noProof/>
                <w:webHidden/>
                <w:color w:val="595959" w:themeColor="text1" w:themeTint="A6"/>
              </w:rPr>
              <w:fldChar w:fldCharType="separate"/>
            </w:r>
            <w:r w:rsidR="00C4777B" w:rsidRPr="00C4777B">
              <w:rPr>
                <w:noProof/>
                <w:webHidden/>
                <w:color w:val="595959" w:themeColor="text1" w:themeTint="A6"/>
              </w:rPr>
              <w:t>21</w:t>
            </w:r>
            <w:r w:rsidR="00C4777B" w:rsidRPr="00C4777B">
              <w:rPr>
                <w:noProof/>
                <w:webHidden/>
                <w:color w:val="595959" w:themeColor="text1" w:themeTint="A6"/>
              </w:rPr>
              <w:fldChar w:fldCharType="end"/>
            </w:r>
          </w:hyperlink>
        </w:p>
        <w:p w:rsidR="00B86403" w:rsidRPr="00DF3F93" w:rsidRDefault="00B86403" w:rsidP="00D65621">
          <w:pPr>
            <w:pStyle w:val="Turinys2"/>
            <w:tabs>
              <w:tab w:val="right" w:leader="dot" w:pos="9628"/>
            </w:tabs>
            <w:spacing w:after="0"/>
            <w:ind w:left="0"/>
            <w:rPr>
              <w:rFonts w:eastAsia="Calibri"/>
              <w:color w:val="666666"/>
              <w:szCs w:val="24"/>
              <w:lang w:eastAsia="lt-LT"/>
            </w:rPr>
          </w:pPr>
          <w:r w:rsidRPr="00C4777B">
            <w:rPr>
              <w:color w:val="595959" w:themeColor="text1" w:themeTint="A6"/>
              <w:szCs w:val="24"/>
              <w:lang w:eastAsia="lt-LT"/>
            </w:rPr>
            <w:fldChar w:fldCharType="end"/>
          </w:r>
        </w:p>
      </w:sdtContent>
    </w:sdt>
    <w:p w:rsidR="00C42339" w:rsidRPr="00DF3F93" w:rsidRDefault="00C42339" w:rsidP="00D65621">
      <w:pPr>
        <w:rPr>
          <w:rFonts w:eastAsiaTheme="majorEastAsia"/>
          <w:b/>
          <w:bCs/>
          <w:color w:val="666666"/>
          <w:szCs w:val="24"/>
          <w:lang w:eastAsia="lt-LT"/>
        </w:rPr>
      </w:pPr>
      <w:r w:rsidRPr="00DF3F93">
        <w:rPr>
          <w:color w:val="666666"/>
          <w:szCs w:val="24"/>
          <w:lang w:eastAsia="lt-LT"/>
        </w:rPr>
        <w:br w:type="page"/>
      </w:r>
    </w:p>
    <w:p w:rsidR="00901533" w:rsidRPr="0040787A" w:rsidRDefault="00D86482" w:rsidP="00FC6139">
      <w:pPr>
        <w:pStyle w:val="Pavadinimas"/>
        <w:rPr>
          <w:rFonts w:ascii="Times New Roman" w:hAnsi="Times New Roman" w:cs="Times New Roman"/>
          <w:color w:val="365F91" w:themeColor="accent1" w:themeShade="BF"/>
        </w:rPr>
      </w:pPr>
      <w:r w:rsidRPr="0040787A">
        <w:rPr>
          <w:rFonts w:ascii="Times New Roman" w:hAnsi="Times New Roman" w:cs="Times New Roman"/>
          <w:color w:val="365F91" w:themeColor="accent1" w:themeShade="BF"/>
        </w:rPr>
        <w:lastRenderedPageBreak/>
        <w:t>TRUMPINIAI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619"/>
      </w:tblGrid>
      <w:tr w:rsidR="00180DE1" w:rsidRPr="00180DE1" w:rsidTr="00C75C43">
        <w:tc>
          <w:tcPr>
            <w:tcW w:w="2235" w:type="dxa"/>
          </w:tcPr>
          <w:p w:rsidR="00D634AC" w:rsidRPr="00180DE1" w:rsidRDefault="00D634A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APVA</w:t>
            </w:r>
          </w:p>
          <w:p w:rsidR="00927F2C" w:rsidRDefault="00927F2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BETA</w:t>
            </w:r>
          </w:p>
          <w:p w:rsidR="00F275BB" w:rsidRPr="00180DE1" w:rsidRDefault="00F275BB" w:rsidP="007D34BF">
            <w:pPr>
              <w:pStyle w:val="tekstas"/>
              <w:spacing w:line="360" w:lineRule="auto"/>
              <w:ind w:firstLine="0"/>
              <w:rPr>
                <w:rFonts w:ascii="Times New Roman" w:hAnsi="Times New Roman"/>
                <w:color w:val="595959" w:themeColor="text1" w:themeTint="A6"/>
              </w:rPr>
            </w:pPr>
            <w:r>
              <w:rPr>
                <w:rFonts w:ascii="Times New Roman" w:hAnsi="Times New Roman"/>
                <w:color w:val="595959" w:themeColor="text1" w:themeTint="A6"/>
              </w:rPr>
              <w:t>BF</w:t>
            </w:r>
          </w:p>
          <w:p w:rsidR="006F2E6A" w:rsidRPr="00180DE1" w:rsidRDefault="006F2E6A"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CPVA</w:t>
            </w:r>
          </w:p>
          <w:p w:rsidR="00CA2B8C" w:rsidRPr="00180DE1" w:rsidRDefault="00CA2B8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EK</w:t>
            </w:r>
          </w:p>
          <w:p w:rsidR="00DF3F93" w:rsidRPr="00180DE1" w:rsidRDefault="00DF3F93"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EP</w:t>
            </w:r>
          </w:p>
          <w:p w:rsidR="006B0C8E" w:rsidRPr="00180DE1" w:rsidRDefault="006B0C8E"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ENEF</w:t>
            </w:r>
          </w:p>
          <w:p w:rsidR="00927F2C" w:rsidRPr="00180DE1" w:rsidRDefault="00927F2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ES</w:t>
            </w:r>
          </w:p>
          <w:p w:rsidR="00927F2C" w:rsidRPr="00180DE1" w:rsidRDefault="00927F2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ES fondai</w:t>
            </w:r>
          </w:p>
          <w:p w:rsidR="00927F2C" w:rsidRPr="00180DE1" w:rsidRDefault="00927F2C" w:rsidP="007D34BF">
            <w:pPr>
              <w:pStyle w:val="tekstas"/>
              <w:spacing w:line="360" w:lineRule="auto"/>
              <w:ind w:firstLine="0"/>
              <w:rPr>
                <w:rFonts w:ascii="Times New Roman" w:hAnsi="Times New Roman"/>
                <w:color w:val="595959" w:themeColor="text1" w:themeTint="A6"/>
              </w:rPr>
            </w:pPr>
          </w:p>
          <w:p w:rsidR="00927F2C" w:rsidRPr="00180DE1" w:rsidRDefault="00927F2C" w:rsidP="007D34BF">
            <w:pPr>
              <w:pStyle w:val="tekstas"/>
              <w:spacing w:line="360" w:lineRule="auto"/>
              <w:ind w:firstLine="0"/>
              <w:rPr>
                <w:rFonts w:ascii="Times New Roman" w:hAnsi="Times New Roman"/>
                <w:color w:val="595959" w:themeColor="text1" w:themeTint="A6"/>
              </w:rPr>
            </w:pP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EIB</w:t>
            </w:r>
          </w:p>
          <w:p w:rsidR="00927F2C" w:rsidRPr="00180DE1" w:rsidRDefault="00927F2C" w:rsidP="007D34BF">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ERPF</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ESF</w:t>
            </w:r>
          </w:p>
          <w:p w:rsidR="00927F2C"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ESFA</w:t>
            </w:r>
          </w:p>
          <w:p w:rsidR="009C1170" w:rsidRPr="00180DE1" w:rsidRDefault="009C1170" w:rsidP="00927F2C">
            <w:pPr>
              <w:pStyle w:val="tekstas"/>
              <w:spacing w:line="360" w:lineRule="auto"/>
              <w:ind w:firstLine="0"/>
              <w:rPr>
                <w:rFonts w:ascii="Times New Roman" w:hAnsi="Times New Roman"/>
                <w:color w:val="595959" w:themeColor="text1" w:themeTint="A6"/>
              </w:rPr>
            </w:pPr>
            <w:r>
              <w:rPr>
                <w:rFonts w:ascii="Times New Roman" w:hAnsi="Times New Roman"/>
                <w:color w:val="595959" w:themeColor="text1" w:themeTint="A6"/>
              </w:rPr>
              <w:t>INVEGA</w:t>
            </w:r>
          </w:p>
          <w:p w:rsidR="00C75C43" w:rsidRPr="00180DE1" w:rsidRDefault="00C75C43"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Investicijų programa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LVPA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MITA</w:t>
            </w:r>
          </w:p>
          <w:p w:rsidR="00927F2C"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MTEP</w:t>
            </w:r>
          </w:p>
          <w:p w:rsidR="007B5134" w:rsidRDefault="007B5134" w:rsidP="00927F2C">
            <w:pPr>
              <w:pStyle w:val="tekstas"/>
              <w:spacing w:line="360" w:lineRule="auto"/>
              <w:ind w:firstLine="0"/>
              <w:rPr>
                <w:rFonts w:ascii="Times New Roman" w:hAnsi="Times New Roman"/>
                <w:color w:val="595959" w:themeColor="text1" w:themeTint="A6"/>
              </w:rPr>
            </w:pPr>
            <w:r>
              <w:rPr>
                <w:rFonts w:ascii="Times New Roman" w:hAnsi="Times New Roman"/>
                <w:color w:val="595959" w:themeColor="text1" w:themeTint="A6"/>
              </w:rPr>
              <w:t>MVĮ</w:t>
            </w:r>
          </w:p>
          <w:p w:rsidR="007B5134" w:rsidRPr="00180DE1" w:rsidRDefault="007B5134" w:rsidP="00927F2C">
            <w:pPr>
              <w:pStyle w:val="tekstas"/>
              <w:spacing w:line="360" w:lineRule="auto"/>
              <w:ind w:firstLine="0"/>
              <w:rPr>
                <w:rFonts w:ascii="Times New Roman" w:hAnsi="Times New Roman"/>
                <w:color w:val="595959" w:themeColor="text1" w:themeTint="A6"/>
              </w:rPr>
            </w:pPr>
            <w:r>
              <w:rPr>
                <w:rFonts w:ascii="Times New Roman" w:hAnsi="Times New Roman"/>
                <w:color w:val="595959" w:themeColor="text1" w:themeTint="A6"/>
              </w:rPr>
              <w:t>NVO</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VIPA</w:t>
            </w:r>
          </w:p>
          <w:p w:rsidR="00927F2C" w:rsidRPr="00180DE1" w:rsidRDefault="00927F2C" w:rsidP="00927F2C">
            <w:pPr>
              <w:pStyle w:val="tekstas"/>
              <w:spacing w:line="360" w:lineRule="auto"/>
              <w:ind w:firstLine="0"/>
              <w:rPr>
                <w:rFonts w:ascii="Times New Roman" w:hAnsi="Times New Roman"/>
                <w:color w:val="595959" w:themeColor="text1" w:themeTint="A6"/>
              </w:rPr>
            </w:pPr>
            <w:proofErr w:type="spellStart"/>
            <w:r w:rsidRPr="00180DE1">
              <w:rPr>
                <w:rFonts w:ascii="Times New Roman" w:hAnsi="Times New Roman"/>
                <w:color w:val="595959" w:themeColor="text1" w:themeTint="A6"/>
              </w:rPr>
              <w:t>Sa</w:t>
            </w:r>
            <w:r w:rsidR="00927B56" w:rsidRPr="00180DE1">
              <w:rPr>
                <w:rFonts w:ascii="Times New Roman" w:hAnsi="Times New Roman"/>
                <w:color w:val="595959" w:themeColor="text1" w:themeTint="A6"/>
              </w:rPr>
              <w:t>F</w:t>
            </w:r>
            <w:proofErr w:type="spellEnd"/>
          </w:p>
          <w:p w:rsidR="00994A27" w:rsidRPr="00180DE1" w:rsidRDefault="00994A27"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TPF</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Veiksmų programa</w:t>
            </w:r>
          </w:p>
          <w:p w:rsidR="00927F2C" w:rsidRPr="00180DE1" w:rsidRDefault="00927F2C" w:rsidP="00C75C43">
            <w:pPr>
              <w:pStyle w:val="tekstas"/>
              <w:spacing w:line="360" w:lineRule="auto"/>
              <w:ind w:firstLine="0"/>
              <w:rPr>
                <w:rFonts w:ascii="Times New Roman" w:hAnsi="Times New Roman"/>
                <w:color w:val="595959" w:themeColor="text1" w:themeTint="A6"/>
              </w:rPr>
            </w:pPr>
          </w:p>
        </w:tc>
        <w:tc>
          <w:tcPr>
            <w:tcW w:w="7619" w:type="dxa"/>
          </w:tcPr>
          <w:p w:rsidR="00D634AC" w:rsidRPr="00180DE1" w:rsidRDefault="00D634A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Aplinkos projektų valdymo agentūra</w:t>
            </w:r>
          </w:p>
          <w:p w:rsidR="00927F2C" w:rsidRDefault="00927F2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VšĮ Būsto energijos taupymo agentūra</w:t>
            </w:r>
          </w:p>
          <w:p w:rsidR="00F275BB" w:rsidRPr="00180DE1" w:rsidRDefault="00F275BB" w:rsidP="00F275BB">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w:t>
            </w:r>
            <w:r>
              <w:rPr>
                <w:rFonts w:ascii="Times New Roman" w:hAnsi="Times New Roman"/>
                <w:color w:val="595959" w:themeColor="text1" w:themeTint="A6"/>
              </w:rPr>
              <w:t xml:space="preserve"> Valstybės biudžeto bendrojo finansavimo lėšos</w:t>
            </w:r>
          </w:p>
          <w:p w:rsidR="006F2E6A" w:rsidRPr="00180DE1" w:rsidRDefault="006F2E6A"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VšĮ Centrinė projektų valdymo agentūra</w:t>
            </w:r>
          </w:p>
          <w:p w:rsidR="00CA2B8C" w:rsidRPr="00180DE1" w:rsidRDefault="00CA2B8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Komisija</w:t>
            </w:r>
          </w:p>
          <w:p w:rsidR="00DF3F93" w:rsidRPr="00180DE1" w:rsidRDefault="00DF3F93"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Parlamentas</w:t>
            </w:r>
          </w:p>
          <w:p w:rsidR="006B0C8E" w:rsidRPr="00180DE1" w:rsidRDefault="006B0C8E"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Energijos efektyvumo fondas</w:t>
            </w:r>
          </w:p>
          <w:p w:rsidR="00927F2C" w:rsidRPr="00180DE1" w:rsidRDefault="00927F2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Sąjunga</w:t>
            </w:r>
          </w:p>
          <w:p w:rsidR="00927F2C" w:rsidRPr="00180DE1" w:rsidRDefault="00927F2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Sąjungos struktūriniai fondai (Europos socialinis fondas, įskaitant „Jaunimo užimtumo iniciatyvą“, Europos regioninės plėtros fondas, Sanglaudos fondas)</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investicijų bankas</w:t>
            </w:r>
          </w:p>
          <w:p w:rsidR="00927F2C" w:rsidRPr="00180DE1" w:rsidRDefault="00927F2C" w:rsidP="00CA2B8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regioninės plėtros fondas</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socialinis fondas</w:t>
            </w:r>
          </w:p>
          <w:p w:rsidR="00927F2C"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Europos socialinio fondo agentūra</w:t>
            </w:r>
          </w:p>
          <w:p w:rsidR="009C1170" w:rsidRPr="00180DE1" w:rsidRDefault="009C1170"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w:t>
            </w:r>
            <w:r>
              <w:rPr>
                <w:rFonts w:ascii="Times New Roman" w:hAnsi="Times New Roman"/>
                <w:color w:val="595959" w:themeColor="text1" w:themeTint="A6"/>
              </w:rPr>
              <w:t xml:space="preserve"> UAB Investicijų ir verslo garantijos</w:t>
            </w:r>
          </w:p>
          <w:p w:rsidR="00C75C43" w:rsidRPr="00180DE1" w:rsidRDefault="00C75C43"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2021 –2027 m. ES struktūrinių fondų investicijų programa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VšĮ Lietuvos verslo paramos agentūra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Mokslo, inovacijų ir technologijų agentūra</w:t>
            </w:r>
          </w:p>
          <w:p w:rsidR="00927F2C"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Moksliniai tyrimai ir eksperimentinė plėtra</w:t>
            </w:r>
          </w:p>
          <w:p w:rsidR="007B5134" w:rsidRDefault="007B5134"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M</w:t>
            </w:r>
            <w:r>
              <w:rPr>
                <w:rFonts w:ascii="Times New Roman" w:hAnsi="Times New Roman"/>
                <w:color w:val="595959" w:themeColor="text1" w:themeTint="A6"/>
              </w:rPr>
              <w:t>ažos ir vidutinės įmonės</w:t>
            </w:r>
          </w:p>
          <w:p w:rsidR="007B5134" w:rsidRPr="00180DE1" w:rsidRDefault="007B5134" w:rsidP="00927F2C">
            <w:pPr>
              <w:pStyle w:val="tekstas"/>
              <w:spacing w:line="360" w:lineRule="auto"/>
              <w:ind w:firstLine="0"/>
              <w:rPr>
                <w:rFonts w:ascii="Times New Roman" w:hAnsi="Times New Roman"/>
                <w:color w:val="595959" w:themeColor="text1" w:themeTint="A6"/>
              </w:rPr>
            </w:pPr>
            <w:r>
              <w:rPr>
                <w:rFonts w:ascii="Times New Roman" w:hAnsi="Times New Roman"/>
                <w:color w:val="595959" w:themeColor="text1" w:themeTint="A6"/>
              </w:rPr>
              <w:t>– Nevyriausybinė organizacija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UAB Viešųjų investicijų plėtros agentūra</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Sanglaudos fondas</w:t>
            </w:r>
            <w:bookmarkStart w:id="1" w:name="_GoBack"/>
            <w:bookmarkEnd w:id="1"/>
          </w:p>
          <w:p w:rsidR="00994A27" w:rsidRPr="00180DE1" w:rsidRDefault="00994A27"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Teisingos pertvarkos fondas</w:t>
            </w:r>
          </w:p>
          <w:p w:rsidR="00927F2C" w:rsidRPr="00180DE1" w:rsidRDefault="00927F2C" w:rsidP="00927F2C">
            <w:pPr>
              <w:pStyle w:val="tekstas"/>
              <w:spacing w:line="360" w:lineRule="auto"/>
              <w:ind w:firstLine="0"/>
              <w:rPr>
                <w:rFonts w:ascii="Times New Roman" w:hAnsi="Times New Roman"/>
                <w:color w:val="595959" w:themeColor="text1" w:themeTint="A6"/>
              </w:rPr>
            </w:pPr>
            <w:r w:rsidRPr="00180DE1">
              <w:rPr>
                <w:rFonts w:ascii="Times New Roman" w:hAnsi="Times New Roman"/>
                <w:color w:val="595959" w:themeColor="text1" w:themeTint="A6"/>
              </w:rPr>
              <w:t>– 2014–2020 m. ES fondų investicijų veiksmų programa</w:t>
            </w:r>
          </w:p>
          <w:p w:rsidR="00927F2C" w:rsidRPr="00180DE1" w:rsidRDefault="00927F2C" w:rsidP="00C75C43">
            <w:pPr>
              <w:pStyle w:val="tekstas"/>
              <w:spacing w:line="360" w:lineRule="auto"/>
              <w:ind w:firstLine="0"/>
              <w:rPr>
                <w:rFonts w:ascii="Times New Roman" w:hAnsi="Times New Roman"/>
                <w:color w:val="595959" w:themeColor="text1" w:themeTint="A6"/>
              </w:rPr>
            </w:pPr>
          </w:p>
        </w:tc>
      </w:tr>
    </w:tbl>
    <w:p w:rsidR="003206B5" w:rsidRPr="000E52E6" w:rsidRDefault="003206B5" w:rsidP="000C62AE">
      <w:pPr>
        <w:spacing w:after="200" w:line="276" w:lineRule="auto"/>
        <w:rPr>
          <w:color w:val="595959" w:themeColor="text1" w:themeTint="A6"/>
        </w:rPr>
      </w:pPr>
    </w:p>
    <w:p w:rsidR="003206B5" w:rsidRPr="00DF3F93" w:rsidRDefault="003206B5">
      <w:pPr>
        <w:spacing w:after="200" w:line="276" w:lineRule="auto"/>
      </w:pPr>
      <w:r w:rsidRPr="00DF3F93">
        <w:br w:type="page"/>
      </w:r>
    </w:p>
    <w:p w:rsidR="005A4426" w:rsidRPr="0040787A" w:rsidRDefault="003206B5" w:rsidP="003206B5">
      <w:pPr>
        <w:pStyle w:val="Pavadinimas"/>
        <w:rPr>
          <w:rFonts w:ascii="Times New Roman" w:hAnsi="Times New Roman" w:cs="Times New Roman"/>
          <w:color w:val="365F91" w:themeColor="accent1" w:themeShade="BF"/>
        </w:rPr>
      </w:pPr>
      <w:r w:rsidRPr="0040787A">
        <w:rPr>
          <w:rFonts w:ascii="Times New Roman" w:hAnsi="Times New Roman" w:cs="Times New Roman"/>
          <w:color w:val="365F91" w:themeColor="accent1" w:themeShade="BF"/>
        </w:rPr>
        <w:lastRenderedPageBreak/>
        <w:t>SANTRAUKA</w:t>
      </w:r>
    </w:p>
    <w:p w:rsidR="00790870" w:rsidRDefault="00790870" w:rsidP="00180DE1">
      <w:pPr>
        <w:pStyle w:val="tekstas"/>
        <w:spacing w:line="276" w:lineRule="auto"/>
        <w:rPr>
          <w:rFonts w:ascii="Times New Roman" w:hAnsi="Times New Roman"/>
          <w:color w:val="595959" w:themeColor="text1" w:themeTint="A6"/>
        </w:rPr>
      </w:pPr>
      <w:r w:rsidRPr="00790870">
        <w:rPr>
          <w:rFonts w:ascii="Times New Roman" w:hAnsi="Times New Roman"/>
          <w:color w:val="595959" w:themeColor="text1" w:themeTint="A6"/>
        </w:rPr>
        <w:t>Lietuva pagal ES išmokėtas Lietuvai lėšas (59 proc. nuo 2014–2020 m. Lietuvai skirto finansavimo) užima 3-ąją vietą tarp visų šalių narių ir viršija ES vidurkį</w:t>
      </w:r>
      <w:r>
        <w:rPr>
          <w:rFonts w:ascii="Times New Roman" w:hAnsi="Times New Roman"/>
          <w:color w:val="595959" w:themeColor="text1" w:themeTint="A6"/>
        </w:rPr>
        <w:t>. Pagal projektams paskirstytas lėšas Lietuva yra 12 vietoje tarp šalių narių ir taip pat viršija vidurkį.</w:t>
      </w:r>
    </w:p>
    <w:p w:rsidR="00790870" w:rsidRDefault="00790870" w:rsidP="00790870">
      <w:pPr>
        <w:pStyle w:val="tekstas"/>
        <w:spacing w:line="276" w:lineRule="auto"/>
        <w:rPr>
          <w:rFonts w:ascii="Times New Roman" w:hAnsi="Times New Roman"/>
          <w:color w:val="595959" w:themeColor="text1" w:themeTint="A6"/>
        </w:rPr>
      </w:pPr>
      <w:r w:rsidRPr="00790870">
        <w:rPr>
          <w:rFonts w:ascii="Times New Roman" w:hAnsi="Times New Roman"/>
          <w:color w:val="595959" w:themeColor="text1" w:themeTint="A6"/>
        </w:rPr>
        <w:t>Įgyvendinant 2014–2020 m. finansavimo laikotarpio ES fondų lėšomis finansuojamus projektus, iš viso projektams paskirstyta 6,1 mlrd. (91 proc.)</w:t>
      </w:r>
      <w:r>
        <w:rPr>
          <w:rFonts w:ascii="Times New Roman" w:hAnsi="Times New Roman"/>
          <w:color w:val="595959" w:themeColor="text1" w:themeTint="A6"/>
        </w:rPr>
        <w:t>,</w:t>
      </w:r>
      <w:r w:rsidRPr="00790870">
        <w:rPr>
          <w:rFonts w:ascii="Times New Roman" w:hAnsi="Times New Roman"/>
          <w:color w:val="595959" w:themeColor="text1" w:themeTint="A6"/>
        </w:rPr>
        <w:t xml:space="preserve"> investuota 3,7 mlrd. eurų (55 proc.). Per 2020 metų III ketvirtį sudarytų sutarčių suma (ES fondų lėšos) padidėjo 297 mln. eurų arba 4</w:t>
      </w:r>
      <w:r>
        <w:rPr>
          <w:rFonts w:ascii="Times New Roman" w:hAnsi="Times New Roman"/>
          <w:color w:val="595959" w:themeColor="text1" w:themeTint="A6"/>
        </w:rPr>
        <w:t> </w:t>
      </w:r>
      <w:r w:rsidRPr="00790870">
        <w:rPr>
          <w:rFonts w:ascii="Times New Roman" w:hAnsi="Times New Roman"/>
          <w:color w:val="595959" w:themeColor="text1" w:themeTint="A6"/>
        </w:rPr>
        <w:t>proc.</w:t>
      </w:r>
      <w:r>
        <w:rPr>
          <w:rFonts w:ascii="Times New Roman" w:hAnsi="Times New Roman"/>
          <w:color w:val="595959" w:themeColor="text1" w:themeTint="A6"/>
        </w:rPr>
        <w:t xml:space="preserve">, </w:t>
      </w:r>
      <w:r w:rsidRPr="00790870">
        <w:rPr>
          <w:rFonts w:ascii="Times New Roman" w:hAnsi="Times New Roman"/>
          <w:color w:val="595959" w:themeColor="text1" w:themeTint="A6"/>
        </w:rPr>
        <w:t>investuota 281 mln. eurų ES fondų lėšų (4,2 proc.).</w:t>
      </w:r>
    </w:p>
    <w:p w:rsidR="00790870" w:rsidRDefault="007F669E" w:rsidP="00790870">
      <w:pPr>
        <w:pStyle w:val="tekstas"/>
        <w:spacing w:line="276" w:lineRule="auto"/>
        <w:rPr>
          <w:rFonts w:ascii="Times New Roman" w:hAnsi="Times New Roman"/>
          <w:color w:val="595959" w:themeColor="text1" w:themeTint="A6"/>
        </w:rPr>
      </w:pPr>
      <w:r w:rsidRPr="007F669E">
        <w:rPr>
          <w:rFonts w:ascii="Times New Roman" w:hAnsi="Times New Roman"/>
          <w:color w:val="595959" w:themeColor="text1" w:themeTint="A6"/>
        </w:rPr>
        <w:t xml:space="preserve">Veiksmų programos įgyvendinimui artėjant į pabaigą, galimiems sutaupymams ir netinkamoms išlaidoms kompensuoti ministerijoms sudaryta 185 mln. eurų ES lėšų </w:t>
      </w:r>
      <w:proofErr w:type="spellStart"/>
      <w:r w:rsidRPr="007F669E">
        <w:rPr>
          <w:rFonts w:ascii="Times New Roman" w:hAnsi="Times New Roman"/>
          <w:color w:val="595959" w:themeColor="text1" w:themeTint="A6"/>
        </w:rPr>
        <w:t>virškontraktavimo</w:t>
      </w:r>
      <w:proofErr w:type="spellEnd"/>
      <w:r w:rsidRPr="007F669E">
        <w:rPr>
          <w:rFonts w:ascii="Times New Roman" w:hAnsi="Times New Roman"/>
          <w:color w:val="595959" w:themeColor="text1" w:themeTint="A6"/>
        </w:rPr>
        <w:t xml:space="preserve"> galimybė. Taip pat beveik 500 mln. eurų ES lėšų papildomas </w:t>
      </w:r>
      <w:proofErr w:type="spellStart"/>
      <w:r w:rsidRPr="007F669E">
        <w:rPr>
          <w:rFonts w:ascii="Times New Roman" w:hAnsi="Times New Roman"/>
          <w:color w:val="595959" w:themeColor="text1" w:themeTint="A6"/>
        </w:rPr>
        <w:t>virškontraktavimas</w:t>
      </w:r>
      <w:proofErr w:type="spellEnd"/>
      <w:r w:rsidRPr="007F669E">
        <w:rPr>
          <w:rFonts w:ascii="Times New Roman" w:hAnsi="Times New Roman"/>
          <w:color w:val="595959" w:themeColor="text1" w:themeTint="A6"/>
        </w:rPr>
        <w:t xml:space="preserve"> numatytas Ateit</w:t>
      </w:r>
      <w:r>
        <w:rPr>
          <w:rFonts w:ascii="Times New Roman" w:hAnsi="Times New Roman"/>
          <w:color w:val="595959" w:themeColor="text1" w:themeTint="A6"/>
        </w:rPr>
        <w:t>ies ekonomikos DNR plano veiksmams įgyvendinti</w:t>
      </w:r>
      <w:r w:rsidRPr="007F669E">
        <w:rPr>
          <w:rFonts w:ascii="Times New Roman" w:hAnsi="Times New Roman"/>
          <w:color w:val="595959" w:themeColor="text1" w:themeTint="A6"/>
        </w:rPr>
        <w:t>. Įvertinus visą planuojamų pasirašyti sutarčių apimtį, projektams dar nepaskirstyta ES lėšų suma sudaro 1,3 mlrd. eurų.</w:t>
      </w:r>
    </w:p>
    <w:p w:rsidR="007F669E" w:rsidRDefault="007F669E" w:rsidP="00790870">
      <w:pPr>
        <w:pStyle w:val="tekstas"/>
        <w:spacing w:line="276" w:lineRule="auto"/>
        <w:rPr>
          <w:rFonts w:ascii="Times New Roman" w:hAnsi="Times New Roman"/>
          <w:color w:val="595959" w:themeColor="text1" w:themeTint="A6"/>
        </w:rPr>
      </w:pPr>
      <w:r w:rsidRPr="007F669E">
        <w:rPr>
          <w:rFonts w:ascii="Times New Roman" w:hAnsi="Times New Roman"/>
          <w:color w:val="595959" w:themeColor="text1" w:themeTint="A6"/>
        </w:rPr>
        <w:t>III ke</w:t>
      </w:r>
      <w:r>
        <w:rPr>
          <w:rFonts w:ascii="Times New Roman" w:hAnsi="Times New Roman"/>
          <w:color w:val="595959" w:themeColor="text1" w:themeTint="A6"/>
        </w:rPr>
        <w:t>tvirtį buvo stebimas investicijų spartos lėtėjimas</w:t>
      </w:r>
      <w:r w:rsidRPr="007F669E">
        <w:rPr>
          <w:rFonts w:ascii="Times New Roman" w:hAnsi="Times New Roman"/>
          <w:color w:val="595959" w:themeColor="text1" w:themeTint="A6"/>
        </w:rPr>
        <w:t xml:space="preserve">: nuo 159 mln. eurų ES lėšų liepos mėnesį iki 54 mln. eurų rugsėjo mėnesį. Š. m. rugsėjo investicijos buvo </w:t>
      </w:r>
      <w:r w:rsidR="002E6DDB">
        <w:rPr>
          <w:rFonts w:ascii="Times New Roman" w:hAnsi="Times New Roman"/>
          <w:color w:val="595959" w:themeColor="text1" w:themeTint="A6"/>
        </w:rPr>
        <w:t>mažesnės</w:t>
      </w:r>
      <w:r w:rsidR="002E6DDB" w:rsidRPr="007F669E">
        <w:rPr>
          <w:rFonts w:ascii="Times New Roman" w:hAnsi="Times New Roman"/>
          <w:color w:val="595959" w:themeColor="text1" w:themeTint="A6"/>
        </w:rPr>
        <w:t xml:space="preserve"> </w:t>
      </w:r>
      <w:r w:rsidRPr="007F669E">
        <w:rPr>
          <w:rFonts w:ascii="Times New Roman" w:hAnsi="Times New Roman"/>
          <w:color w:val="595959" w:themeColor="text1" w:themeTint="A6"/>
        </w:rPr>
        <w:t>lyginant su praėjusių dvejų metų to paties mėnesio investicijomis.</w:t>
      </w:r>
    </w:p>
    <w:p w:rsidR="00790870" w:rsidRPr="00790870" w:rsidRDefault="007F669E" w:rsidP="00790870">
      <w:pPr>
        <w:pStyle w:val="tekstas"/>
        <w:spacing w:line="276" w:lineRule="auto"/>
        <w:rPr>
          <w:rFonts w:ascii="Times New Roman" w:hAnsi="Times New Roman"/>
          <w:color w:val="595959" w:themeColor="text1" w:themeTint="A6"/>
        </w:rPr>
      </w:pPr>
      <w:r>
        <w:rPr>
          <w:rFonts w:ascii="Times New Roman" w:hAnsi="Times New Roman"/>
          <w:color w:val="595959" w:themeColor="text1" w:themeTint="A6"/>
        </w:rPr>
        <w:t>Taip pat, a</w:t>
      </w:r>
      <w:r w:rsidR="00790870" w:rsidRPr="00790870">
        <w:rPr>
          <w:rFonts w:ascii="Times New Roman" w:hAnsi="Times New Roman"/>
          <w:color w:val="595959" w:themeColor="text1" w:themeTint="A6"/>
        </w:rPr>
        <w:t>taskaitoje apžvelgiamas kiekvieno prioriteto įgyvendinimas, svarbesni įvykiai bei pateikiami siūlymai ministerijoms dėl įgyvendinimo ir investicijų spartinimo.</w:t>
      </w:r>
    </w:p>
    <w:p w:rsidR="00D86482" w:rsidRPr="00180DE1" w:rsidRDefault="00D86482" w:rsidP="00CC3206">
      <w:pPr>
        <w:pStyle w:val="tekstas"/>
        <w:spacing w:line="276" w:lineRule="auto"/>
        <w:rPr>
          <w:rFonts w:ascii="Times New Roman" w:hAnsi="Times New Roman"/>
          <w:color w:val="595959" w:themeColor="text1" w:themeTint="A6"/>
        </w:rPr>
      </w:pPr>
      <w:r w:rsidRPr="00180DE1">
        <w:rPr>
          <w:rFonts w:ascii="Times New Roman" w:hAnsi="Times New Roman"/>
          <w:color w:val="595959" w:themeColor="text1" w:themeTint="A6"/>
        </w:rPr>
        <w:br w:type="page"/>
      </w:r>
    </w:p>
    <w:p w:rsidR="00BC54FE" w:rsidRPr="0040787A" w:rsidRDefault="00BC54FE" w:rsidP="00BB6B89">
      <w:pPr>
        <w:pStyle w:val="Antrat1"/>
        <w:spacing w:before="0" w:after="0"/>
        <w:ind w:left="426"/>
        <w:rPr>
          <w:rFonts w:ascii="Times New Roman" w:hAnsi="Times New Roman" w:cs="Times New Roman"/>
        </w:rPr>
      </w:pPr>
      <w:bookmarkStart w:id="2" w:name="_Toc508103860"/>
      <w:bookmarkStart w:id="3" w:name="_Toc508106019"/>
      <w:bookmarkStart w:id="4" w:name="_Toc508103861"/>
      <w:bookmarkStart w:id="5" w:name="_Toc508106020"/>
      <w:bookmarkStart w:id="6" w:name="_Toc54258629"/>
      <w:bookmarkStart w:id="7" w:name="_Toc480280394"/>
      <w:bookmarkStart w:id="8" w:name="_Toc481668445"/>
      <w:bookmarkEnd w:id="2"/>
      <w:bookmarkEnd w:id="3"/>
      <w:bookmarkEnd w:id="4"/>
      <w:bookmarkEnd w:id="5"/>
      <w:r w:rsidRPr="0040787A">
        <w:rPr>
          <w:rFonts w:ascii="Times New Roman" w:hAnsi="Times New Roman" w:cs="Times New Roman"/>
        </w:rPr>
        <w:lastRenderedPageBreak/>
        <w:t xml:space="preserve">Bendra </w:t>
      </w:r>
      <w:r w:rsidR="003A66E5" w:rsidRPr="0040787A">
        <w:rPr>
          <w:rFonts w:ascii="Times New Roman" w:hAnsi="Times New Roman" w:cs="Times New Roman"/>
        </w:rPr>
        <w:t>Veiksmų programos</w:t>
      </w:r>
      <w:r w:rsidRPr="0040787A">
        <w:rPr>
          <w:rFonts w:ascii="Times New Roman" w:hAnsi="Times New Roman" w:cs="Times New Roman"/>
        </w:rPr>
        <w:t xml:space="preserve"> įgyvendinimo apžvalga</w:t>
      </w:r>
      <w:bookmarkEnd w:id="6"/>
    </w:p>
    <w:p w:rsidR="00913684" w:rsidRPr="009D738C" w:rsidRDefault="00913684" w:rsidP="00BC54FE">
      <w:pPr>
        <w:pStyle w:val="tekstas"/>
        <w:rPr>
          <w:rFonts w:ascii="Times New Roman" w:hAnsi="Times New Roman"/>
          <w:color w:val="595959" w:themeColor="text1" w:themeTint="A6"/>
          <w:lang w:eastAsia="lt-LT"/>
        </w:rPr>
      </w:pPr>
    </w:p>
    <w:p w:rsidR="00A31DD2" w:rsidRDefault="002E6DDB" w:rsidP="00A061E6">
      <w:pPr>
        <w:pStyle w:val="tekstas"/>
        <w:rPr>
          <w:rFonts w:ascii="Times New Roman" w:hAnsi="Times New Roman"/>
          <w:color w:val="595959" w:themeColor="text1" w:themeTint="A6"/>
          <w:lang w:eastAsia="lt-LT"/>
        </w:rPr>
      </w:pPr>
      <w:r w:rsidRPr="00A31DD2">
        <w:rPr>
          <w:rFonts w:ascii="Times New Roman" w:hAnsi="Times New Roman"/>
          <w:b/>
          <w:color w:val="595959" w:themeColor="text1" w:themeTint="A6"/>
          <w:lang w:eastAsia="lt-LT"/>
        </w:rPr>
        <w:t>ES lygmens duomenų stebėsena.</w:t>
      </w:r>
    </w:p>
    <w:p w:rsidR="00A061E6" w:rsidRPr="0013780C" w:rsidRDefault="00A061E6" w:rsidP="00A061E6">
      <w:pPr>
        <w:pStyle w:val="tekstas"/>
        <w:rPr>
          <w:rFonts w:ascii="Times New Roman" w:hAnsi="Times New Roman"/>
          <w:color w:val="595959" w:themeColor="text1" w:themeTint="A6"/>
          <w:lang w:eastAsia="lt-LT"/>
        </w:rPr>
      </w:pPr>
      <w:r w:rsidRPr="0013780C">
        <w:rPr>
          <w:rFonts w:ascii="Times New Roman" w:hAnsi="Times New Roman"/>
          <w:color w:val="595959" w:themeColor="text1" w:themeTint="A6"/>
          <w:lang w:eastAsia="lt-LT"/>
        </w:rPr>
        <w:t>Lietuva pagal ES išmokėtas Lietuvai lėšas (</w:t>
      </w:r>
      <w:r w:rsidR="00DB31F9" w:rsidRPr="0013780C">
        <w:rPr>
          <w:rFonts w:ascii="Times New Roman" w:hAnsi="Times New Roman"/>
          <w:color w:val="595959" w:themeColor="text1" w:themeTint="A6"/>
          <w:lang w:eastAsia="lt-LT"/>
        </w:rPr>
        <w:t>59</w:t>
      </w:r>
      <w:r w:rsidRPr="0013780C">
        <w:rPr>
          <w:rFonts w:ascii="Times New Roman" w:hAnsi="Times New Roman"/>
          <w:color w:val="595959" w:themeColor="text1" w:themeTint="A6"/>
          <w:lang w:eastAsia="lt-LT"/>
        </w:rPr>
        <w:t xml:space="preserve"> proc. </w:t>
      </w:r>
      <w:r w:rsidR="007329AF" w:rsidRPr="0013780C">
        <w:rPr>
          <w:rFonts w:ascii="Times New Roman" w:hAnsi="Times New Roman"/>
          <w:color w:val="595959" w:themeColor="text1" w:themeTint="A6"/>
          <w:lang w:eastAsia="lt-LT"/>
        </w:rPr>
        <w:t>nuo 2014–2020 m. Lietuvai skirto</w:t>
      </w:r>
      <w:r w:rsidRPr="0013780C">
        <w:rPr>
          <w:rFonts w:ascii="Times New Roman" w:hAnsi="Times New Roman"/>
          <w:color w:val="595959" w:themeColor="text1" w:themeTint="A6"/>
          <w:lang w:eastAsia="lt-LT"/>
        </w:rPr>
        <w:t xml:space="preserve"> finansavimo</w:t>
      </w:r>
      <w:r w:rsidR="002E6DDB">
        <w:rPr>
          <w:rFonts w:ascii="Times New Roman" w:hAnsi="Times New Roman"/>
          <w:color w:val="595959" w:themeColor="text1" w:themeTint="A6"/>
          <w:lang w:eastAsia="lt-LT"/>
        </w:rPr>
        <w:t>, įskaitant išmokėtą avansą</w:t>
      </w:r>
      <w:r w:rsidRPr="0013780C">
        <w:rPr>
          <w:rFonts w:ascii="Times New Roman" w:hAnsi="Times New Roman"/>
          <w:color w:val="595959" w:themeColor="text1" w:themeTint="A6"/>
          <w:lang w:eastAsia="lt-LT"/>
        </w:rPr>
        <w:t xml:space="preserve">) užima </w:t>
      </w:r>
      <w:r w:rsidR="00DB31F9" w:rsidRPr="0013780C">
        <w:rPr>
          <w:rFonts w:ascii="Times New Roman" w:hAnsi="Times New Roman"/>
          <w:color w:val="595959" w:themeColor="text1" w:themeTint="A6"/>
          <w:lang w:eastAsia="lt-LT"/>
        </w:rPr>
        <w:t>3</w:t>
      </w:r>
      <w:r w:rsidRPr="0013780C">
        <w:rPr>
          <w:rFonts w:ascii="Times New Roman" w:hAnsi="Times New Roman"/>
          <w:color w:val="595959" w:themeColor="text1" w:themeTint="A6"/>
          <w:lang w:eastAsia="lt-LT"/>
        </w:rPr>
        <w:t xml:space="preserve">-ąją vietą tarp visų šalių narių ir viršija ES vidurkį, kuris yra </w:t>
      </w:r>
      <w:r w:rsidR="00DB31F9" w:rsidRPr="0013780C">
        <w:rPr>
          <w:rFonts w:ascii="Times New Roman" w:hAnsi="Times New Roman"/>
          <w:color w:val="595959" w:themeColor="text1" w:themeTint="A6"/>
          <w:lang w:eastAsia="lt-LT"/>
        </w:rPr>
        <w:t>47</w:t>
      </w:r>
      <w:r w:rsidRPr="0013780C">
        <w:rPr>
          <w:rFonts w:ascii="Times New Roman" w:hAnsi="Times New Roman"/>
          <w:color w:val="595959" w:themeColor="text1" w:themeTint="A6"/>
          <w:lang w:eastAsia="lt-LT"/>
        </w:rPr>
        <w:t xml:space="preserve"> proc. (1 grafikas).</w:t>
      </w:r>
    </w:p>
    <w:p w:rsidR="00A061E6" w:rsidRPr="0013780C" w:rsidRDefault="00A061E6" w:rsidP="00A061E6">
      <w:pPr>
        <w:pStyle w:val="tekstas"/>
        <w:rPr>
          <w:rFonts w:ascii="Times New Roman" w:hAnsi="Times New Roman"/>
          <w:color w:val="595959" w:themeColor="text1" w:themeTint="A6"/>
          <w:lang w:eastAsia="lt-LT"/>
        </w:rPr>
      </w:pPr>
    </w:p>
    <w:p w:rsidR="00A061E6" w:rsidRPr="00A061E6" w:rsidRDefault="00A061E6" w:rsidP="00A061E6">
      <w:pPr>
        <w:pStyle w:val="tekstas"/>
        <w:jc w:val="center"/>
        <w:rPr>
          <w:rFonts w:ascii="Times New Roman" w:eastAsia="Calibri" w:hAnsi="Times New Roman"/>
          <w:b/>
          <w:bCs/>
          <w:color w:val="365F91" w:themeColor="accent1" w:themeShade="BF"/>
          <w:sz w:val="22"/>
          <w:szCs w:val="22"/>
        </w:rPr>
      </w:pPr>
      <w:r w:rsidRPr="00A061E6">
        <w:rPr>
          <w:rFonts w:ascii="Times New Roman" w:eastAsia="Calibri" w:hAnsi="Times New Roman"/>
          <w:b/>
          <w:bCs/>
          <w:color w:val="365F91" w:themeColor="accent1" w:themeShade="BF"/>
          <w:sz w:val="22"/>
          <w:szCs w:val="22"/>
        </w:rPr>
        <w:t>1 grafikas. E</w:t>
      </w:r>
      <w:r>
        <w:rPr>
          <w:rFonts w:ascii="Times New Roman" w:eastAsia="Calibri" w:hAnsi="Times New Roman"/>
          <w:b/>
          <w:bCs/>
          <w:color w:val="365F91" w:themeColor="accent1" w:themeShade="BF"/>
          <w:sz w:val="22"/>
          <w:szCs w:val="22"/>
        </w:rPr>
        <w:t>S išmokėjimai valstybėms narėms</w:t>
      </w:r>
      <w:r w:rsidR="00DB31F9">
        <w:rPr>
          <w:rFonts w:ascii="Times New Roman" w:eastAsia="Calibri" w:hAnsi="Times New Roman"/>
          <w:b/>
          <w:bCs/>
          <w:color w:val="365F91" w:themeColor="accent1" w:themeShade="BF"/>
          <w:sz w:val="22"/>
          <w:szCs w:val="22"/>
        </w:rPr>
        <w:t xml:space="preserve"> </w:t>
      </w:r>
      <w:r w:rsidRPr="00A061E6">
        <w:rPr>
          <w:rFonts w:ascii="Times New Roman" w:eastAsia="Calibri" w:hAnsi="Times New Roman"/>
          <w:b/>
          <w:bCs/>
          <w:color w:val="365F91" w:themeColor="accent1" w:themeShade="BF"/>
          <w:sz w:val="22"/>
          <w:szCs w:val="22"/>
        </w:rPr>
        <w:t xml:space="preserve">(proc. </w:t>
      </w:r>
      <w:r>
        <w:rPr>
          <w:rFonts w:ascii="Times New Roman" w:eastAsia="Calibri" w:hAnsi="Times New Roman"/>
          <w:b/>
          <w:bCs/>
          <w:color w:val="365F91" w:themeColor="accent1" w:themeShade="BF"/>
          <w:sz w:val="22"/>
          <w:szCs w:val="22"/>
        </w:rPr>
        <w:t xml:space="preserve">nuo valstybei narei skirtų </w:t>
      </w:r>
      <w:r w:rsidR="00DB31F9">
        <w:rPr>
          <w:rFonts w:ascii="Times New Roman" w:eastAsia="Calibri" w:hAnsi="Times New Roman"/>
          <w:b/>
          <w:bCs/>
          <w:color w:val="365F91" w:themeColor="accent1" w:themeShade="BF"/>
          <w:sz w:val="22"/>
          <w:szCs w:val="22"/>
        </w:rPr>
        <w:t xml:space="preserve">ES </w:t>
      </w:r>
      <w:r>
        <w:rPr>
          <w:rFonts w:ascii="Times New Roman" w:eastAsia="Calibri" w:hAnsi="Times New Roman"/>
          <w:b/>
          <w:bCs/>
          <w:color w:val="365F91" w:themeColor="accent1" w:themeShade="BF"/>
          <w:sz w:val="22"/>
          <w:szCs w:val="22"/>
        </w:rPr>
        <w:t>lėšų, 2020</w:t>
      </w:r>
      <w:r w:rsidRPr="00A061E6">
        <w:rPr>
          <w:rFonts w:ascii="Times New Roman" w:eastAsia="Calibri" w:hAnsi="Times New Roman"/>
          <w:b/>
          <w:bCs/>
          <w:color w:val="365F91" w:themeColor="accent1" w:themeShade="BF"/>
          <w:sz w:val="22"/>
          <w:szCs w:val="22"/>
        </w:rPr>
        <w:t xml:space="preserve"> m. </w:t>
      </w:r>
      <w:r>
        <w:rPr>
          <w:rFonts w:ascii="Times New Roman" w:eastAsia="Calibri" w:hAnsi="Times New Roman"/>
          <w:b/>
          <w:bCs/>
          <w:color w:val="365F91" w:themeColor="accent1" w:themeShade="BF"/>
          <w:sz w:val="22"/>
          <w:szCs w:val="22"/>
        </w:rPr>
        <w:t>spalio 14</w:t>
      </w:r>
      <w:r w:rsidRPr="00A061E6">
        <w:rPr>
          <w:rFonts w:ascii="Times New Roman" w:eastAsia="Calibri" w:hAnsi="Times New Roman"/>
          <w:b/>
          <w:bCs/>
          <w:color w:val="365F91" w:themeColor="accent1" w:themeShade="BF"/>
          <w:sz w:val="22"/>
          <w:szCs w:val="22"/>
        </w:rPr>
        <w:t xml:space="preserve"> d.</w:t>
      </w:r>
      <w:r>
        <w:rPr>
          <w:rFonts w:ascii="Times New Roman" w:eastAsia="Calibri" w:hAnsi="Times New Roman"/>
          <w:b/>
          <w:bCs/>
          <w:color w:val="365F91" w:themeColor="accent1" w:themeShade="BF"/>
          <w:sz w:val="22"/>
          <w:szCs w:val="22"/>
        </w:rPr>
        <w:t xml:space="preserve"> duomenys)</w:t>
      </w:r>
    </w:p>
    <w:p w:rsidR="00A061E6" w:rsidRPr="00A061E6" w:rsidRDefault="00A061E6" w:rsidP="00A061E6">
      <w:pPr>
        <w:pStyle w:val="tekstas"/>
        <w:ind w:firstLine="0"/>
        <w:jc w:val="center"/>
        <w:rPr>
          <w:rFonts w:ascii="Times New Roman" w:eastAsia="Calibri" w:hAnsi="Times New Roman"/>
          <w:b/>
          <w:bCs/>
          <w:color w:val="365F91" w:themeColor="accent1" w:themeShade="BF"/>
          <w:sz w:val="16"/>
          <w:szCs w:val="16"/>
        </w:rPr>
      </w:pPr>
    </w:p>
    <w:p w:rsidR="00A061E6" w:rsidRDefault="00A061E6" w:rsidP="00F96E4E">
      <w:pPr>
        <w:pStyle w:val="tekstas"/>
        <w:ind w:firstLine="0"/>
        <w:rPr>
          <w:rFonts w:ascii="Times New Roman" w:hAnsi="Times New Roman"/>
          <w:color w:val="595959" w:themeColor="text1" w:themeTint="A6"/>
          <w:lang w:eastAsia="lt-LT"/>
        </w:rPr>
      </w:pPr>
      <w:r>
        <w:rPr>
          <w:noProof/>
          <w:lang w:eastAsia="lt-LT"/>
        </w:rPr>
        <w:drawing>
          <wp:inline distT="0" distB="0" distL="0" distR="0" wp14:anchorId="1340004E" wp14:editId="195872A6">
            <wp:extent cx="6057900" cy="2743200"/>
            <wp:effectExtent l="0" t="0" r="19050" b="19050"/>
            <wp:docPr id="6"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061E6" w:rsidRPr="00DB31F9" w:rsidRDefault="00DB31F9" w:rsidP="00DB31F9">
      <w:pPr>
        <w:pStyle w:val="tekstas"/>
        <w:ind w:firstLine="0"/>
        <w:jc w:val="center"/>
        <w:rPr>
          <w:rFonts w:ascii="Times New Roman" w:eastAsia="Calibri" w:hAnsi="Times New Roman"/>
          <w:bCs/>
          <w:color w:val="7F7F7F" w:themeColor="text1" w:themeTint="80"/>
          <w:sz w:val="20"/>
          <w:lang w:eastAsia="lt-LT"/>
        </w:rPr>
      </w:pPr>
      <w:r w:rsidRPr="00DB31F9">
        <w:rPr>
          <w:rFonts w:ascii="Times New Roman" w:eastAsia="Calibri" w:hAnsi="Times New Roman"/>
          <w:bCs/>
          <w:color w:val="7F7F7F" w:themeColor="text1" w:themeTint="80"/>
          <w:sz w:val="20"/>
          <w:lang w:eastAsia="lt-LT"/>
        </w:rPr>
        <w:t xml:space="preserve">Šaltinis: </w:t>
      </w:r>
      <w:proofErr w:type="spellStart"/>
      <w:r w:rsidRPr="00DB31F9">
        <w:rPr>
          <w:rFonts w:ascii="Times New Roman" w:eastAsia="Calibri" w:hAnsi="Times New Roman"/>
          <w:bCs/>
          <w:color w:val="7F7F7F" w:themeColor="text1" w:themeTint="80"/>
          <w:sz w:val="20"/>
          <w:lang w:eastAsia="lt-LT"/>
        </w:rPr>
        <w:t>Info</w:t>
      </w:r>
      <w:proofErr w:type="spellEnd"/>
      <w:r w:rsidRPr="00DB31F9">
        <w:rPr>
          <w:rFonts w:ascii="Times New Roman" w:eastAsia="Calibri" w:hAnsi="Times New Roman"/>
          <w:bCs/>
          <w:color w:val="7F7F7F" w:themeColor="text1" w:themeTint="80"/>
          <w:sz w:val="20"/>
          <w:lang w:eastAsia="lt-LT"/>
        </w:rPr>
        <w:t xml:space="preserve"> </w:t>
      </w:r>
      <w:proofErr w:type="spellStart"/>
      <w:r w:rsidRPr="00DB31F9">
        <w:rPr>
          <w:rFonts w:ascii="Times New Roman" w:eastAsia="Calibri" w:hAnsi="Times New Roman"/>
          <w:bCs/>
          <w:color w:val="7F7F7F" w:themeColor="text1" w:themeTint="80"/>
          <w:sz w:val="20"/>
          <w:lang w:eastAsia="lt-LT"/>
        </w:rPr>
        <w:t>Regio</w:t>
      </w:r>
      <w:proofErr w:type="spellEnd"/>
      <w:r w:rsidRPr="00DB31F9">
        <w:rPr>
          <w:rFonts w:ascii="Times New Roman" w:eastAsia="Calibri" w:hAnsi="Times New Roman"/>
          <w:bCs/>
          <w:color w:val="7F7F7F" w:themeColor="text1" w:themeTint="80"/>
          <w:sz w:val="20"/>
          <w:lang w:eastAsia="lt-LT"/>
        </w:rPr>
        <w:t xml:space="preserve">, </w:t>
      </w:r>
      <w:proofErr w:type="spellStart"/>
      <w:r w:rsidRPr="00DB31F9">
        <w:rPr>
          <w:rFonts w:ascii="Times New Roman" w:eastAsia="Calibri" w:hAnsi="Times New Roman"/>
          <w:bCs/>
          <w:color w:val="7F7F7F" w:themeColor="text1" w:themeTint="80"/>
          <w:sz w:val="20"/>
          <w:lang w:eastAsia="lt-LT"/>
        </w:rPr>
        <w:t>Open</w:t>
      </w:r>
      <w:proofErr w:type="spellEnd"/>
      <w:r w:rsidRPr="00DB31F9">
        <w:rPr>
          <w:rFonts w:ascii="Times New Roman" w:eastAsia="Calibri" w:hAnsi="Times New Roman"/>
          <w:bCs/>
          <w:color w:val="7F7F7F" w:themeColor="text1" w:themeTint="80"/>
          <w:sz w:val="20"/>
          <w:lang w:eastAsia="lt-LT"/>
        </w:rPr>
        <w:t xml:space="preserve"> Data platforma.</w:t>
      </w:r>
    </w:p>
    <w:p w:rsidR="00C64BA0" w:rsidRPr="0013780C" w:rsidRDefault="00C64BA0" w:rsidP="00F96E4E">
      <w:pPr>
        <w:pStyle w:val="tekstas"/>
        <w:ind w:firstLine="0"/>
        <w:rPr>
          <w:rFonts w:ascii="Times New Roman" w:hAnsi="Times New Roman"/>
          <w:color w:val="595959" w:themeColor="text1" w:themeTint="A6"/>
          <w:lang w:eastAsia="lt-LT"/>
        </w:rPr>
      </w:pPr>
    </w:p>
    <w:p w:rsidR="00C87C25" w:rsidRPr="0013780C" w:rsidRDefault="00F62EC4" w:rsidP="00C87C25">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 xml:space="preserve">Pagal projektams paskirstytas lėšas </w:t>
      </w:r>
      <w:r w:rsidRPr="0013780C">
        <w:rPr>
          <w:rFonts w:ascii="Times New Roman" w:hAnsi="Times New Roman"/>
          <w:color w:val="595959" w:themeColor="text1" w:themeTint="A6"/>
          <w:lang w:eastAsia="lt-LT"/>
        </w:rPr>
        <w:t>(vertinamas ES ir nacionalinių lėšų bendras finansavimas)</w:t>
      </w:r>
      <w:r>
        <w:rPr>
          <w:rFonts w:ascii="Times New Roman" w:hAnsi="Times New Roman"/>
          <w:color w:val="595959" w:themeColor="text1" w:themeTint="A6"/>
          <w:lang w:eastAsia="lt-LT"/>
        </w:rPr>
        <w:t xml:space="preserve"> Lietuva </w:t>
      </w:r>
      <w:r w:rsidRPr="0013780C">
        <w:rPr>
          <w:rFonts w:ascii="Times New Roman" w:hAnsi="Times New Roman"/>
          <w:color w:val="595959" w:themeColor="text1" w:themeTint="A6"/>
          <w:lang w:eastAsia="lt-LT"/>
        </w:rPr>
        <w:t>projektams y</w:t>
      </w:r>
      <w:r>
        <w:rPr>
          <w:rFonts w:ascii="Times New Roman" w:hAnsi="Times New Roman"/>
          <w:color w:val="595959" w:themeColor="text1" w:themeTint="A6"/>
          <w:lang w:eastAsia="lt-LT"/>
        </w:rPr>
        <w:t xml:space="preserve">ra paskirsčiusi visą (100 proc.) </w:t>
      </w:r>
      <w:r w:rsidRPr="0013780C">
        <w:rPr>
          <w:rFonts w:ascii="Times New Roman" w:hAnsi="Times New Roman"/>
          <w:color w:val="595959" w:themeColor="text1" w:themeTint="A6"/>
          <w:lang w:eastAsia="lt-LT"/>
        </w:rPr>
        <w:t>Veiksmų programoje numatytą finansavimą</w:t>
      </w:r>
      <w:r>
        <w:rPr>
          <w:rFonts w:ascii="Times New Roman" w:hAnsi="Times New Roman"/>
          <w:color w:val="595959" w:themeColor="text1" w:themeTint="A6"/>
          <w:lang w:eastAsia="lt-LT"/>
        </w:rPr>
        <w:t xml:space="preserve"> ir yra 12 vietoje.</w:t>
      </w:r>
      <w:r w:rsidR="00C87C25" w:rsidRPr="0013780C">
        <w:rPr>
          <w:rFonts w:ascii="Times New Roman" w:hAnsi="Times New Roman"/>
          <w:color w:val="595959" w:themeColor="text1" w:themeTint="A6"/>
          <w:lang w:eastAsia="lt-LT"/>
        </w:rPr>
        <w:t xml:space="preserve"> (2 grafikas).</w:t>
      </w:r>
    </w:p>
    <w:p w:rsidR="00C87C25" w:rsidRPr="0013780C" w:rsidRDefault="00C87C25" w:rsidP="00C87C25">
      <w:pPr>
        <w:pStyle w:val="tekstas"/>
        <w:rPr>
          <w:rFonts w:ascii="Times New Roman" w:hAnsi="Times New Roman"/>
          <w:color w:val="595959" w:themeColor="text1" w:themeTint="A6"/>
          <w:lang w:eastAsia="lt-LT"/>
        </w:rPr>
      </w:pPr>
      <w:r w:rsidRPr="0013780C">
        <w:rPr>
          <w:rFonts w:ascii="Times New Roman" w:hAnsi="Times New Roman"/>
          <w:color w:val="595959" w:themeColor="text1" w:themeTint="A6"/>
          <w:lang w:eastAsia="lt-LT"/>
        </w:rPr>
        <w:t xml:space="preserve">Atsižvelgiant į artėjantį Veiksmų programos uždarymą ir </w:t>
      </w:r>
      <w:r w:rsidR="007329AF" w:rsidRPr="0013780C">
        <w:rPr>
          <w:rFonts w:ascii="Times New Roman" w:hAnsi="Times New Roman"/>
          <w:color w:val="595959" w:themeColor="text1" w:themeTint="A6"/>
          <w:lang w:eastAsia="lt-LT"/>
        </w:rPr>
        <w:t xml:space="preserve">poreikį kompensuoti </w:t>
      </w:r>
      <w:r w:rsidRPr="0013780C">
        <w:rPr>
          <w:rFonts w:ascii="Times New Roman" w:hAnsi="Times New Roman"/>
          <w:color w:val="595959" w:themeColor="text1" w:themeTint="A6"/>
          <w:lang w:eastAsia="lt-LT"/>
        </w:rPr>
        <w:t>galimus sutaupymus bei netinkamas išlaidas</w:t>
      </w:r>
      <w:r w:rsidR="007329AF" w:rsidRPr="0013780C">
        <w:rPr>
          <w:rFonts w:ascii="Times New Roman" w:hAnsi="Times New Roman"/>
          <w:color w:val="595959" w:themeColor="text1" w:themeTint="A6"/>
          <w:lang w:eastAsia="lt-LT"/>
        </w:rPr>
        <w:t>,</w:t>
      </w:r>
      <w:r w:rsidRPr="0013780C">
        <w:rPr>
          <w:rFonts w:ascii="Times New Roman" w:hAnsi="Times New Roman"/>
          <w:color w:val="595959" w:themeColor="text1" w:themeTint="A6"/>
          <w:lang w:eastAsia="lt-LT"/>
        </w:rPr>
        <w:t xml:space="preserve"> 11 šalių jau yra </w:t>
      </w:r>
      <w:proofErr w:type="spellStart"/>
      <w:r w:rsidRPr="0013780C">
        <w:rPr>
          <w:rFonts w:ascii="Times New Roman" w:hAnsi="Times New Roman"/>
          <w:color w:val="595959" w:themeColor="text1" w:themeTint="A6"/>
          <w:lang w:eastAsia="lt-LT"/>
        </w:rPr>
        <w:t>virškontraktavusios</w:t>
      </w:r>
      <w:proofErr w:type="spellEnd"/>
      <w:r w:rsidRPr="0013780C">
        <w:rPr>
          <w:rFonts w:ascii="Times New Roman" w:hAnsi="Times New Roman"/>
          <w:color w:val="595959" w:themeColor="text1" w:themeTint="A6"/>
          <w:lang w:eastAsia="lt-LT"/>
        </w:rPr>
        <w:t xml:space="preserve"> iki 20 proc. numatytų lėšų. </w:t>
      </w: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C87C25" w:rsidRPr="0013780C" w:rsidRDefault="00C87C25" w:rsidP="00F96E4E">
      <w:pPr>
        <w:pStyle w:val="tekstas"/>
        <w:ind w:firstLine="0"/>
        <w:rPr>
          <w:rFonts w:ascii="Times New Roman" w:hAnsi="Times New Roman"/>
          <w:color w:val="595959" w:themeColor="text1" w:themeTint="A6"/>
          <w:lang w:eastAsia="lt-LT"/>
        </w:rPr>
      </w:pPr>
    </w:p>
    <w:p w:rsidR="00DB31F9" w:rsidRPr="00A061E6" w:rsidRDefault="00DB31F9" w:rsidP="00DB31F9">
      <w:pPr>
        <w:pStyle w:val="tekstas"/>
        <w:jc w:val="center"/>
        <w:rPr>
          <w:rFonts w:ascii="Times New Roman" w:eastAsia="Calibri" w:hAnsi="Times New Roman"/>
          <w:b/>
          <w:bCs/>
          <w:color w:val="365F91" w:themeColor="accent1" w:themeShade="BF"/>
          <w:sz w:val="22"/>
          <w:szCs w:val="22"/>
        </w:rPr>
      </w:pPr>
      <w:r>
        <w:rPr>
          <w:rFonts w:ascii="Times New Roman" w:eastAsia="Calibri" w:hAnsi="Times New Roman"/>
          <w:b/>
          <w:bCs/>
          <w:color w:val="365F91" w:themeColor="accent1" w:themeShade="BF"/>
          <w:sz w:val="22"/>
          <w:szCs w:val="22"/>
        </w:rPr>
        <w:t>2</w:t>
      </w:r>
      <w:r w:rsidRPr="00A061E6">
        <w:rPr>
          <w:rFonts w:ascii="Times New Roman" w:eastAsia="Calibri" w:hAnsi="Times New Roman"/>
          <w:b/>
          <w:bCs/>
          <w:color w:val="365F91" w:themeColor="accent1" w:themeShade="BF"/>
          <w:sz w:val="22"/>
          <w:szCs w:val="22"/>
        </w:rPr>
        <w:t xml:space="preserve"> grafikas. </w:t>
      </w:r>
      <w:r>
        <w:rPr>
          <w:rFonts w:ascii="Times New Roman" w:eastAsia="Calibri" w:hAnsi="Times New Roman"/>
          <w:b/>
          <w:bCs/>
          <w:color w:val="365F91" w:themeColor="accent1" w:themeShade="BF"/>
          <w:sz w:val="22"/>
          <w:szCs w:val="22"/>
        </w:rPr>
        <w:t xml:space="preserve">Valstybių narių veiksmų programų įgyvendinimas </w:t>
      </w:r>
      <w:r w:rsidRPr="00A061E6">
        <w:rPr>
          <w:rFonts w:ascii="Times New Roman" w:eastAsia="Calibri" w:hAnsi="Times New Roman"/>
          <w:b/>
          <w:bCs/>
          <w:color w:val="365F91" w:themeColor="accent1" w:themeShade="BF"/>
          <w:sz w:val="22"/>
          <w:szCs w:val="22"/>
        </w:rPr>
        <w:t xml:space="preserve">(proc. </w:t>
      </w:r>
      <w:r>
        <w:rPr>
          <w:rFonts w:ascii="Times New Roman" w:eastAsia="Calibri" w:hAnsi="Times New Roman"/>
          <w:b/>
          <w:bCs/>
          <w:color w:val="365F91" w:themeColor="accent1" w:themeShade="BF"/>
          <w:sz w:val="22"/>
          <w:szCs w:val="22"/>
        </w:rPr>
        <w:t xml:space="preserve">nuo valstybių narių veiksmų programose numatyto </w:t>
      </w:r>
      <w:r w:rsidR="002B02A4">
        <w:rPr>
          <w:rFonts w:ascii="Times New Roman" w:eastAsia="Calibri" w:hAnsi="Times New Roman"/>
          <w:b/>
          <w:bCs/>
          <w:color w:val="365F91" w:themeColor="accent1" w:themeShade="BF"/>
          <w:sz w:val="22"/>
          <w:szCs w:val="22"/>
        </w:rPr>
        <w:t xml:space="preserve">viso </w:t>
      </w:r>
      <w:r>
        <w:rPr>
          <w:rFonts w:ascii="Times New Roman" w:eastAsia="Calibri" w:hAnsi="Times New Roman"/>
          <w:b/>
          <w:bCs/>
          <w:color w:val="365F91" w:themeColor="accent1" w:themeShade="BF"/>
          <w:sz w:val="22"/>
          <w:szCs w:val="22"/>
        </w:rPr>
        <w:t>finansavimo, 2020</w:t>
      </w:r>
      <w:r w:rsidRPr="00A061E6">
        <w:rPr>
          <w:rFonts w:ascii="Times New Roman" w:eastAsia="Calibri" w:hAnsi="Times New Roman"/>
          <w:b/>
          <w:bCs/>
          <w:color w:val="365F91" w:themeColor="accent1" w:themeShade="BF"/>
          <w:sz w:val="22"/>
          <w:szCs w:val="22"/>
        </w:rPr>
        <w:t xml:space="preserve"> m. </w:t>
      </w:r>
      <w:r>
        <w:rPr>
          <w:rFonts w:ascii="Times New Roman" w:eastAsia="Calibri" w:hAnsi="Times New Roman"/>
          <w:b/>
          <w:bCs/>
          <w:color w:val="365F91" w:themeColor="accent1" w:themeShade="BF"/>
          <w:sz w:val="22"/>
          <w:szCs w:val="22"/>
        </w:rPr>
        <w:t>spalio 14</w:t>
      </w:r>
      <w:r w:rsidRPr="00A061E6">
        <w:rPr>
          <w:rFonts w:ascii="Times New Roman" w:eastAsia="Calibri" w:hAnsi="Times New Roman"/>
          <w:b/>
          <w:bCs/>
          <w:color w:val="365F91" w:themeColor="accent1" w:themeShade="BF"/>
          <w:sz w:val="22"/>
          <w:szCs w:val="22"/>
        </w:rPr>
        <w:t xml:space="preserve"> d.</w:t>
      </w:r>
      <w:r>
        <w:rPr>
          <w:rFonts w:ascii="Times New Roman" w:eastAsia="Calibri" w:hAnsi="Times New Roman"/>
          <w:b/>
          <w:bCs/>
          <w:color w:val="365F91" w:themeColor="accent1" w:themeShade="BF"/>
          <w:sz w:val="22"/>
          <w:szCs w:val="22"/>
        </w:rPr>
        <w:t xml:space="preserve"> duomenys)</w:t>
      </w:r>
    </w:p>
    <w:p w:rsidR="00DB31F9" w:rsidRPr="00C87C25" w:rsidRDefault="00DB31F9" w:rsidP="00F96E4E">
      <w:pPr>
        <w:pStyle w:val="tekstas"/>
        <w:ind w:firstLine="0"/>
        <w:rPr>
          <w:rFonts w:ascii="Times New Roman" w:hAnsi="Times New Roman"/>
          <w:color w:val="595959" w:themeColor="text1" w:themeTint="A6"/>
          <w:sz w:val="16"/>
          <w:szCs w:val="16"/>
          <w:lang w:eastAsia="lt-LT"/>
        </w:rPr>
      </w:pPr>
    </w:p>
    <w:p w:rsidR="00DB31F9" w:rsidRDefault="00DB31F9" w:rsidP="00F96E4E">
      <w:pPr>
        <w:pStyle w:val="tekstas"/>
        <w:ind w:firstLine="0"/>
        <w:rPr>
          <w:rFonts w:ascii="Times New Roman" w:hAnsi="Times New Roman"/>
          <w:color w:val="595959" w:themeColor="text1" w:themeTint="A6"/>
          <w:lang w:eastAsia="lt-LT"/>
        </w:rPr>
      </w:pPr>
      <w:r>
        <w:rPr>
          <w:noProof/>
          <w:lang w:eastAsia="lt-LT"/>
        </w:rPr>
        <w:drawing>
          <wp:inline distT="0" distB="0" distL="0" distR="0" wp14:anchorId="71331AA0" wp14:editId="50916189">
            <wp:extent cx="6124575" cy="5162550"/>
            <wp:effectExtent l="0" t="0" r="9525" b="19050"/>
            <wp:docPr id="391" name="Diagrama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B02A4" w:rsidRPr="00DB31F9" w:rsidRDefault="002B02A4" w:rsidP="002B02A4">
      <w:pPr>
        <w:pStyle w:val="tekstas"/>
        <w:ind w:firstLine="0"/>
        <w:jc w:val="center"/>
        <w:rPr>
          <w:rFonts w:ascii="Times New Roman" w:eastAsia="Calibri" w:hAnsi="Times New Roman"/>
          <w:bCs/>
          <w:color w:val="7F7F7F" w:themeColor="text1" w:themeTint="80"/>
          <w:sz w:val="20"/>
          <w:lang w:eastAsia="lt-LT"/>
        </w:rPr>
      </w:pPr>
      <w:r w:rsidRPr="00DB31F9">
        <w:rPr>
          <w:rFonts w:ascii="Times New Roman" w:eastAsia="Calibri" w:hAnsi="Times New Roman"/>
          <w:bCs/>
          <w:color w:val="7F7F7F" w:themeColor="text1" w:themeTint="80"/>
          <w:sz w:val="20"/>
          <w:lang w:eastAsia="lt-LT"/>
        </w:rPr>
        <w:t xml:space="preserve">Šaltinis: </w:t>
      </w:r>
      <w:proofErr w:type="spellStart"/>
      <w:r>
        <w:rPr>
          <w:rFonts w:ascii="Times New Roman" w:eastAsia="Calibri" w:hAnsi="Times New Roman"/>
          <w:bCs/>
          <w:color w:val="7F7F7F" w:themeColor="text1" w:themeTint="80"/>
          <w:sz w:val="20"/>
          <w:lang w:eastAsia="lt-LT"/>
        </w:rPr>
        <w:t>Info</w:t>
      </w:r>
      <w:proofErr w:type="spellEnd"/>
      <w:r>
        <w:rPr>
          <w:rFonts w:ascii="Times New Roman" w:eastAsia="Calibri" w:hAnsi="Times New Roman"/>
          <w:bCs/>
          <w:color w:val="7F7F7F" w:themeColor="text1" w:themeTint="80"/>
          <w:sz w:val="20"/>
          <w:lang w:eastAsia="lt-LT"/>
        </w:rPr>
        <w:t xml:space="preserve"> </w:t>
      </w:r>
      <w:proofErr w:type="spellStart"/>
      <w:r>
        <w:rPr>
          <w:rFonts w:ascii="Times New Roman" w:eastAsia="Calibri" w:hAnsi="Times New Roman"/>
          <w:bCs/>
          <w:color w:val="7F7F7F" w:themeColor="text1" w:themeTint="80"/>
          <w:sz w:val="20"/>
          <w:lang w:eastAsia="lt-LT"/>
        </w:rPr>
        <w:t>Regio</w:t>
      </w:r>
      <w:proofErr w:type="spellEnd"/>
      <w:r>
        <w:rPr>
          <w:rFonts w:ascii="Times New Roman" w:eastAsia="Calibri" w:hAnsi="Times New Roman"/>
          <w:bCs/>
          <w:color w:val="7F7F7F" w:themeColor="text1" w:themeTint="80"/>
          <w:sz w:val="20"/>
          <w:lang w:eastAsia="lt-LT"/>
        </w:rPr>
        <w:t xml:space="preserve">, </w:t>
      </w:r>
      <w:proofErr w:type="spellStart"/>
      <w:r>
        <w:rPr>
          <w:rFonts w:ascii="Times New Roman" w:eastAsia="Calibri" w:hAnsi="Times New Roman"/>
          <w:bCs/>
          <w:color w:val="7F7F7F" w:themeColor="text1" w:themeTint="80"/>
          <w:sz w:val="20"/>
          <w:lang w:eastAsia="lt-LT"/>
        </w:rPr>
        <w:t>Open</w:t>
      </w:r>
      <w:proofErr w:type="spellEnd"/>
      <w:r>
        <w:rPr>
          <w:rFonts w:ascii="Times New Roman" w:eastAsia="Calibri" w:hAnsi="Times New Roman"/>
          <w:bCs/>
          <w:color w:val="7F7F7F" w:themeColor="text1" w:themeTint="80"/>
          <w:sz w:val="20"/>
          <w:lang w:eastAsia="lt-LT"/>
        </w:rPr>
        <w:t xml:space="preserve"> Data platforma.</w:t>
      </w:r>
    </w:p>
    <w:p w:rsidR="00C87C25" w:rsidRDefault="00C87C25" w:rsidP="00C87C25">
      <w:pPr>
        <w:pStyle w:val="tekstas"/>
        <w:rPr>
          <w:rFonts w:ascii="Times New Roman" w:hAnsi="Times New Roman"/>
          <w:color w:val="595959" w:themeColor="text1" w:themeTint="A6"/>
          <w:lang w:eastAsia="lt-LT"/>
        </w:rPr>
      </w:pPr>
    </w:p>
    <w:p w:rsidR="00A31DD2" w:rsidRDefault="002E6DDB" w:rsidP="00C87C25">
      <w:pPr>
        <w:pStyle w:val="tekstas"/>
        <w:rPr>
          <w:rFonts w:ascii="Times New Roman" w:hAnsi="Times New Roman"/>
          <w:color w:val="595959" w:themeColor="text1" w:themeTint="A6"/>
          <w:lang w:eastAsia="lt-LT"/>
        </w:rPr>
      </w:pPr>
      <w:r>
        <w:rPr>
          <w:rFonts w:ascii="Times New Roman" w:hAnsi="Times New Roman"/>
          <w:b/>
          <w:color w:val="595959" w:themeColor="text1" w:themeTint="A6"/>
          <w:lang w:eastAsia="lt-LT"/>
        </w:rPr>
        <w:t>Nacionalinio</w:t>
      </w:r>
      <w:r w:rsidRPr="00A31DD2">
        <w:rPr>
          <w:rFonts w:ascii="Times New Roman" w:hAnsi="Times New Roman"/>
          <w:b/>
          <w:color w:val="595959" w:themeColor="text1" w:themeTint="A6"/>
          <w:lang w:eastAsia="lt-LT"/>
        </w:rPr>
        <w:t xml:space="preserve"> lygmens duomenų stebėsena.</w:t>
      </w:r>
    </w:p>
    <w:p w:rsidR="00C87C25" w:rsidRPr="0013780C" w:rsidRDefault="00C87C25" w:rsidP="00C87C25">
      <w:pPr>
        <w:pStyle w:val="tekstas"/>
        <w:rPr>
          <w:rFonts w:ascii="Times New Roman" w:hAnsi="Times New Roman"/>
          <w:color w:val="595959" w:themeColor="text1" w:themeTint="A6"/>
          <w:lang w:eastAsia="lt-LT"/>
        </w:rPr>
      </w:pPr>
      <w:r w:rsidRPr="0013780C">
        <w:rPr>
          <w:rFonts w:ascii="Times New Roman" w:hAnsi="Times New Roman"/>
          <w:color w:val="595959" w:themeColor="text1" w:themeTint="A6"/>
          <w:lang w:eastAsia="lt-LT"/>
        </w:rPr>
        <w:t>Įgyvendinant 2014–2020 m. finansavimo laikotarpio ES fondų lėšomis finansuojamus p</w:t>
      </w:r>
      <w:r w:rsidR="00C503F4" w:rsidRPr="0013780C">
        <w:rPr>
          <w:rFonts w:ascii="Times New Roman" w:hAnsi="Times New Roman"/>
          <w:color w:val="595959" w:themeColor="text1" w:themeTint="A6"/>
          <w:lang w:eastAsia="lt-LT"/>
        </w:rPr>
        <w:t>rojektus, iš viso investuota 3,7 mlrd. eurų (55</w:t>
      </w:r>
      <w:r w:rsidRPr="0013780C">
        <w:rPr>
          <w:rFonts w:ascii="Times New Roman" w:hAnsi="Times New Roman"/>
          <w:color w:val="595959" w:themeColor="text1" w:themeTint="A6"/>
          <w:lang w:eastAsia="lt-LT"/>
        </w:rPr>
        <w:t xml:space="preserve"> proc.). Per 2020 metų II</w:t>
      </w:r>
      <w:r w:rsidR="00C503F4" w:rsidRPr="0013780C">
        <w:rPr>
          <w:rFonts w:ascii="Times New Roman" w:hAnsi="Times New Roman"/>
          <w:color w:val="595959" w:themeColor="text1" w:themeTint="A6"/>
          <w:lang w:eastAsia="lt-LT"/>
        </w:rPr>
        <w:t>I</w:t>
      </w:r>
      <w:r w:rsidRPr="0013780C">
        <w:rPr>
          <w:rFonts w:ascii="Times New Roman" w:hAnsi="Times New Roman"/>
          <w:color w:val="595959" w:themeColor="text1" w:themeTint="A6"/>
          <w:lang w:eastAsia="lt-LT"/>
        </w:rPr>
        <w:t xml:space="preserve"> ketvirtį investuota 2</w:t>
      </w:r>
      <w:r w:rsidR="00C503F4" w:rsidRPr="0013780C">
        <w:rPr>
          <w:rFonts w:ascii="Times New Roman" w:hAnsi="Times New Roman"/>
          <w:color w:val="595959" w:themeColor="text1" w:themeTint="A6"/>
          <w:lang w:eastAsia="lt-LT"/>
        </w:rPr>
        <w:t>81 mln. eurų ES fondų lėšų</w:t>
      </w:r>
      <w:r w:rsidR="00454CF4" w:rsidRPr="0013780C">
        <w:rPr>
          <w:rFonts w:ascii="Times New Roman" w:hAnsi="Times New Roman"/>
          <w:color w:val="595959" w:themeColor="text1" w:themeTint="A6"/>
          <w:lang w:eastAsia="lt-LT"/>
        </w:rPr>
        <w:t xml:space="preserve"> (4,2 proc.)</w:t>
      </w:r>
      <w:r w:rsidR="00C503F4" w:rsidRPr="0013780C">
        <w:rPr>
          <w:rFonts w:ascii="Times New Roman" w:hAnsi="Times New Roman"/>
          <w:color w:val="595959" w:themeColor="text1" w:themeTint="A6"/>
          <w:lang w:eastAsia="lt-LT"/>
        </w:rPr>
        <w:t>.</w:t>
      </w:r>
    </w:p>
    <w:p w:rsidR="00C87C25" w:rsidRPr="0013780C" w:rsidRDefault="00C87C25" w:rsidP="00C87C25">
      <w:pPr>
        <w:pStyle w:val="tekstas"/>
        <w:rPr>
          <w:rFonts w:ascii="Times New Roman" w:hAnsi="Times New Roman"/>
          <w:color w:val="595959" w:themeColor="text1" w:themeTint="A6"/>
          <w:lang w:eastAsia="lt-LT"/>
        </w:rPr>
      </w:pPr>
      <w:r w:rsidRPr="0013780C">
        <w:rPr>
          <w:rFonts w:ascii="Times New Roman" w:hAnsi="Times New Roman"/>
          <w:color w:val="595959" w:themeColor="text1" w:themeTint="A6"/>
          <w:lang w:eastAsia="lt-LT"/>
        </w:rPr>
        <w:t xml:space="preserve">Nuo finansavimo laikotarpio pradžios iki 2020 m. </w:t>
      </w:r>
      <w:r w:rsidR="00C503F4" w:rsidRPr="0013780C">
        <w:rPr>
          <w:rFonts w:ascii="Times New Roman" w:hAnsi="Times New Roman"/>
          <w:color w:val="595959" w:themeColor="text1" w:themeTint="A6"/>
          <w:lang w:eastAsia="lt-LT"/>
        </w:rPr>
        <w:t>rugsėjo</w:t>
      </w:r>
      <w:r w:rsidRPr="0013780C">
        <w:rPr>
          <w:rFonts w:ascii="Times New Roman" w:hAnsi="Times New Roman"/>
          <w:color w:val="595959" w:themeColor="text1" w:themeTint="A6"/>
          <w:lang w:eastAsia="lt-LT"/>
        </w:rPr>
        <w:t xml:space="preserve"> 30 d. </w:t>
      </w:r>
      <w:r w:rsidR="00C503F4" w:rsidRPr="0013780C">
        <w:rPr>
          <w:rFonts w:ascii="Times New Roman" w:hAnsi="Times New Roman"/>
          <w:color w:val="595959" w:themeColor="text1" w:themeTint="A6"/>
          <w:lang w:eastAsia="lt-LT"/>
        </w:rPr>
        <w:t xml:space="preserve">projektams paskirstyta </w:t>
      </w:r>
      <w:r w:rsidR="003F192B" w:rsidRPr="0013780C">
        <w:rPr>
          <w:rFonts w:ascii="Times New Roman" w:hAnsi="Times New Roman"/>
          <w:color w:val="595959" w:themeColor="text1" w:themeTint="A6"/>
          <w:lang w:eastAsia="lt-LT"/>
        </w:rPr>
        <w:t xml:space="preserve">6,1 mlrd. </w:t>
      </w:r>
      <w:r w:rsidRPr="0013780C">
        <w:rPr>
          <w:rFonts w:ascii="Times New Roman" w:hAnsi="Times New Roman"/>
          <w:color w:val="595959" w:themeColor="text1" w:themeTint="A6"/>
          <w:lang w:eastAsia="lt-LT"/>
        </w:rPr>
        <w:t>(</w:t>
      </w:r>
      <w:r w:rsidR="003F192B" w:rsidRPr="0013780C">
        <w:rPr>
          <w:rFonts w:ascii="Times New Roman" w:hAnsi="Times New Roman"/>
          <w:color w:val="595959" w:themeColor="text1" w:themeTint="A6"/>
          <w:lang w:eastAsia="lt-LT"/>
        </w:rPr>
        <w:t xml:space="preserve">91 </w:t>
      </w:r>
      <w:r w:rsidRPr="0013780C">
        <w:rPr>
          <w:rFonts w:ascii="Times New Roman" w:hAnsi="Times New Roman"/>
          <w:color w:val="595959" w:themeColor="text1" w:themeTint="A6"/>
          <w:lang w:eastAsia="lt-LT"/>
        </w:rPr>
        <w:t>proc</w:t>
      </w:r>
      <w:r w:rsidR="003F192B" w:rsidRPr="0013780C">
        <w:rPr>
          <w:rFonts w:ascii="Times New Roman" w:hAnsi="Times New Roman"/>
          <w:color w:val="595959" w:themeColor="text1" w:themeTint="A6"/>
          <w:lang w:eastAsia="lt-LT"/>
        </w:rPr>
        <w:t>.) eurų ES fondų lėšų</w:t>
      </w:r>
      <w:r w:rsidRPr="0013780C">
        <w:rPr>
          <w:rFonts w:ascii="Times New Roman" w:hAnsi="Times New Roman"/>
          <w:color w:val="595959" w:themeColor="text1" w:themeTint="A6"/>
          <w:lang w:eastAsia="lt-LT"/>
        </w:rPr>
        <w:t>. Per 2020 metų II</w:t>
      </w:r>
      <w:r w:rsidR="007329AF" w:rsidRPr="0013780C">
        <w:rPr>
          <w:rFonts w:ascii="Times New Roman" w:hAnsi="Times New Roman"/>
          <w:color w:val="595959" w:themeColor="text1" w:themeTint="A6"/>
          <w:lang w:eastAsia="lt-LT"/>
        </w:rPr>
        <w:t>I</w:t>
      </w:r>
      <w:r w:rsidRPr="0013780C">
        <w:rPr>
          <w:rFonts w:ascii="Times New Roman" w:hAnsi="Times New Roman"/>
          <w:color w:val="595959" w:themeColor="text1" w:themeTint="A6"/>
          <w:lang w:eastAsia="lt-LT"/>
        </w:rPr>
        <w:t xml:space="preserve"> ketvirtį sudarytų sutarčių su</w:t>
      </w:r>
      <w:r w:rsidR="003F192B" w:rsidRPr="0013780C">
        <w:rPr>
          <w:rFonts w:ascii="Times New Roman" w:hAnsi="Times New Roman"/>
          <w:color w:val="595959" w:themeColor="text1" w:themeTint="A6"/>
          <w:lang w:eastAsia="lt-LT"/>
        </w:rPr>
        <w:t>ma (ES fondų lėšos) padidėjo 297</w:t>
      </w:r>
      <w:r w:rsidR="00454CF4" w:rsidRPr="0013780C">
        <w:rPr>
          <w:rFonts w:ascii="Times New Roman" w:hAnsi="Times New Roman"/>
          <w:color w:val="595959" w:themeColor="text1" w:themeTint="A6"/>
          <w:lang w:eastAsia="lt-LT"/>
        </w:rPr>
        <w:t xml:space="preserve"> mln. eurų arba 4 proc.</w:t>
      </w:r>
    </w:p>
    <w:p w:rsidR="002B02A4" w:rsidRPr="0013780C" w:rsidRDefault="00C87C25" w:rsidP="00A31DD2">
      <w:pPr>
        <w:pStyle w:val="tekstas"/>
        <w:rPr>
          <w:rFonts w:ascii="Times New Roman" w:hAnsi="Times New Roman"/>
          <w:color w:val="595959" w:themeColor="text1" w:themeTint="A6"/>
          <w:lang w:eastAsia="lt-LT"/>
        </w:rPr>
      </w:pPr>
      <w:r w:rsidRPr="0013780C">
        <w:rPr>
          <w:rFonts w:ascii="Times New Roman" w:hAnsi="Times New Roman"/>
          <w:color w:val="595959" w:themeColor="text1" w:themeTint="A6"/>
          <w:lang w:eastAsia="lt-LT"/>
        </w:rPr>
        <w:t>Informacija apie finansinę pažangą ataskaitiniu laikotarpiu pateikiama 3 grafike.</w:t>
      </w:r>
    </w:p>
    <w:p w:rsidR="0013780C" w:rsidRPr="0013780C" w:rsidRDefault="0013780C" w:rsidP="0013780C">
      <w:pPr>
        <w:jc w:val="both"/>
        <w:rPr>
          <w:color w:val="595959" w:themeColor="text1" w:themeTint="A6"/>
          <w:u w:val="single"/>
        </w:rPr>
      </w:pPr>
    </w:p>
    <w:p w:rsidR="007329AF" w:rsidRDefault="007329AF"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13780C" w:rsidRDefault="0013780C" w:rsidP="00F96E4E">
      <w:pPr>
        <w:pStyle w:val="tekstas"/>
        <w:ind w:firstLine="0"/>
        <w:rPr>
          <w:rFonts w:ascii="Times New Roman" w:hAnsi="Times New Roman"/>
          <w:color w:val="595959" w:themeColor="text1" w:themeTint="A6"/>
          <w:lang w:eastAsia="lt-LT"/>
        </w:rPr>
      </w:pPr>
    </w:p>
    <w:p w:rsidR="00BC54FE" w:rsidRPr="00DF3F93" w:rsidRDefault="00BC54FE" w:rsidP="00BC54FE">
      <w:pPr>
        <w:pStyle w:val="tekstas"/>
        <w:rPr>
          <w:rFonts w:ascii="Times New Roman" w:hAnsi="Times New Roman"/>
          <w:sz w:val="2"/>
          <w:lang w:eastAsia="lt-LT"/>
        </w:rPr>
      </w:pPr>
    </w:p>
    <w:p w:rsidR="00BC54FE" w:rsidRPr="0040787A" w:rsidRDefault="00DB31F9" w:rsidP="00BC54FE">
      <w:pPr>
        <w:pStyle w:val="Antrat"/>
        <w:keepNext/>
        <w:spacing w:after="0"/>
        <w:jc w:val="center"/>
        <w:rPr>
          <w:rFonts w:ascii="Times New Roman" w:hAnsi="Times New Roman"/>
          <w:color w:val="365F91" w:themeColor="accent1" w:themeShade="BF"/>
          <w:sz w:val="22"/>
          <w:szCs w:val="22"/>
        </w:rPr>
      </w:pPr>
      <w:r>
        <w:rPr>
          <w:rFonts w:ascii="Times New Roman" w:hAnsi="Times New Roman"/>
          <w:color w:val="365F91" w:themeColor="accent1" w:themeShade="BF"/>
          <w:sz w:val="22"/>
          <w:szCs w:val="22"/>
        </w:rPr>
        <w:t>3</w:t>
      </w:r>
      <w:r w:rsidR="00BC54FE" w:rsidRPr="0040787A">
        <w:rPr>
          <w:rFonts w:ascii="Times New Roman" w:hAnsi="Times New Roman"/>
          <w:color w:val="365F91" w:themeColor="accent1" w:themeShade="BF"/>
          <w:sz w:val="22"/>
          <w:szCs w:val="22"/>
        </w:rPr>
        <w:t xml:space="preserve"> grafikas. </w:t>
      </w:r>
      <w:r w:rsidR="003A66E5" w:rsidRPr="0040787A">
        <w:rPr>
          <w:rFonts w:ascii="Times New Roman" w:hAnsi="Times New Roman"/>
          <w:color w:val="365F91" w:themeColor="accent1" w:themeShade="BF"/>
          <w:sz w:val="22"/>
          <w:szCs w:val="22"/>
        </w:rPr>
        <w:t>Veiksmų programos</w:t>
      </w:r>
      <w:r w:rsidR="00BC54FE" w:rsidRPr="0040787A">
        <w:rPr>
          <w:rFonts w:ascii="Times New Roman" w:hAnsi="Times New Roman"/>
          <w:color w:val="365F91" w:themeColor="accent1" w:themeShade="BF"/>
          <w:sz w:val="22"/>
          <w:szCs w:val="22"/>
        </w:rPr>
        <w:t xml:space="preserve"> įgyvendini</w:t>
      </w:r>
      <w:r w:rsidR="000F701E">
        <w:rPr>
          <w:rFonts w:ascii="Times New Roman" w:hAnsi="Times New Roman"/>
          <w:color w:val="365F91" w:themeColor="accent1" w:themeShade="BF"/>
          <w:sz w:val="22"/>
          <w:szCs w:val="22"/>
        </w:rPr>
        <w:t>mas pagal etapus (mln. eurų ir proc.</w:t>
      </w:r>
      <w:r w:rsidR="00BC54FE" w:rsidRPr="0040787A">
        <w:rPr>
          <w:rFonts w:ascii="Times New Roman" w:hAnsi="Times New Roman"/>
          <w:color w:val="365F91" w:themeColor="accent1" w:themeShade="BF"/>
          <w:sz w:val="22"/>
          <w:szCs w:val="22"/>
        </w:rPr>
        <w:t xml:space="preserve"> nuo ES fondų lėšų).</w:t>
      </w:r>
    </w:p>
    <w:p w:rsidR="00C50135" w:rsidRPr="00DF3F93" w:rsidRDefault="00C50135" w:rsidP="001B68C7">
      <w:pPr>
        <w:rPr>
          <w:sz w:val="16"/>
          <w:szCs w:val="16"/>
        </w:rPr>
      </w:pPr>
    </w:p>
    <w:p w:rsidR="00BC54FE" w:rsidRPr="00DF3F93" w:rsidRDefault="00BC54FE" w:rsidP="00BC54FE">
      <w:pPr>
        <w:ind w:firstLine="567"/>
        <w:jc w:val="both"/>
        <w:rPr>
          <w:color w:val="666666"/>
          <w:sz w:val="2"/>
          <w:szCs w:val="24"/>
          <w:highlight w:val="yellow"/>
          <w:lang w:eastAsia="lt-LT"/>
        </w:rPr>
      </w:pPr>
    </w:p>
    <w:p w:rsidR="00BC54FE" w:rsidRPr="00DF3F93" w:rsidRDefault="00533966" w:rsidP="006C4091">
      <w:pPr>
        <w:jc w:val="both"/>
        <w:rPr>
          <w:color w:val="595959" w:themeColor="text1" w:themeTint="A6"/>
          <w:sz w:val="20"/>
          <w:szCs w:val="24"/>
          <w:lang w:eastAsia="lt-LT"/>
        </w:rPr>
      </w:pPr>
      <w:r>
        <w:rPr>
          <w:noProof/>
          <w:lang w:eastAsia="lt-LT"/>
        </w:rPr>
        <w:drawing>
          <wp:inline distT="0" distB="0" distL="0" distR="0" wp14:anchorId="7457B6E2" wp14:editId="640FEE71">
            <wp:extent cx="6120130" cy="2689371"/>
            <wp:effectExtent l="0" t="0" r="13970" b="15875"/>
            <wp:docPr id="1"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8602B6" w:rsidRPr="00DF3F93">
        <w:rPr>
          <w:noProof/>
          <w:lang w:eastAsia="lt-LT"/>
        </w:rPr>
        <mc:AlternateContent>
          <mc:Choice Requires="wps">
            <w:drawing>
              <wp:anchor distT="0" distB="0" distL="114300" distR="114300" simplePos="0" relativeHeight="251655168" behindDoc="0" locked="0" layoutInCell="1" allowOverlap="1" wp14:anchorId="523B45EF" wp14:editId="46F6B658">
                <wp:simplePos x="0" y="0"/>
                <wp:positionH relativeFrom="column">
                  <wp:posOffset>6030239</wp:posOffset>
                </wp:positionH>
                <wp:positionV relativeFrom="paragraph">
                  <wp:posOffset>579653</wp:posOffset>
                </wp:positionV>
                <wp:extent cx="314300" cy="248285"/>
                <wp:effectExtent l="0" t="0" r="0" b="0"/>
                <wp:wrapNone/>
                <wp:docPr id="9" name="TextBox 8"/>
                <wp:cNvGraphicFramePr/>
                <a:graphic xmlns:a="http://schemas.openxmlformats.org/drawingml/2006/main">
                  <a:graphicData uri="http://schemas.microsoft.com/office/word/2010/wordprocessingShape">
                    <wps:wsp>
                      <wps:cNvSpPr txBox="1"/>
                      <wps:spPr>
                        <a:xfrm>
                          <a:off x="0" y="0"/>
                          <a:ext cx="314300" cy="24828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8A6CC5" w:rsidRDefault="008A6CC5" w:rsidP="00F57390">
                            <w:pPr>
                              <w:pStyle w:val="prastasistinklapis"/>
                              <w:spacing w:before="0" w:beforeAutospacing="0" w:after="0" w:afterAutospacing="0"/>
                            </w:pPr>
                          </w:p>
                        </w:txbxContent>
                      </wps:txbx>
                      <wps:bodyPr vertOverflow="clip" horzOverflow="clip" wrap="square" rtlCol="0" anchor="t">
                        <a:spAutoFit/>
                      </wps:bodyPr>
                    </wps:wsp>
                  </a:graphicData>
                </a:graphic>
                <wp14:sizeRelH relativeFrom="margin">
                  <wp14:pctWidth>0</wp14:pctWidth>
                </wp14:sizeRelH>
              </wp:anchor>
            </w:drawing>
          </mc:Choice>
          <mc:Fallback>
            <w:pict>
              <v:shape id="TextBox 8" o:spid="_x0000_s1028" type="#_x0000_t202" style="position:absolute;left:0;text-align:left;margin-left:474.8pt;margin-top:45.65pt;width:24.75pt;height:19.55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" filled="f" stroked="f">
                <v:textbox style="mso-fit-shape-to-text:t">
                  <w:txbxContent>
                    <w:p w:rsidR="008A6CC5" w:rsidRDefault="008A6CC5" w:rsidP="00F57390">
                      <w:pPr>
                        <w:pStyle w:val="prastasistinklapis"/>
                        <w:spacing w:before="0" w:beforeAutospacing="0" w:after="0" w:afterAutospacing="0"/>
                      </w:pPr>
                    </w:p>
                  </w:txbxContent>
                </v:textbox>
              </v:shape>
            </w:pict>
          </mc:Fallback>
        </mc:AlternateContent>
      </w:r>
    </w:p>
    <w:p w:rsidR="00BC54FE" w:rsidRPr="000E52E6" w:rsidRDefault="00BC54FE" w:rsidP="00BC54FE">
      <w:pPr>
        <w:ind w:firstLine="567"/>
        <w:jc w:val="both"/>
        <w:rPr>
          <w:color w:val="595959" w:themeColor="text1" w:themeTint="A6"/>
          <w:sz w:val="2"/>
          <w:szCs w:val="24"/>
          <w:highlight w:val="yellow"/>
          <w:lang w:eastAsia="lt-LT"/>
        </w:rPr>
      </w:pPr>
    </w:p>
    <w:p w:rsidR="00894BC1" w:rsidRPr="0040787A" w:rsidRDefault="008602B6" w:rsidP="00DA758F">
      <w:pPr>
        <w:pStyle w:val="Antrat"/>
        <w:keepNext/>
        <w:spacing w:after="0"/>
        <w:jc w:val="center"/>
        <w:rPr>
          <w:rFonts w:ascii="Times New Roman" w:hAnsi="Times New Roman"/>
          <w:b w:val="0"/>
          <w:color w:val="7F7F7F" w:themeColor="text1" w:themeTint="80"/>
          <w:sz w:val="20"/>
          <w:szCs w:val="24"/>
          <w:lang w:eastAsia="lt-LT"/>
        </w:rPr>
      </w:pPr>
      <w:r w:rsidRPr="0040787A">
        <w:rPr>
          <w:rFonts w:ascii="Times New Roman" w:hAnsi="Times New Roman"/>
          <w:b w:val="0"/>
          <w:color w:val="7F7F7F" w:themeColor="text1" w:themeTint="80"/>
          <w:sz w:val="20"/>
          <w:szCs w:val="24"/>
          <w:lang w:eastAsia="lt-LT"/>
        </w:rPr>
        <w:t>Šaltinis: 2014–2020 metų Europos Sąjungos struktūrinių fondų posistemis (SFMIS2014).</w:t>
      </w:r>
    </w:p>
    <w:p w:rsidR="002D177D" w:rsidRDefault="002D177D" w:rsidP="002D177D">
      <w:pPr>
        <w:rPr>
          <w:color w:val="595959" w:themeColor="text1" w:themeTint="A6"/>
          <w:lang w:eastAsia="lt-LT"/>
        </w:rPr>
      </w:pPr>
    </w:p>
    <w:p w:rsidR="00237D4B" w:rsidRPr="0040787A" w:rsidRDefault="00237D4B" w:rsidP="00237D4B">
      <w:pPr>
        <w:pStyle w:val="Antrat"/>
        <w:keepNext/>
        <w:spacing w:after="0"/>
        <w:jc w:val="center"/>
        <w:rPr>
          <w:rFonts w:ascii="Times New Roman" w:hAnsi="Times New Roman"/>
          <w:noProof/>
          <w:color w:val="365F91" w:themeColor="accent1" w:themeShade="BF"/>
          <w:sz w:val="22"/>
          <w:szCs w:val="22"/>
        </w:rPr>
      </w:pPr>
      <w:r>
        <w:rPr>
          <w:rFonts w:ascii="Times New Roman" w:hAnsi="Times New Roman"/>
          <w:noProof/>
          <w:color w:val="365F91" w:themeColor="accent1" w:themeShade="BF"/>
          <w:sz w:val="22"/>
          <w:szCs w:val="22"/>
        </w:rPr>
        <w:t>4</w:t>
      </w:r>
      <w:r w:rsidRPr="0040787A">
        <w:rPr>
          <w:rFonts w:ascii="Times New Roman" w:hAnsi="Times New Roman"/>
          <w:noProof/>
          <w:color w:val="365F91" w:themeColor="accent1" w:themeShade="BF"/>
          <w:sz w:val="22"/>
          <w:szCs w:val="22"/>
        </w:rPr>
        <w:t xml:space="preserve"> grafikas. Veiksmų programos įgyvendinimas pagal etapus ir pagal ministerijas iki 2020 m. </w:t>
      </w:r>
      <w:r>
        <w:rPr>
          <w:rFonts w:ascii="Times New Roman" w:hAnsi="Times New Roman"/>
          <w:noProof/>
          <w:color w:val="365F91" w:themeColor="accent1" w:themeShade="BF"/>
          <w:sz w:val="22"/>
          <w:szCs w:val="22"/>
        </w:rPr>
        <w:t>rugsėjo 30 d. (proc.</w:t>
      </w:r>
      <w:r w:rsidRPr="0040787A">
        <w:rPr>
          <w:rFonts w:ascii="Times New Roman" w:hAnsi="Times New Roman"/>
          <w:noProof/>
          <w:color w:val="365F91" w:themeColor="accent1" w:themeShade="BF"/>
          <w:sz w:val="22"/>
          <w:szCs w:val="22"/>
        </w:rPr>
        <w:t xml:space="preserve"> nuo administruojamų ES fondų lėšų</w:t>
      </w:r>
      <w:r>
        <w:rPr>
          <w:rFonts w:ascii="Times New Roman" w:hAnsi="Times New Roman"/>
          <w:noProof/>
          <w:color w:val="365F91" w:themeColor="accent1" w:themeShade="BF"/>
          <w:sz w:val="22"/>
          <w:szCs w:val="22"/>
        </w:rPr>
        <w:t xml:space="preserve"> ir mln. eurų</w:t>
      </w:r>
      <w:r w:rsidRPr="0040787A">
        <w:rPr>
          <w:rFonts w:ascii="Times New Roman" w:hAnsi="Times New Roman"/>
          <w:noProof/>
          <w:color w:val="365F91" w:themeColor="accent1" w:themeShade="BF"/>
          <w:sz w:val="22"/>
          <w:szCs w:val="22"/>
        </w:rPr>
        <w:t>)</w:t>
      </w:r>
    </w:p>
    <w:p w:rsidR="00237D4B" w:rsidRPr="00DF3F93" w:rsidRDefault="00237D4B" w:rsidP="00237D4B">
      <w:pPr>
        <w:rPr>
          <w:sz w:val="16"/>
          <w:szCs w:val="16"/>
        </w:rPr>
      </w:pPr>
    </w:p>
    <w:p w:rsidR="00237D4B" w:rsidRPr="00DF3F93" w:rsidRDefault="00237D4B" w:rsidP="00237D4B">
      <w:r>
        <w:rPr>
          <w:noProof/>
          <w:lang w:eastAsia="lt-LT"/>
        </w:rPr>
        <w:drawing>
          <wp:inline distT="0" distB="0" distL="0" distR="0" wp14:anchorId="01BE239E" wp14:editId="7669091C">
            <wp:extent cx="6120130" cy="3417870"/>
            <wp:effectExtent l="0" t="0" r="13970" b="11430"/>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37D4B" w:rsidRPr="0040787A" w:rsidRDefault="00237D4B" w:rsidP="00237D4B">
      <w:pPr>
        <w:ind w:firstLine="567"/>
        <w:jc w:val="both"/>
        <w:rPr>
          <w:color w:val="7F7F7F" w:themeColor="text1" w:themeTint="80"/>
          <w:sz w:val="20"/>
          <w:szCs w:val="24"/>
          <w:lang w:eastAsia="lt-LT"/>
        </w:rPr>
      </w:pPr>
      <w:r w:rsidRPr="0040787A">
        <w:rPr>
          <w:color w:val="7F7F7F" w:themeColor="text1" w:themeTint="80"/>
          <w:sz w:val="20"/>
          <w:szCs w:val="24"/>
          <w:lang w:eastAsia="lt-LT"/>
        </w:rPr>
        <w:t>Šaltinis: 2014–2020 metų Europos Sąjungos struktūrinių fondų posistemis (SFMIS2014)</w:t>
      </w:r>
    </w:p>
    <w:p w:rsidR="00237D4B" w:rsidRDefault="00237D4B" w:rsidP="00237D4B">
      <w:pPr>
        <w:jc w:val="both"/>
        <w:rPr>
          <w:color w:val="595959" w:themeColor="text1" w:themeTint="A6"/>
          <w:szCs w:val="24"/>
          <w:lang w:eastAsia="lt-LT"/>
        </w:rPr>
      </w:pPr>
    </w:p>
    <w:p w:rsidR="0013780C" w:rsidRPr="0013780C" w:rsidRDefault="0013780C" w:rsidP="0013780C">
      <w:pPr>
        <w:jc w:val="both"/>
        <w:rPr>
          <w:color w:val="595959" w:themeColor="text1" w:themeTint="A6"/>
          <w:u w:val="single"/>
        </w:rPr>
      </w:pPr>
      <w:r w:rsidRPr="0013780C">
        <w:rPr>
          <w:color w:val="595959" w:themeColor="text1" w:themeTint="A6"/>
          <w:u w:val="single"/>
        </w:rPr>
        <w:t>Sutartys</w:t>
      </w:r>
      <w:r w:rsidR="00A31DD2">
        <w:rPr>
          <w:color w:val="595959" w:themeColor="text1" w:themeTint="A6"/>
          <w:u w:val="single"/>
        </w:rPr>
        <w:t>.</w:t>
      </w:r>
      <w:r w:rsidR="002E6DDB" w:rsidRPr="00A31DD2">
        <w:rPr>
          <w:color w:val="595959" w:themeColor="text1" w:themeTint="A6"/>
        </w:rPr>
        <w:t xml:space="preserve"> (</w:t>
      </w:r>
      <w:r w:rsidR="002E6DDB" w:rsidRPr="0013780C">
        <w:rPr>
          <w:color w:val="595959" w:themeColor="text1" w:themeTint="A6"/>
        </w:rPr>
        <w:t>šiame ir kituose skyriuose nurodomas ministerijų sudarytų sutarčių p</w:t>
      </w:r>
      <w:r w:rsidR="002E6DDB">
        <w:rPr>
          <w:color w:val="595959" w:themeColor="text1" w:themeTint="A6"/>
        </w:rPr>
        <w:t>rocentas skaičiuojamas įvertinus</w:t>
      </w:r>
      <w:r w:rsidR="002E6DDB" w:rsidRPr="0013780C">
        <w:rPr>
          <w:color w:val="595959" w:themeColor="text1" w:themeTint="A6"/>
        </w:rPr>
        <w:t xml:space="preserve"> baigtų projektų faktinius sutaupymus</w:t>
      </w:r>
      <w:r w:rsidR="002E6DDB">
        <w:rPr>
          <w:color w:val="595959" w:themeColor="text1" w:themeTint="A6"/>
        </w:rPr>
        <w:t>).</w:t>
      </w:r>
    </w:p>
    <w:p w:rsidR="0013780C" w:rsidRPr="0013780C" w:rsidRDefault="0013780C" w:rsidP="0013780C">
      <w:pPr>
        <w:ind w:firstLine="426"/>
        <w:jc w:val="both"/>
        <w:rPr>
          <w:color w:val="595959" w:themeColor="text1" w:themeTint="A6"/>
        </w:rPr>
      </w:pPr>
      <w:r w:rsidRPr="0013780C">
        <w:rPr>
          <w:color w:val="595959" w:themeColor="text1" w:themeTint="A6"/>
        </w:rPr>
        <w:t>Ataskaitinio laikotarpio pabaigoje visas administruojamas lėšas projektams jau paskirstė Energetikos ir Švietimo, mokslo ir sporto ministerijos.</w:t>
      </w:r>
    </w:p>
    <w:p w:rsidR="0013780C" w:rsidRPr="0013780C" w:rsidRDefault="0013780C" w:rsidP="0013780C">
      <w:pPr>
        <w:ind w:firstLine="426"/>
        <w:jc w:val="both"/>
        <w:rPr>
          <w:color w:val="595959" w:themeColor="text1" w:themeTint="A6"/>
        </w:rPr>
      </w:pPr>
      <w:r w:rsidRPr="0013780C">
        <w:rPr>
          <w:color w:val="595959" w:themeColor="text1" w:themeTint="A6"/>
        </w:rPr>
        <w:t>Mažiausia pasirašytų sutarčių dalis išlieka Susisiekimo ministerijos administruojamose priemonėse – 76 proc. (neįvertinus sutaupymų – 79 proc.)</w:t>
      </w:r>
      <w:proofErr w:type="gramStart"/>
      <w:r w:rsidR="004D12D0" w:rsidRPr="0013780C" w:rsidDel="004D12D0">
        <w:rPr>
          <w:color w:val="595959" w:themeColor="text1" w:themeTint="A6"/>
        </w:rPr>
        <w:t xml:space="preserve"> </w:t>
      </w:r>
      <w:r w:rsidR="004D12D0" w:rsidRPr="004D12D0">
        <w:rPr>
          <w:color w:val="595959" w:themeColor="text1" w:themeTint="A6"/>
        </w:rPr>
        <w:t xml:space="preserve"> </w:t>
      </w:r>
      <w:proofErr w:type="gramEnd"/>
      <w:r w:rsidR="004D12D0">
        <w:rPr>
          <w:color w:val="595959" w:themeColor="text1" w:themeTint="A6"/>
        </w:rPr>
        <w:t>S</w:t>
      </w:r>
      <w:r w:rsidR="004D12D0" w:rsidRPr="004D12D0">
        <w:rPr>
          <w:color w:val="595959" w:themeColor="text1" w:themeTint="A6"/>
        </w:rPr>
        <w:t xml:space="preserve">utarčių sudarymas vėluoja dėl didelės apimties geležinkelio ruožo nuo Kaišiadorių iki Klaipėdos elektrifikavimo projekto, kuriam </w:t>
      </w:r>
      <w:r w:rsidR="004D12D0" w:rsidRPr="004D12D0">
        <w:rPr>
          <w:color w:val="595959" w:themeColor="text1" w:themeTint="A6"/>
        </w:rPr>
        <w:lastRenderedPageBreak/>
        <w:t>numatytos 162 mln. eurų ES investicijos</w:t>
      </w:r>
      <w:r w:rsidR="004D12D0">
        <w:rPr>
          <w:color w:val="595959" w:themeColor="text1" w:themeTint="A6"/>
        </w:rPr>
        <w:t>.</w:t>
      </w:r>
      <w:r w:rsidR="008A6CC5">
        <w:rPr>
          <w:color w:val="595959" w:themeColor="text1" w:themeTint="A6"/>
        </w:rPr>
        <w:t xml:space="preserve"> Didžiausią įtaką vėlavimui turi</w:t>
      </w:r>
      <w:r w:rsidR="000104C4">
        <w:rPr>
          <w:color w:val="595959" w:themeColor="text1" w:themeTint="A6"/>
        </w:rPr>
        <w:t xml:space="preserve"> aplinkosauginiai aspektai (</w:t>
      </w:r>
      <w:r w:rsidR="008A6CC5" w:rsidRPr="008A6CC5">
        <w:rPr>
          <w:color w:val="595959" w:themeColor="text1" w:themeTint="A6"/>
        </w:rPr>
        <w:t xml:space="preserve">nenustatyti </w:t>
      </w:r>
      <w:proofErr w:type="spellStart"/>
      <w:r w:rsidR="008A6CC5" w:rsidRPr="008A6CC5">
        <w:rPr>
          <w:color w:val="595959" w:themeColor="text1" w:themeTint="A6"/>
        </w:rPr>
        <w:t>Natura</w:t>
      </w:r>
      <w:proofErr w:type="spellEnd"/>
      <w:r w:rsidR="000104C4">
        <w:rPr>
          <w:color w:val="595959" w:themeColor="text1" w:themeTint="A6"/>
        </w:rPr>
        <w:t xml:space="preserve"> </w:t>
      </w:r>
      <w:r w:rsidR="008A6CC5" w:rsidRPr="008A6CC5">
        <w:rPr>
          <w:color w:val="595959" w:themeColor="text1" w:themeTint="A6"/>
        </w:rPr>
        <w:t>2000 teritorijos apsaugos tikslai planuojamo įgyvendinti projekto teritorijose</w:t>
      </w:r>
      <w:r w:rsidR="000104C4">
        <w:rPr>
          <w:color w:val="595959" w:themeColor="text1" w:themeTint="A6"/>
        </w:rPr>
        <w:t>)</w:t>
      </w:r>
      <w:r w:rsidR="008A6CC5" w:rsidRPr="008A6CC5">
        <w:rPr>
          <w:color w:val="595959" w:themeColor="text1" w:themeTint="A6"/>
        </w:rPr>
        <w:t>.</w:t>
      </w:r>
    </w:p>
    <w:p w:rsidR="0013780C" w:rsidRPr="0013780C" w:rsidRDefault="0013780C" w:rsidP="0013780C">
      <w:pPr>
        <w:ind w:firstLine="426"/>
        <w:jc w:val="both"/>
        <w:rPr>
          <w:color w:val="595959" w:themeColor="text1" w:themeTint="A6"/>
        </w:rPr>
      </w:pPr>
      <w:r w:rsidRPr="0013780C">
        <w:rPr>
          <w:color w:val="595959" w:themeColor="text1" w:themeTint="A6"/>
        </w:rPr>
        <w:t>II ketv. ataskaitoje ministerijoms teiktą siūlymą per III ketv. sudaryti sutarčių už ne mažiau 50 proc. likusios projektams nepaskirstytos lėšų sumos įgyvendino Energetikos, Švietimo, mokslo ir sporto bei Sveikatos apsaugo ministerijos. Ekonomikos ir inovacijų ministerija sutarčių sudarė už</w:t>
      </w:r>
      <w:r w:rsidRPr="0013780C">
        <w:rPr>
          <w:color w:val="595959" w:themeColor="text1" w:themeTint="A6"/>
          <w:lang w:val="en-US"/>
        </w:rPr>
        <w:t xml:space="preserve"> 47 </w:t>
      </w:r>
      <w:r w:rsidRPr="0013780C">
        <w:rPr>
          <w:color w:val="595959" w:themeColor="text1" w:themeTint="A6"/>
        </w:rPr>
        <w:t>proc. likusių lėšų. Kitos ministerijos per III ketv. sudarė sutarčių už mažiau nei 20 proc. likusios projektams nepaskirstytų lėšų sumos.</w:t>
      </w:r>
    </w:p>
    <w:p w:rsidR="0013780C" w:rsidRPr="0013780C" w:rsidRDefault="0013780C" w:rsidP="0013780C">
      <w:pPr>
        <w:ind w:firstLine="426"/>
        <w:jc w:val="both"/>
        <w:rPr>
          <w:color w:val="595959" w:themeColor="text1" w:themeTint="A6"/>
        </w:rPr>
      </w:pPr>
      <w:r w:rsidRPr="0013780C">
        <w:rPr>
          <w:color w:val="595959" w:themeColor="text1" w:themeTint="A6"/>
        </w:rPr>
        <w:t xml:space="preserve">Veiksmų programos įgyvendinimui artėjant į pabaigą, galimiems sutaupymams ir netinkamoms išlaidoms kompensuoti ministerijoms sudaryta 185 mln. eurų ES lėšų </w:t>
      </w:r>
      <w:proofErr w:type="spellStart"/>
      <w:r w:rsidRPr="0013780C">
        <w:rPr>
          <w:color w:val="595959" w:themeColor="text1" w:themeTint="A6"/>
        </w:rPr>
        <w:t>virškontraktavimo</w:t>
      </w:r>
      <w:proofErr w:type="spellEnd"/>
      <w:r w:rsidRPr="0013780C">
        <w:rPr>
          <w:color w:val="595959" w:themeColor="text1" w:themeTint="A6"/>
        </w:rPr>
        <w:t xml:space="preserve"> galimybė. Taip pat beveik 500 mln. eurų ES lėšų papildomas </w:t>
      </w:r>
      <w:proofErr w:type="spellStart"/>
      <w:r w:rsidRPr="0013780C">
        <w:rPr>
          <w:color w:val="595959" w:themeColor="text1" w:themeTint="A6"/>
        </w:rPr>
        <w:t>virškontraktavimas</w:t>
      </w:r>
      <w:proofErr w:type="spellEnd"/>
      <w:r w:rsidRPr="0013780C">
        <w:rPr>
          <w:color w:val="595959" w:themeColor="text1" w:themeTint="A6"/>
        </w:rPr>
        <w:t xml:space="preserve"> numatytas </w:t>
      </w:r>
      <w:r w:rsidR="00D43A9F">
        <w:rPr>
          <w:color w:val="595959" w:themeColor="text1" w:themeTint="A6"/>
        </w:rPr>
        <w:t xml:space="preserve">Ateities ekonomikos </w:t>
      </w:r>
      <w:r w:rsidRPr="0013780C">
        <w:rPr>
          <w:color w:val="595959" w:themeColor="text1" w:themeTint="A6"/>
        </w:rPr>
        <w:t xml:space="preserve">DNR </w:t>
      </w:r>
      <w:r w:rsidR="00D43A9F">
        <w:rPr>
          <w:color w:val="595959" w:themeColor="text1" w:themeTint="A6"/>
        </w:rPr>
        <w:t xml:space="preserve">plano </w:t>
      </w:r>
      <w:r w:rsidR="007F669E">
        <w:rPr>
          <w:color w:val="595959" w:themeColor="text1" w:themeTint="A6"/>
        </w:rPr>
        <w:t>veiksmams įgyvendinti</w:t>
      </w:r>
      <w:r w:rsidRPr="0013780C">
        <w:rPr>
          <w:color w:val="595959" w:themeColor="text1" w:themeTint="A6"/>
        </w:rPr>
        <w:t xml:space="preserve">. Įvertinus visą planuojamų pasirašyti sutarčių apimtį, projektams dar </w:t>
      </w:r>
      <w:r w:rsidR="005A66E9">
        <w:rPr>
          <w:color w:val="595959" w:themeColor="text1" w:themeTint="A6"/>
        </w:rPr>
        <w:t>galima paskirstyti</w:t>
      </w:r>
      <w:r w:rsidR="005A66E9" w:rsidRPr="0013780C">
        <w:rPr>
          <w:color w:val="595959" w:themeColor="text1" w:themeTint="A6"/>
        </w:rPr>
        <w:t xml:space="preserve"> </w:t>
      </w:r>
      <w:r w:rsidRPr="0013780C">
        <w:rPr>
          <w:color w:val="595959" w:themeColor="text1" w:themeTint="A6"/>
        </w:rPr>
        <w:t xml:space="preserve">ES lėšų suma sudaro 1,3 mlrd. eurų. Jei bendros metinės sutarčių sudarymo apimtys (apie 1 mlrd. eurų per metus) nedidės, lėšų paskirstymas projektams </w:t>
      </w:r>
      <w:r w:rsidR="005A66E9">
        <w:rPr>
          <w:color w:val="595959" w:themeColor="text1" w:themeTint="A6"/>
        </w:rPr>
        <w:t xml:space="preserve">gali </w:t>
      </w:r>
      <w:r w:rsidR="005A66E9" w:rsidRPr="0013780C">
        <w:rPr>
          <w:color w:val="595959" w:themeColor="text1" w:themeTint="A6"/>
        </w:rPr>
        <w:t>užtruk</w:t>
      </w:r>
      <w:r w:rsidR="005A66E9">
        <w:rPr>
          <w:color w:val="595959" w:themeColor="text1" w:themeTint="A6"/>
        </w:rPr>
        <w:t>ti</w:t>
      </w:r>
      <w:r w:rsidR="005A66E9" w:rsidRPr="0013780C">
        <w:rPr>
          <w:color w:val="595959" w:themeColor="text1" w:themeTint="A6"/>
        </w:rPr>
        <w:t xml:space="preserve"> </w:t>
      </w:r>
      <w:r w:rsidRPr="0013780C">
        <w:rPr>
          <w:color w:val="595959" w:themeColor="text1" w:themeTint="A6"/>
        </w:rPr>
        <w:t>iki 2022 m.,</w:t>
      </w:r>
      <w:r w:rsidR="00A31DD2">
        <w:rPr>
          <w:color w:val="595959" w:themeColor="text1" w:themeTint="A6"/>
        </w:rPr>
        <w:t xml:space="preserve"> o tai prieštarauja</w:t>
      </w:r>
      <w:r w:rsidR="00C50800" w:rsidRPr="00C50800">
        <w:t xml:space="preserve"> </w:t>
      </w:r>
      <w:r w:rsidR="00C50800" w:rsidRPr="00C50800">
        <w:rPr>
          <w:color w:val="595959" w:themeColor="text1" w:themeTint="A6"/>
        </w:rPr>
        <w:t>Projektų finansavimo ir admi</w:t>
      </w:r>
      <w:r w:rsidR="00C50800">
        <w:rPr>
          <w:color w:val="595959" w:themeColor="text1" w:themeTint="A6"/>
        </w:rPr>
        <w:t>nistravimo taisyklių nuostatai projektų sutartis sudaryti iki 2020 m. pabaigos, taip pat tai reikštų</w:t>
      </w:r>
      <w:r w:rsidRPr="0013780C">
        <w:rPr>
          <w:color w:val="595959" w:themeColor="text1" w:themeTint="A6"/>
        </w:rPr>
        <w:t xml:space="preserve"> didelę riziką nespėti projektų įgyvendinti iki 2023 m. pabaigos.</w:t>
      </w:r>
    </w:p>
    <w:p w:rsidR="00A31DD2" w:rsidRPr="0013780C" w:rsidRDefault="00A31DD2" w:rsidP="00A31DD2">
      <w:pPr>
        <w:jc w:val="both"/>
        <w:rPr>
          <w:color w:val="595959" w:themeColor="text1" w:themeTint="A6"/>
          <w:u w:val="single"/>
        </w:rPr>
      </w:pPr>
      <w:r w:rsidRPr="0013780C">
        <w:rPr>
          <w:color w:val="595959" w:themeColor="text1" w:themeTint="A6"/>
          <w:u w:val="single"/>
        </w:rPr>
        <w:t>Investicijos.</w:t>
      </w:r>
    </w:p>
    <w:p w:rsidR="00A31DD2" w:rsidRPr="0013780C" w:rsidRDefault="00A31DD2" w:rsidP="00A31DD2">
      <w:pPr>
        <w:ind w:firstLine="426"/>
        <w:jc w:val="both"/>
        <w:rPr>
          <w:color w:val="595959" w:themeColor="text1" w:themeTint="A6"/>
        </w:rPr>
      </w:pPr>
      <w:r w:rsidRPr="0013780C">
        <w:rPr>
          <w:color w:val="595959" w:themeColor="text1" w:themeTint="A6"/>
        </w:rPr>
        <w:t>Nuo periodo pradžios iki 2020 m. rugsėjo 30 d. didžiausią dalį ministerijoms skirtų ES fondų lėšų investavusios yra Socialinės apsaugos ir darbo (69 proc.) ir Aplinkos (66 proc.) ministerijos. Per ataskaitinį 2020 metų ketvirtį, lyginant su kitomis ministerijomis, didžiausia lėšų dalis investuota Socialinės apsaugos ir darbo ministerijos ir Sveikatos apsaugos ministerijos administruojamose priemonėse.</w:t>
      </w:r>
    </w:p>
    <w:p w:rsidR="00A31DD2" w:rsidRPr="0013780C" w:rsidRDefault="00A31DD2" w:rsidP="00A31DD2">
      <w:pPr>
        <w:ind w:firstLine="426"/>
        <w:jc w:val="both"/>
        <w:rPr>
          <w:color w:val="595959" w:themeColor="text1" w:themeTint="A6"/>
        </w:rPr>
      </w:pPr>
      <w:r w:rsidRPr="0013780C">
        <w:rPr>
          <w:color w:val="595959" w:themeColor="text1" w:themeTint="A6"/>
        </w:rPr>
        <w:t>Mažiausia lėšų dalis nuo periodo pradžios investuota Ekonomikos ir inovacijų ministerijos (45 proc.) ir Sveikatos apsaugos ministerijos (47 proc.) administruojamose priemonėse.</w:t>
      </w:r>
      <w:r w:rsidR="000D78DD">
        <w:rPr>
          <w:color w:val="595959" w:themeColor="text1" w:themeTint="A6"/>
        </w:rPr>
        <w:t xml:space="preserve"> </w:t>
      </w:r>
      <w:r w:rsidR="002938E0">
        <w:rPr>
          <w:color w:val="595959" w:themeColor="text1" w:themeTint="A6"/>
        </w:rPr>
        <w:t>Mažesnėms mokėjimų apimtims įtakos turėjo sezoniškumas bei k</w:t>
      </w:r>
      <w:r w:rsidR="000D78DD">
        <w:rPr>
          <w:color w:val="595959" w:themeColor="text1" w:themeTint="A6"/>
        </w:rPr>
        <w:t>oronaviruso sukelta situacija</w:t>
      </w:r>
      <w:r w:rsidR="002938E0">
        <w:rPr>
          <w:color w:val="595959" w:themeColor="text1" w:themeTint="A6"/>
        </w:rPr>
        <w:t>, kuri</w:t>
      </w:r>
      <w:r w:rsidR="000D78DD">
        <w:rPr>
          <w:color w:val="595959" w:themeColor="text1" w:themeTint="A6"/>
        </w:rPr>
        <w:t xml:space="preserve"> apsunkino projektų įgyvendinimą.</w:t>
      </w:r>
    </w:p>
    <w:p w:rsidR="00A31DD2" w:rsidRPr="0013780C" w:rsidRDefault="00A31DD2" w:rsidP="00A31DD2">
      <w:pPr>
        <w:ind w:firstLine="426"/>
        <w:jc w:val="both"/>
        <w:rPr>
          <w:color w:val="595959" w:themeColor="text1" w:themeTint="A6"/>
        </w:rPr>
      </w:pPr>
      <w:r w:rsidRPr="0013780C">
        <w:rPr>
          <w:color w:val="595959" w:themeColor="text1" w:themeTint="A6"/>
        </w:rPr>
        <w:t>2020 m. II ketvirčio ataskaitoje ministerijoms teiktą siūlymą kiekvieną mėnesį investuoti ne mažiau 2 proc. ministerijų administruojamų lėšų įgyvendino Socialinės apsaugos ir darbo bei Sveikatos apsaugos ministerijos, per III ketvirtį investavusios po 6 proc. administruojamų ES lėšų. Per 5 proc. III ketv. investavo Aplinkos ir Vidaus reikalų ministerijos.</w:t>
      </w:r>
    </w:p>
    <w:p w:rsidR="00A31DD2" w:rsidRPr="0013780C" w:rsidRDefault="00A31DD2" w:rsidP="00A31DD2">
      <w:pPr>
        <w:ind w:firstLine="426"/>
        <w:jc w:val="both"/>
        <w:rPr>
          <w:color w:val="595959" w:themeColor="text1" w:themeTint="A6"/>
        </w:rPr>
      </w:pPr>
      <w:r w:rsidRPr="0013780C">
        <w:rPr>
          <w:color w:val="595959" w:themeColor="text1" w:themeTint="A6"/>
        </w:rPr>
        <w:t xml:space="preserve">Žemiausia investicijų sparta ataskaitinį ketvirtį Susisiekimo (2,6 proc.) </w:t>
      </w:r>
      <w:proofErr w:type="gramStart"/>
      <w:r w:rsidRPr="0013780C">
        <w:rPr>
          <w:color w:val="595959" w:themeColor="text1" w:themeTint="A6"/>
        </w:rPr>
        <w:t>ir Ekonomikos ir inovacijų</w:t>
      </w:r>
      <w:proofErr w:type="gramEnd"/>
      <w:r w:rsidRPr="0013780C">
        <w:rPr>
          <w:color w:val="595959" w:themeColor="text1" w:themeTint="A6"/>
        </w:rPr>
        <w:t xml:space="preserve"> (2,7 proc.) ministerijų administruojamose priemonėse.</w:t>
      </w:r>
    </w:p>
    <w:p w:rsidR="00A31DD2" w:rsidRPr="0013780C" w:rsidRDefault="00A31DD2" w:rsidP="00A31DD2">
      <w:pPr>
        <w:ind w:firstLine="426"/>
        <w:jc w:val="both"/>
        <w:rPr>
          <w:color w:val="595959" w:themeColor="text1" w:themeTint="A6"/>
        </w:rPr>
      </w:pPr>
      <w:r w:rsidRPr="0013780C">
        <w:rPr>
          <w:color w:val="595959" w:themeColor="text1" w:themeTint="A6"/>
        </w:rPr>
        <w:t xml:space="preserve">Atkreiptinas dėmesys, kad </w:t>
      </w:r>
      <w:r>
        <w:rPr>
          <w:color w:val="595959" w:themeColor="text1" w:themeTint="A6"/>
        </w:rPr>
        <w:t>per</w:t>
      </w:r>
      <w:r w:rsidR="00832A0F">
        <w:rPr>
          <w:color w:val="595959" w:themeColor="text1" w:themeTint="A6"/>
        </w:rPr>
        <w:t xml:space="preserve"> III ketvirtį investicijų sparta</w:t>
      </w:r>
      <w:r w:rsidRPr="0013780C">
        <w:rPr>
          <w:color w:val="595959" w:themeColor="text1" w:themeTint="A6"/>
        </w:rPr>
        <w:t xml:space="preserve"> lėtėjo: nuo 159 mln. eurų </w:t>
      </w:r>
      <w:r>
        <w:rPr>
          <w:color w:val="595959" w:themeColor="text1" w:themeTint="A6"/>
        </w:rPr>
        <w:t xml:space="preserve">ES lėšų </w:t>
      </w:r>
      <w:r w:rsidRPr="0013780C">
        <w:rPr>
          <w:color w:val="595959" w:themeColor="text1" w:themeTint="A6"/>
        </w:rPr>
        <w:t xml:space="preserve">liepos mėnesį iki 54 mln. eurų rugsėjo mėnesį. Š. m. rugsėjo investicijos </w:t>
      </w:r>
      <w:r>
        <w:rPr>
          <w:color w:val="595959" w:themeColor="text1" w:themeTint="A6"/>
        </w:rPr>
        <w:t>buvo</w:t>
      </w:r>
      <w:r w:rsidRPr="0013780C">
        <w:rPr>
          <w:color w:val="595959" w:themeColor="text1" w:themeTint="A6"/>
        </w:rPr>
        <w:t xml:space="preserve"> </w:t>
      </w:r>
      <w:r>
        <w:rPr>
          <w:color w:val="595959" w:themeColor="text1" w:themeTint="A6"/>
        </w:rPr>
        <w:t>mažesnės</w:t>
      </w:r>
      <w:r w:rsidRPr="0013780C">
        <w:rPr>
          <w:color w:val="595959" w:themeColor="text1" w:themeTint="A6"/>
        </w:rPr>
        <w:t xml:space="preserve"> lyginant su praėjusių dvejų metų to paties mėnesio investicijomis.</w:t>
      </w:r>
    </w:p>
    <w:p w:rsidR="00A31DD2" w:rsidRDefault="00A31DD2" w:rsidP="00A31DD2">
      <w:pPr>
        <w:ind w:firstLine="426"/>
        <w:jc w:val="both"/>
        <w:rPr>
          <w:color w:val="595959" w:themeColor="text1" w:themeTint="A6"/>
        </w:rPr>
      </w:pPr>
      <w:r w:rsidRPr="0013780C">
        <w:rPr>
          <w:color w:val="595959" w:themeColor="text1" w:themeTint="A6"/>
        </w:rPr>
        <w:t xml:space="preserve">Informacija apie finansinę pažangą nuo periodo pradžios pagal ministerijas pateikiama </w:t>
      </w:r>
      <w:r>
        <w:rPr>
          <w:color w:val="595959" w:themeColor="text1" w:themeTint="A6"/>
        </w:rPr>
        <w:t>4</w:t>
      </w:r>
      <w:r w:rsidRPr="0013780C">
        <w:rPr>
          <w:color w:val="595959" w:themeColor="text1" w:themeTint="A6"/>
        </w:rPr>
        <w:t xml:space="preserve"> grafike, </w:t>
      </w:r>
      <w:r>
        <w:rPr>
          <w:color w:val="595959" w:themeColor="text1" w:themeTint="A6"/>
        </w:rPr>
        <w:t>5</w:t>
      </w:r>
      <w:r w:rsidRPr="0013780C">
        <w:rPr>
          <w:color w:val="595959" w:themeColor="text1" w:themeTint="A6"/>
        </w:rPr>
        <w:t xml:space="preserve"> grafike pavaizduotas 2020 m. </w:t>
      </w:r>
      <w:r w:rsidR="00832A0F">
        <w:rPr>
          <w:color w:val="595959" w:themeColor="text1" w:themeTint="A6"/>
        </w:rPr>
        <w:t>asignavimų</w:t>
      </w:r>
      <w:r w:rsidRPr="0013780C">
        <w:rPr>
          <w:color w:val="595959" w:themeColor="text1" w:themeTint="A6"/>
        </w:rPr>
        <w:t xml:space="preserve"> plano vykdymas.</w:t>
      </w:r>
    </w:p>
    <w:p w:rsidR="0013780C" w:rsidRDefault="0013780C"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A5145F" w:rsidRDefault="00A5145F" w:rsidP="002D177D">
      <w:pPr>
        <w:rPr>
          <w:color w:val="595959" w:themeColor="text1" w:themeTint="A6"/>
          <w:lang w:eastAsia="lt-LT"/>
        </w:rPr>
      </w:pPr>
    </w:p>
    <w:p w:rsidR="00832A0F" w:rsidRPr="0013780C" w:rsidRDefault="00832A0F" w:rsidP="002D177D">
      <w:pPr>
        <w:rPr>
          <w:color w:val="595959" w:themeColor="text1" w:themeTint="A6"/>
          <w:lang w:eastAsia="lt-LT"/>
        </w:rPr>
      </w:pPr>
    </w:p>
    <w:p w:rsidR="002D177D" w:rsidRPr="009D6F0B" w:rsidRDefault="002D177D" w:rsidP="002D177D">
      <w:pPr>
        <w:pStyle w:val="Antrat"/>
        <w:keepNext/>
        <w:spacing w:after="0"/>
        <w:jc w:val="center"/>
        <w:rPr>
          <w:rFonts w:ascii="Times New Roman" w:hAnsi="Times New Roman"/>
          <w:noProof/>
          <w:color w:val="365F91" w:themeColor="accent1" w:themeShade="BF"/>
          <w:sz w:val="22"/>
          <w:szCs w:val="22"/>
        </w:rPr>
      </w:pPr>
      <w:r>
        <w:rPr>
          <w:rFonts w:ascii="Times New Roman" w:hAnsi="Times New Roman"/>
          <w:noProof/>
          <w:color w:val="365F91" w:themeColor="accent1" w:themeShade="BF"/>
          <w:sz w:val="22"/>
          <w:szCs w:val="22"/>
        </w:rPr>
        <w:lastRenderedPageBreak/>
        <w:t>5</w:t>
      </w:r>
      <w:r w:rsidRPr="0040787A">
        <w:rPr>
          <w:rFonts w:ascii="Times New Roman" w:hAnsi="Times New Roman"/>
          <w:noProof/>
          <w:color w:val="365F91" w:themeColor="accent1" w:themeShade="BF"/>
          <w:sz w:val="22"/>
          <w:szCs w:val="22"/>
        </w:rPr>
        <w:t xml:space="preserve"> grafikas. 2020 m. </w:t>
      </w:r>
      <w:r w:rsidR="00832A0F">
        <w:rPr>
          <w:rFonts w:ascii="Times New Roman" w:hAnsi="Times New Roman"/>
          <w:noProof/>
          <w:color w:val="365F91" w:themeColor="accent1" w:themeShade="BF"/>
          <w:sz w:val="22"/>
          <w:szCs w:val="22"/>
        </w:rPr>
        <w:t>asignavimų</w:t>
      </w:r>
      <w:r w:rsidRPr="0040787A">
        <w:rPr>
          <w:rFonts w:ascii="Times New Roman" w:hAnsi="Times New Roman"/>
          <w:noProof/>
          <w:color w:val="365F91" w:themeColor="accent1" w:themeShade="BF"/>
          <w:sz w:val="22"/>
          <w:szCs w:val="22"/>
        </w:rPr>
        <w:t xml:space="preserve"> plano vykdymas (</w:t>
      </w:r>
      <w:r w:rsidR="00832A0F">
        <w:rPr>
          <w:rFonts w:ascii="Times New Roman" w:hAnsi="Times New Roman"/>
          <w:noProof/>
          <w:color w:val="365F91" w:themeColor="accent1" w:themeShade="BF"/>
          <w:sz w:val="22"/>
          <w:szCs w:val="22"/>
        </w:rPr>
        <w:t>proc. nuo 2020 m. numatytos</w:t>
      </w:r>
      <w:r>
        <w:rPr>
          <w:rFonts w:ascii="Times New Roman" w:hAnsi="Times New Roman"/>
          <w:noProof/>
          <w:color w:val="365F91" w:themeColor="accent1" w:themeShade="BF"/>
          <w:sz w:val="22"/>
          <w:szCs w:val="22"/>
        </w:rPr>
        <w:t xml:space="preserve"> sumos ir mln. eurų</w:t>
      </w:r>
      <w:r w:rsidRPr="0040787A">
        <w:rPr>
          <w:rFonts w:ascii="Times New Roman" w:hAnsi="Times New Roman"/>
          <w:noProof/>
          <w:color w:val="365F91" w:themeColor="accent1" w:themeShade="BF"/>
          <w:sz w:val="22"/>
          <w:szCs w:val="22"/>
        </w:rPr>
        <w:t>)</w:t>
      </w:r>
    </w:p>
    <w:p w:rsidR="002D177D" w:rsidRPr="0040787A" w:rsidRDefault="002D177D" w:rsidP="002D177D">
      <w:pPr>
        <w:jc w:val="center"/>
        <w:rPr>
          <w:noProof/>
          <w:color w:val="4F81BD" w:themeColor="accent1"/>
          <w:sz w:val="16"/>
          <w:szCs w:val="16"/>
        </w:rPr>
      </w:pPr>
    </w:p>
    <w:p w:rsidR="002D177D" w:rsidRDefault="00832A0F" w:rsidP="002D177D">
      <w:pPr>
        <w:pStyle w:val="tekstas"/>
        <w:rPr>
          <w:rFonts w:ascii="Times New Roman" w:hAnsi="Times New Roman"/>
          <w:color w:val="595959" w:themeColor="text1" w:themeTint="A6"/>
          <w:highlight w:val="yellow"/>
          <w:lang w:eastAsia="lt-LT"/>
        </w:rPr>
      </w:pPr>
      <w:r>
        <w:rPr>
          <w:noProof/>
          <w:lang w:eastAsia="lt-LT"/>
        </w:rPr>
        <w:drawing>
          <wp:inline distT="0" distB="0" distL="0" distR="0" wp14:anchorId="0DA3F7D3" wp14:editId="192D8B26">
            <wp:extent cx="5057775" cy="3114676"/>
            <wp:effectExtent l="0" t="0" r="9525" b="9525"/>
            <wp:docPr id="5" name="Diagrama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D177D" w:rsidRDefault="002D177D" w:rsidP="002D177D">
      <w:pPr>
        <w:pStyle w:val="tekstas"/>
        <w:rPr>
          <w:rFonts w:ascii="Times New Roman" w:hAnsi="Times New Roman"/>
          <w:color w:val="595959" w:themeColor="text1" w:themeTint="A6"/>
          <w:highlight w:val="yellow"/>
          <w:lang w:eastAsia="lt-LT"/>
        </w:rPr>
      </w:pPr>
    </w:p>
    <w:p w:rsidR="00866D60" w:rsidRPr="0040787A" w:rsidRDefault="00C86895" w:rsidP="00533966">
      <w:pPr>
        <w:pStyle w:val="Antrat1"/>
        <w:spacing w:before="0" w:after="0"/>
        <w:ind w:left="426"/>
        <w:rPr>
          <w:rFonts w:ascii="Times New Roman" w:hAnsi="Times New Roman" w:cs="Times New Roman"/>
        </w:rPr>
      </w:pPr>
      <w:bookmarkStart w:id="9" w:name="_Toc508106024"/>
      <w:bookmarkStart w:id="10" w:name="_Toc54258630"/>
      <w:bookmarkEnd w:id="0"/>
      <w:bookmarkEnd w:id="7"/>
      <w:bookmarkEnd w:id="8"/>
      <w:r w:rsidRPr="0040787A">
        <w:rPr>
          <w:rFonts w:ascii="Times New Roman" w:hAnsi="Times New Roman" w:cs="Times New Roman"/>
        </w:rPr>
        <w:t>Situacijos sektoriuose analizė</w:t>
      </w:r>
      <w:bookmarkEnd w:id="9"/>
      <w:r w:rsidR="00042FE6" w:rsidRPr="0040787A">
        <w:rPr>
          <w:rFonts w:ascii="Times New Roman" w:hAnsi="Times New Roman" w:cs="Times New Roman"/>
        </w:rPr>
        <w:t xml:space="preserve"> ir siūlymai</w:t>
      </w:r>
      <w:bookmarkEnd w:id="10"/>
    </w:p>
    <w:p w:rsidR="003A1467" w:rsidRDefault="003A1467" w:rsidP="003A66E5">
      <w:pPr>
        <w:pStyle w:val="tekstas"/>
        <w:ind w:firstLine="0"/>
        <w:rPr>
          <w:rFonts w:ascii="Times New Roman" w:hAnsi="Times New Roman"/>
          <w:color w:val="595959" w:themeColor="text1" w:themeTint="A6"/>
          <w:lang w:eastAsia="lt-LT"/>
        </w:rPr>
      </w:pPr>
    </w:p>
    <w:p w:rsidR="00237D4B" w:rsidRDefault="00237D4B" w:rsidP="00237D4B">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2020</w:t>
      </w:r>
      <w:r w:rsidRPr="00180DE1">
        <w:rPr>
          <w:rFonts w:ascii="Times New Roman" w:hAnsi="Times New Roman"/>
          <w:color w:val="595959" w:themeColor="text1" w:themeTint="A6"/>
          <w:lang w:eastAsia="lt-LT"/>
        </w:rPr>
        <w:t xml:space="preserve"> m. </w:t>
      </w:r>
      <w:r>
        <w:rPr>
          <w:rFonts w:ascii="Times New Roman" w:hAnsi="Times New Roman"/>
          <w:color w:val="595959" w:themeColor="text1" w:themeTint="A6"/>
          <w:lang w:eastAsia="lt-LT"/>
        </w:rPr>
        <w:t>II</w:t>
      </w:r>
      <w:r w:rsidRPr="00180DE1">
        <w:rPr>
          <w:rFonts w:ascii="Times New Roman" w:hAnsi="Times New Roman"/>
          <w:color w:val="595959" w:themeColor="text1" w:themeTint="A6"/>
          <w:lang w:eastAsia="lt-LT"/>
        </w:rPr>
        <w:t xml:space="preserve"> ketv. ketvirtinėje ataskait</w:t>
      </w:r>
      <w:r>
        <w:rPr>
          <w:rFonts w:ascii="Times New Roman" w:hAnsi="Times New Roman"/>
          <w:color w:val="595959" w:themeColor="text1" w:themeTint="A6"/>
          <w:lang w:eastAsia="lt-LT"/>
        </w:rPr>
        <w:t>oje ministerijoms buvo pateikta</w:t>
      </w:r>
      <w:r w:rsidRPr="00180DE1">
        <w:rPr>
          <w:rFonts w:ascii="Times New Roman" w:hAnsi="Times New Roman"/>
          <w:color w:val="595959" w:themeColor="text1" w:themeTint="A6"/>
          <w:lang w:eastAsia="lt-LT"/>
        </w:rPr>
        <w:t xml:space="preserve"> </w:t>
      </w:r>
      <w:r w:rsidR="00C32DD0">
        <w:rPr>
          <w:rFonts w:ascii="Times New Roman" w:hAnsi="Times New Roman"/>
          <w:color w:val="595959" w:themeColor="text1" w:themeTint="A6"/>
          <w:lang w:eastAsia="lt-LT"/>
        </w:rPr>
        <w:t>11</w:t>
      </w:r>
      <w:r w:rsidRPr="00180DE1">
        <w:rPr>
          <w:rFonts w:ascii="Times New Roman" w:hAnsi="Times New Roman"/>
          <w:color w:val="595959" w:themeColor="text1" w:themeTint="A6"/>
          <w:lang w:eastAsia="lt-LT"/>
        </w:rPr>
        <w:t xml:space="preserve"> rekomendacij</w:t>
      </w:r>
      <w:r>
        <w:rPr>
          <w:rFonts w:ascii="Times New Roman" w:hAnsi="Times New Roman"/>
          <w:color w:val="595959" w:themeColor="text1" w:themeTint="A6"/>
          <w:lang w:eastAsia="lt-LT"/>
        </w:rPr>
        <w:t>ų</w:t>
      </w:r>
      <w:r w:rsidR="00C32DD0">
        <w:rPr>
          <w:rFonts w:ascii="Times New Roman" w:hAnsi="Times New Roman"/>
          <w:color w:val="595959" w:themeColor="text1" w:themeTint="A6"/>
          <w:lang w:eastAsia="lt-LT"/>
        </w:rPr>
        <w:t>, iš kurių visiškai įgyvendinta</w:t>
      </w:r>
      <w:r w:rsidR="000E6639">
        <w:rPr>
          <w:rFonts w:ascii="Times New Roman" w:hAnsi="Times New Roman"/>
          <w:color w:val="595959" w:themeColor="text1" w:themeTint="A6"/>
          <w:lang w:eastAsia="lt-LT"/>
        </w:rPr>
        <w:t xml:space="preserve"> -</w:t>
      </w:r>
      <w:r w:rsidR="00C32DD0">
        <w:rPr>
          <w:rFonts w:ascii="Times New Roman" w:hAnsi="Times New Roman"/>
          <w:color w:val="595959" w:themeColor="text1" w:themeTint="A6"/>
          <w:lang w:eastAsia="lt-LT"/>
        </w:rPr>
        <w:t xml:space="preserve"> 1, </w:t>
      </w:r>
      <w:r w:rsidR="000E6639">
        <w:rPr>
          <w:rFonts w:ascii="Times New Roman" w:hAnsi="Times New Roman"/>
          <w:color w:val="595959" w:themeColor="text1" w:themeTint="A6"/>
          <w:lang w:eastAsia="lt-LT"/>
        </w:rPr>
        <w:t xml:space="preserve">1 rekomendacija pasikeitus aplinkybėms tapo neaktuali, likusios įgyvendintos </w:t>
      </w:r>
      <w:r w:rsidR="00C32DD0">
        <w:rPr>
          <w:rFonts w:ascii="Times New Roman" w:hAnsi="Times New Roman"/>
          <w:color w:val="595959" w:themeColor="text1" w:themeTint="A6"/>
          <w:lang w:eastAsia="lt-LT"/>
        </w:rPr>
        <w:t>iš dalies</w:t>
      </w:r>
      <w:r w:rsidR="005A66E9">
        <w:rPr>
          <w:rFonts w:ascii="Times New Roman" w:hAnsi="Times New Roman"/>
          <w:color w:val="595959" w:themeColor="text1" w:themeTint="A6"/>
          <w:lang w:eastAsia="lt-LT"/>
        </w:rPr>
        <w:t xml:space="preserve"> arba šiuo metu dar nėra įgyvendintos</w:t>
      </w:r>
      <w:r w:rsidRPr="00180DE1">
        <w:rPr>
          <w:rFonts w:ascii="Times New Roman" w:hAnsi="Times New Roman"/>
          <w:color w:val="595959" w:themeColor="text1" w:themeTint="A6"/>
          <w:lang w:eastAsia="lt-LT"/>
        </w:rPr>
        <w:t xml:space="preserve">. </w:t>
      </w:r>
    </w:p>
    <w:p w:rsidR="000E6639" w:rsidRPr="00180DE1" w:rsidRDefault="000E6639" w:rsidP="00237D4B">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 xml:space="preserve">Taip pat pažymėtina, kad dar nėra </w:t>
      </w:r>
      <w:proofErr w:type="gramStart"/>
      <w:r w:rsidR="005A66E9">
        <w:rPr>
          <w:rFonts w:ascii="Times New Roman" w:hAnsi="Times New Roman"/>
          <w:color w:val="595959" w:themeColor="text1" w:themeTint="A6"/>
          <w:lang w:eastAsia="lt-LT"/>
        </w:rPr>
        <w:t>pilnai</w:t>
      </w:r>
      <w:proofErr w:type="gramEnd"/>
      <w:r w:rsidR="005A66E9">
        <w:rPr>
          <w:rFonts w:ascii="Times New Roman" w:hAnsi="Times New Roman"/>
          <w:color w:val="595959" w:themeColor="text1" w:themeTint="A6"/>
          <w:lang w:eastAsia="lt-LT"/>
        </w:rPr>
        <w:t xml:space="preserve"> </w:t>
      </w:r>
      <w:r>
        <w:rPr>
          <w:rFonts w:ascii="Times New Roman" w:hAnsi="Times New Roman"/>
          <w:color w:val="595959" w:themeColor="text1" w:themeTint="A6"/>
          <w:lang w:eastAsia="lt-LT"/>
        </w:rPr>
        <w:t xml:space="preserve">įgyvendintos 27 rekomendacijos </w:t>
      </w:r>
      <w:r w:rsidR="00D43A9F">
        <w:rPr>
          <w:rFonts w:ascii="Times New Roman" w:hAnsi="Times New Roman"/>
          <w:color w:val="595959" w:themeColor="text1" w:themeTint="A6"/>
          <w:lang w:eastAsia="lt-LT"/>
        </w:rPr>
        <w:t xml:space="preserve">ministerijoms </w:t>
      </w:r>
      <w:r>
        <w:rPr>
          <w:rFonts w:ascii="Times New Roman" w:hAnsi="Times New Roman"/>
          <w:color w:val="595959" w:themeColor="text1" w:themeTint="A6"/>
          <w:lang w:eastAsia="lt-LT"/>
        </w:rPr>
        <w:t>teiktos ankstesnėse ataskaitose.</w:t>
      </w:r>
    </w:p>
    <w:p w:rsidR="00237D4B" w:rsidRDefault="00237D4B" w:rsidP="00237D4B">
      <w:pPr>
        <w:pStyle w:val="tekstas"/>
        <w:rPr>
          <w:rFonts w:ascii="Times New Roman" w:hAnsi="Times New Roman"/>
          <w:color w:val="595959" w:themeColor="text1" w:themeTint="A6"/>
          <w:lang w:eastAsia="lt-LT"/>
        </w:rPr>
      </w:pPr>
      <w:r w:rsidRPr="00180DE1">
        <w:rPr>
          <w:rFonts w:ascii="Times New Roman" w:hAnsi="Times New Roman"/>
          <w:color w:val="595959" w:themeColor="text1" w:themeTint="A6"/>
          <w:lang w:eastAsia="lt-LT"/>
        </w:rPr>
        <w:t>Toliau šioje ataskaitos dalyje apžvelgiamas kiekvieno prioriteto įgyvendinimas, svarbesni įvykiai bei pateikiami siūlymai ministerijoms.</w:t>
      </w:r>
    </w:p>
    <w:p w:rsidR="00237D4B" w:rsidRPr="009D6C7D" w:rsidRDefault="00237D4B" w:rsidP="00237D4B">
      <w:pPr>
        <w:pStyle w:val="tekstas"/>
        <w:ind w:firstLine="0"/>
        <w:rPr>
          <w:rFonts w:ascii="Times New Roman" w:hAnsi="Times New Roman"/>
          <w:color w:val="595959" w:themeColor="text1" w:themeTint="A6"/>
          <w:lang w:eastAsia="lt-LT"/>
        </w:rPr>
      </w:pPr>
    </w:p>
    <w:p w:rsidR="00CD7B8E" w:rsidRPr="009D6C7D" w:rsidRDefault="00CD7B8E" w:rsidP="00E24240">
      <w:pPr>
        <w:keepNext/>
        <w:keepLines/>
        <w:jc w:val="both"/>
        <w:outlineLvl w:val="1"/>
        <w:rPr>
          <w:rFonts w:eastAsiaTheme="majorEastAsia"/>
          <w:b/>
          <w:bCs/>
          <w:color w:val="595959" w:themeColor="text1" w:themeTint="A6"/>
          <w:szCs w:val="24"/>
          <w:lang w:eastAsia="lt-LT"/>
        </w:rPr>
      </w:pPr>
      <w:bookmarkStart w:id="11" w:name="_Toc54258631"/>
      <w:r w:rsidRPr="009D6C7D">
        <w:rPr>
          <w:rFonts w:eastAsiaTheme="majorEastAsia"/>
          <w:b/>
          <w:bCs/>
          <w:color w:val="595959" w:themeColor="text1" w:themeTint="A6"/>
          <w:szCs w:val="24"/>
          <w:lang w:eastAsia="lt-LT"/>
        </w:rPr>
        <w:t>1 prioritetas. Mokslinių tyrimų, eksperimentinės plėtros ir inovacijų skatinimas</w:t>
      </w:r>
      <w:bookmarkEnd w:id="11"/>
    </w:p>
    <w:p w:rsidR="007475E3" w:rsidRPr="009D6C7D" w:rsidRDefault="007475E3" w:rsidP="00927906">
      <w:pPr>
        <w:jc w:val="both"/>
        <w:rPr>
          <w:color w:val="595959" w:themeColor="text1" w:themeTint="A6"/>
          <w:szCs w:val="24"/>
          <w:lang w:eastAsia="lt-LT"/>
        </w:rPr>
      </w:pPr>
    </w:p>
    <w:p w:rsidR="00FE2C45" w:rsidRDefault="00C92FA0" w:rsidP="007475E3">
      <w:pPr>
        <w:jc w:val="both"/>
        <w:rPr>
          <w:color w:val="595959" w:themeColor="text1" w:themeTint="A6"/>
          <w:szCs w:val="24"/>
          <w:lang w:eastAsia="lt-LT"/>
        </w:rPr>
      </w:pPr>
      <w:r>
        <w:rPr>
          <w:noProof/>
          <w:lang w:eastAsia="lt-LT"/>
        </w:rPr>
        <w:drawing>
          <wp:inline distT="0" distB="0" distL="0" distR="0" wp14:anchorId="2154AEDE" wp14:editId="7C5BD84D">
            <wp:extent cx="6120130" cy="596223"/>
            <wp:effectExtent l="0" t="0" r="13970" b="13970"/>
            <wp:docPr id="12" name="Diagrama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43A9F" w:rsidRDefault="00D43A9F" w:rsidP="007475E3">
      <w:pPr>
        <w:jc w:val="both"/>
        <w:rPr>
          <w:color w:val="595959" w:themeColor="text1" w:themeTint="A6"/>
          <w:szCs w:val="24"/>
          <w:lang w:eastAsia="lt-LT"/>
        </w:rPr>
      </w:pPr>
    </w:p>
    <w:p w:rsidR="007A57E0" w:rsidRPr="00D43A9F" w:rsidRDefault="007A57E0" w:rsidP="00D43A9F">
      <w:pPr>
        <w:pStyle w:val="tekstas"/>
        <w:rPr>
          <w:rFonts w:ascii="Times New Roman" w:hAnsi="Times New Roman"/>
          <w:color w:val="595959" w:themeColor="text1" w:themeTint="A6"/>
          <w:lang w:eastAsia="lt-LT"/>
        </w:rPr>
      </w:pPr>
      <w:r w:rsidRPr="00D43A9F">
        <w:rPr>
          <w:rFonts w:ascii="Times New Roman" w:hAnsi="Times New Roman"/>
          <w:color w:val="595959" w:themeColor="text1" w:themeTint="A6"/>
          <w:lang w:eastAsia="lt-LT"/>
        </w:rPr>
        <w:t>Švietimo, mokslo ir sporto ministerija sudarė sutartis visoms 1 prioriteto a</w:t>
      </w:r>
      <w:r w:rsidR="00D43A9F">
        <w:rPr>
          <w:rFonts w:ascii="Times New Roman" w:hAnsi="Times New Roman"/>
          <w:color w:val="595959" w:themeColor="text1" w:themeTint="A6"/>
          <w:lang w:eastAsia="lt-LT"/>
        </w:rPr>
        <w:t>dministruojamų priemonių lėšoms</w:t>
      </w:r>
      <w:r w:rsidR="0034618A">
        <w:rPr>
          <w:rFonts w:ascii="Times New Roman" w:hAnsi="Times New Roman"/>
          <w:color w:val="595959" w:themeColor="text1" w:themeTint="A6"/>
          <w:lang w:eastAsia="lt-LT"/>
        </w:rPr>
        <w:t xml:space="preserve">. Papildomai ministerijai prioritete yra numatyta 52,3 mln. eurų </w:t>
      </w:r>
      <w:proofErr w:type="spellStart"/>
      <w:r w:rsidR="0034618A">
        <w:rPr>
          <w:rFonts w:ascii="Times New Roman" w:hAnsi="Times New Roman"/>
          <w:color w:val="595959" w:themeColor="text1" w:themeTint="A6"/>
          <w:lang w:eastAsia="lt-LT"/>
        </w:rPr>
        <w:t>virškontraktavimo</w:t>
      </w:r>
      <w:proofErr w:type="spellEnd"/>
      <w:r w:rsidR="0034618A">
        <w:rPr>
          <w:rFonts w:ascii="Times New Roman" w:hAnsi="Times New Roman"/>
          <w:color w:val="595959" w:themeColor="text1" w:themeTint="A6"/>
          <w:lang w:eastAsia="lt-LT"/>
        </w:rPr>
        <w:t xml:space="preserve"> galimybė. L</w:t>
      </w:r>
      <w:r w:rsidRPr="00D43A9F">
        <w:rPr>
          <w:rFonts w:ascii="Times New Roman" w:hAnsi="Times New Roman"/>
          <w:color w:val="595959" w:themeColor="text1" w:themeTint="A6"/>
          <w:lang w:eastAsia="lt-LT"/>
        </w:rPr>
        <w:t>ėšų investavimo (41 proc.)</w:t>
      </w:r>
      <w:r w:rsidR="005819B7" w:rsidRPr="00D43A9F">
        <w:rPr>
          <w:rFonts w:ascii="Times New Roman" w:hAnsi="Times New Roman"/>
          <w:color w:val="595959" w:themeColor="text1" w:themeTint="A6"/>
          <w:lang w:eastAsia="lt-LT"/>
        </w:rPr>
        <w:t xml:space="preserve"> </w:t>
      </w:r>
      <w:r w:rsidR="00EA0915">
        <w:rPr>
          <w:rFonts w:ascii="Times New Roman" w:hAnsi="Times New Roman"/>
          <w:color w:val="595959" w:themeColor="text1" w:themeTint="A6"/>
          <w:lang w:eastAsia="lt-LT"/>
        </w:rPr>
        <w:t>tempas</w:t>
      </w:r>
      <w:r w:rsidRPr="00D43A9F">
        <w:rPr>
          <w:rFonts w:ascii="Times New Roman" w:hAnsi="Times New Roman"/>
          <w:color w:val="595959" w:themeColor="text1" w:themeTint="A6"/>
          <w:lang w:eastAsia="lt-LT"/>
        </w:rPr>
        <w:t xml:space="preserve"> </w:t>
      </w:r>
      <w:r w:rsidR="00EA0915">
        <w:rPr>
          <w:rFonts w:ascii="Times New Roman" w:hAnsi="Times New Roman"/>
          <w:color w:val="595959" w:themeColor="text1" w:themeTint="A6"/>
          <w:lang w:eastAsia="lt-LT"/>
        </w:rPr>
        <w:t>ir toliau išlieka nepakankamas.</w:t>
      </w:r>
    </w:p>
    <w:p w:rsidR="007A57E0" w:rsidRPr="00D43A9F" w:rsidRDefault="007A57E0" w:rsidP="00D43A9F">
      <w:pPr>
        <w:pStyle w:val="tekstas"/>
        <w:rPr>
          <w:rFonts w:ascii="Times New Roman" w:hAnsi="Times New Roman"/>
          <w:color w:val="595959" w:themeColor="text1" w:themeTint="A6"/>
          <w:lang w:eastAsia="lt-LT"/>
        </w:rPr>
      </w:pPr>
      <w:r w:rsidRPr="00D43A9F">
        <w:rPr>
          <w:rFonts w:ascii="Times New Roman" w:hAnsi="Times New Roman"/>
          <w:color w:val="595959" w:themeColor="text1" w:themeTint="A6"/>
          <w:lang w:eastAsia="lt-LT"/>
        </w:rPr>
        <w:t xml:space="preserve">Švietimo, mokslo ir sporto ministerija užbaigė </w:t>
      </w:r>
      <w:r w:rsidR="00EA0915">
        <w:rPr>
          <w:rFonts w:ascii="Times New Roman" w:hAnsi="Times New Roman"/>
          <w:color w:val="595959" w:themeColor="text1" w:themeTint="A6"/>
          <w:lang w:eastAsia="lt-LT"/>
        </w:rPr>
        <w:t xml:space="preserve">priemonės </w:t>
      </w:r>
      <w:r w:rsidRPr="00D43A9F">
        <w:rPr>
          <w:rFonts w:ascii="Times New Roman" w:hAnsi="Times New Roman"/>
          <w:color w:val="595959" w:themeColor="text1" w:themeTint="A6"/>
          <w:lang w:eastAsia="lt-LT"/>
        </w:rPr>
        <w:t xml:space="preserve">„Mokslinių tyrimų, eksperimentinės plėtros ir inovacijų infrastruktūros plėtra ir integracija į europines infrastruktūras“ </w:t>
      </w:r>
      <w:r w:rsidR="00EA0915" w:rsidRPr="00D43A9F">
        <w:rPr>
          <w:rFonts w:ascii="Times New Roman" w:hAnsi="Times New Roman"/>
          <w:color w:val="595959" w:themeColor="text1" w:themeTint="A6"/>
          <w:lang w:eastAsia="lt-LT"/>
        </w:rPr>
        <w:t xml:space="preserve">projektų sutarčių </w:t>
      </w:r>
      <w:r w:rsidRPr="00D43A9F">
        <w:rPr>
          <w:rFonts w:ascii="Times New Roman" w:hAnsi="Times New Roman"/>
          <w:color w:val="595959" w:themeColor="text1" w:themeTint="A6"/>
          <w:lang w:eastAsia="lt-LT"/>
        </w:rPr>
        <w:t>sudarymą, tačiau projektų įgyvendini</w:t>
      </w:r>
      <w:r w:rsidR="00EA0915">
        <w:rPr>
          <w:rFonts w:ascii="Times New Roman" w:hAnsi="Times New Roman"/>
          <w:color w:val="595959" w:themeColor="text1" w:themeTint="A6"/>
          <w:lang w:eastAsia="lt-LT"/>
        </w:rPr>
        <w:t>mas išlieka problemiškas.</w:t>
      </w:r>
    </w:p>
    <w:p w:rsidR="007A57E0" w:rsidRDefault="007A57E0" w:rsidP="00D43A9F">
      <w:pPr>
        <w:pStyle w:val="tekstas"/>
        <w:rPr>
          <w:rFonts w:ascii="Times New Roman" w:hAnsi="Times New Roman"/>
          <w:color w:val="595959" w:themeColor="text1" w:themeTint="A6"/>
          <w:lang w:eastAsia="lt-LT"/>
        </w:rPr>
      </w:pPr>
      <w:r w:rsidRPr="00D43A9F">
        <w:rPr>
          <w:rFonts w:ascii="Times New Roman" w:hAnsi="Times New Roman"/>
          <w:color w:val="595959" w:themeColor="text1" w:themeTint="A6"/>
          <w:lang w:eastAsia="lt-LT"/>
        </w:rPr>
        <w:t xml:space="preserve">Dėl projekto ,,Vilniaus universiteto ,,Medicinos fakulteto Mokslo centro sukūrimas“ statybos rangos darbų pirkimų tęsiasi teisminiai ginčai ir vertinant tai, kad statybos darbai truks ne mažiau </w:t>
      </w:r>
      <w:r w:rsidR="00EA0915">
        <w:rPr>
          <w:rFonts w:ascii="Times New Roman" w:hAnsi="Times New Roman"/>
          <w:color w:val="595959" w:themeColor="text1" w:themeTint="A6"/>
          <w:lang w:eastAsia="lt-LT"/>
        </w:rPr>
        <w:t>nei</w:t>
      </w:r>
      <w:r w:rsidRPr="00D43A9F">
        <w:rPr>
          <w:rFonts w:ascii="Times New Roman" w:hAnsi="Times New Roman"/>
          <w:color w:val="595959" w:themeColor="text1" w:themeTint="A6"/>
          <w:lang w:eastAsia="lt-LT"/>
        </w:rPr>
        <w:t xml:space="preserve"> 2 metus su galimybe juos pratęsti dar 1 metams, rizika nebaigti projekto laiku ir prarasti ES lėšas </w:t>
      </w:r>
      <w:proofErr w:type="gramStart"/>
      <w:r w:rsidRPr="00D43A9F">
        <w:rPr>
          <w:rFonts w:ascii="Times New Roman" w:hAnsi="Times New Roman"/>
          <w:color w:val="595959" w:themeColor="text1" w:themeTint="A6"/>
          <w:lang w:eastAsia="lt-LT"/>
        </w:rPr>
        <w:t>(</w:t>
      </w:r>
      <w:proofErr w:type="gramEnd"/>
      <w:r w:rsidRPr="00D43A9F">
        <w:rPr>
          <w:rFonts w:ascii="Times New Roman" w:hAnsi="Times New Roman"/>
          <w:color w:val="595959" w:themeColor="text1" w:themeTint="A6"/>
          <w:lang w:eastAsia="lt-LT"/>
        </w:rPr>
        <w:t>23,1 ml</w:t>
      </w:r>
      <w:r w:rsidR="00EA0915">
        <w:rPr>
          <w:rFonts w:ascii="Times New Roman" w:hAnsi="Times New Roman"/>
          <w:color w:val="595959" w:themeColor="text1" w:themeTint="A6"/>
          <w:lang w:eastAsia="lt-LT"/>
        </w:rPr>
        <w:t>n</w:t>
      </w:r>
      <w:r w:rsidRPr="00D43A9F">
        <w:rPr>
          <w:rFonts w:ascii="Times New Roman" w:hAnsi="Times New Roman"/>
          <w:color w:val="595959" w:themeColor="text1" w:themeTint="A6"/>
          <w:lang w:eastAsia="lt-LT"/>
        </w:rPr>
        <w:t xml:space="preserve">. </w:t>
      </w:r>
      <w:r w:rsidR="00EA0915">
        <w:rPr>
          <w:rFonts w:ascii="Times New Roman" w:hAnsi="Times New Roman"/>
          <w:color w:val="595959" w:themeColor="text1" w:themeTint="A6"/>
          <w:lang w:eastAsia="lt-LT"/>
        </w:rPr>
        <w:t>eurų</w:t>
      </w:r>
      <w:r w:rsidRPr="00D43A9F">
        <w:rPr>
          <w:rFonts w:ascii="Times New Roman" w:hAnsi="Times New Roman"/>
          <w:color w:val="595959" w:themeColor="text1" w:themeTint="A6"/>
          <w:lang w:eastAsia="lt-LT"/>
        </w:rPr>
        <w:t>) yra didelė. Todėl Švietimo, mokslo ir sporto ministerija turi skubiai išnagrinėti galimas alternatyvas dėl šio projekto finansavimo tęsimo, jei teisminiai ginčai</w:t>
      </w:r>
      <w:r w:rsidR="00351FE9">
        <w:rPr>
          <w:rFonts w:ascii="Times New Roman" w:hAnsi="Times New Roman"/>
          <w:color w:val="595959" w:themeColor="text1" w:themeTint="A6"/>
          <w:lang w:eastAsia="lt-LT"/>
        </w:rPr>
        <w:t xml:space="preserve"> užsitęstų arba </w:t>
      </w:r>
      <w:r w:rsidRPr="00D43A9F">
        <w:rPr>
          <w:rFonts w:ascii="Times New Roman" w:hAnsi="Times New Roman"/>
          <w:color w:val="595959" w:themeColor="text1" w:themeTint="A6"/>
          <w:lang w:eastAsia="lt-LT"/>
        </w:rPr>
        <w:t>Vilniaus universitetui baigtųsi nepalankiai. Nors Švietimo, mokslo ir sporto ministerija informavo, kad reguliariai organizuoja MTEPI infrastruktūros projektų pažangos aptarimus, tačiau atkreiptinas dėmesys dėl dar 8 MTEPI infrastruktūros projektų</w:t>
      </w:r>
      <w:r w:rsidR="00A95D41" w:rsidRPr="00A95D41">
        <w:t xml:space="preserve"> </w:t>
      </w:r>
      <w:r w:rsidR="00A95D41">
        <w:t>(</w:t>
      </w:r>
      <w:r w:rsidR="00A95D41" w:rsidRPr="00A95D41">
        <w:rPr>
          <w:rFonts w:ascii="Times New Roman" w:hAnsi="Times New Roman"/>
          <w:color w:val="595959" w:themeColor="text1" w:themeTint="A6"/>
          <w:lang w:eastAsia="lt-LT"/>
        </w:rPr>
        <w:t>Lietuvos GRID našių skaičia</w:t>
      </w:r>
      <w:r w:rsidR="00A95D41">
        <w:rPr>
          <w:rFonts w:ascii="Times New Roman" w:hAnsi="Times New Roman"/>
          <w:color w:val="595959" w:themeColor="text1" w:themeTint="A6"/>
          <w:lang w:eastAsia="lt-LT"/>
        </w:rPr>
        <w:t xml:space="preserve">vimų </w:t>
      </w:r>
      <w:r w:rsidR="00A95D41">
        <w:rPr>
          <w:rFonts w:ascii="Times New Roman" w:hAnsi="Times New Roman"/>
          <w:color w:val="595959" w:themeColor="text1" w:themeTint="A6"/>
          <w:lang w:eastAsia="lt-LT"/>
        </w:rPr>
        <w:t>tinklas (</w:t>
      </w:r>
      <w:proofErr w:type="spellStart"/>
      <w:r w:rsidR="00A95D41">
        <w:rPr>
          <w:rFonts w:ascii="Times New Roman" w:hAnsi="Times New Roman"/>
          <w:color w:val="595959" w:themeColor="text1" w:themeTint="A6"/>
          <w:lang w:eastAsia="lt-LT"/>
        </w:rPr>
        <w:t>LitGrid-HPC)</w:t>
      </w:r>
      <w:proofErr w:type="spellEnd"/>
      <w:r w:rsidR="00A95D41">
        <w:rPr>
          <w:rFonts w:ascii="Times New Roman" w:hAnsi="Times New Roman"/>
          <w:color w:val="595959" w:themeColor="text1" w:themeTint="A6"/>
          <w:lang w:eastAsia="lt-LT"/>
        </w:rPr>
        <w:t xml:space="preserve"> (VU);</w:t>
      </w:r>
      <w:r w:rsidR="00A95D41" w:rsidRPr="00A95D41">
        <w:rPr>
          <w:rFonts w:ascii="Times New Roman" w:hAnsi="Times New Roman"/>
          <w:color w:val="595959" w:themeColor="text1" w:themeTint="A6"/>
          <w:lang w:eastAsia="lt-LT"/>
        </w:rPr>
        <w:t xml:space="preserve"> Mechanikos, Elektronikos ir Transporto inžinerijos fakultetų labo</w:t>
      </w:r>
      <w:r w:rsidR="00A95D41">
        <w:rPr>
          <w:rFonts w:ascii="Times New Roman" w:hAnsi="Times New Roman"/>
          <w:color w:val="595959" w:themeColor="text1" w:themeTint="A6"/>
          <w:lang w:eastAsia="lt-LT"/>
        </w:rPr>
        <w:t>ratorijų korpuso statyba (VGTU);</w:t>
      </w:r>
      <w:r w:rsidR="00A95D41" w:rsidRPr="00A95D41">
        <w:rPr>
          <w:rFonts w:ascii="Times New Roman" w:hAnsi="Times New Roman"/>
          <w:color w:val="595959" w:themeColor="text1" w:themeTint="A6"/>
          <w:lang w:eastAsia="lt-LT"/>
        </w:rPr>
        <w:t xml:space="preserve"> Fizinių ir technologinių mokslų eksperimentinių ir </w:t>
      </w:r>
      <w:proofErr w:type="spellStart"/>
      <w:r w:rsidR="00A95D41" w:rsidRPr="00A95D41">
        <w:rPr>
          <w:rFonts w:ascii="Times New Roman" w:hAnsi="Times New Roman"/>
          <w:color w:val="595959" w:themeColor="text1" w:themeTint="A6"/>
          <w:lang w:eastAsia="lt-LT"/>
        </w:rPr>
        <w:t>prototipavimo</w:t>
      </w:r>
      <w:proofErr w:type="spellEnd"/>
      <w:r w:rsidR="00A95D41" w:rsidRPr="00A95D41">
        <w:rPr>
          <w:rFonts w:ascii="Times New Roman" w:hAnsi="Times New Roman"/>
          <w:color w:val="595959" w:themeColor="text1" w:themeTint="A6"/>
          <w:lang w:eastAsia="lt-LT"/>
        </w:rPr>
        <w:t xml:space="preserve"> labo</w:t>
      </w:r>
      <w:r w:rsidR="00A95D41">
        <w:rPr>
          <w:rFonts w:ascii="Times New Roman" w:hAnsi="Times New Roman"/>
          <w:color w:val="595959" w:themeColor="text1" w:themeTint="A6"/>
          <w:lang w:eastAsia="lt-LT"/>
        </w:rPr>
        <w:t>ratorijų centras ,,M-</w:t>
      </w:r>
      <w:proofErr w:type="spellStart"/>
      <w:r w:rsidR="00A95D41">
        <w:rPr>
          <w:rFonts w:ascii="Times New Roman" w:hAnsi="Times New Roman"/>
          <w:color w:val="595959" w:themeColor="text1" w:themeTint="A6"/>
          <w:lang w:eastAsia="lt-LT"/>
        </w:rPr>
        <w:t>Lab</w:t>
      </w:r>
      <w:proofErr w:type="spellEnd"/>
      <w:r w:rsidR="00A95D41">
        <w:rPr>
          <w:rFonts w:ascii="Times New Roman" w:hAnsi="Times New Roman"/>
          <w:color w:val="595959" w:themeColor="text1" w:themeTint="A6"/>
          <w:lang w:eastAsia="lt-LT"/>
        </w:rPr>
        <w:t>“ (KTU);</w:t>
      </w:r>
      <w:r w:rsidR="00A95D41" w:rsidRPr="00A95D41">
        <w:rPr>
          <w:rFonts w:ascii="Times New Roman" w:hAnsi="Times New Roman"/>
          <w:color w:val="595959" w:themeColor="text1" w:themeTint="A6"/>
          <w:lang w:eastAsia="lt-LT"/>
        </w:rPr>
        <w:t xml:space="preserve"> Vil</w:t>
      </w:r>
      <w:r w:rsidR="00A95D41">
        <w:rPr>
          <w:rFonts w:ascii="Times New Roman" w:hAnsi="Times New Roman"/>
          <w:color w:val="595959" w:themeColor="text1" w:themeTint="A6"/>
          <w:lang w:eastAsia="lt-LT"/>
        </w:rPr>
        <w:t>niaus STEAM centro kūrimas (VU);</w:t>
      </w:r>
      <w:r w:rsidR="00A95D41" w:rsidRPr="00A95D41">
        <w:rPr>
          <w:rFonts w:ascii="Times New Roman" w:hAnsi="Times New Roman"/>
          <w:color w:val="595959" w:themeColor="text1" w:themeTint="A6"/>
          <w:lang w:eastAsia="lt-LT"/>
        </w:rPr>
        <w:t xml:space="preserve"> Žmogaus biologinių ištek</w:t>
      </w:r>
      <w:r w:rsidR="00A95D41">
        <w:rPr>
          <w:rFonts w:ascii="Times New Roman" w:hAnsi="Times New Roman"/>
          <w:color w:val="595959" w:themeColor="text1" w:themeTint="A6"/>
          <w:lang w:eastAsia="lt-LT"/>
        </w:rPr>
        <w:t>lių centras (Nacionalinis vėžio institutas);</w:t>
      </w:r>
      <w:r w:rsidR="00A95D41" w:rsidRPr="00A95D41">
        <w:rPr>
          <w:rFonts w:ascii="Times New Roman" w:hAnsi="Times New Roman"/>
          <w:color w:val="595959" w:themeColor="text1" w:themeTint="A6"/>
          <w:lang w:eastAsia="lt-LT"/>
        </w:rPr>
        <w:t xml:space="preserve"> </w:t>
      </w:r>
      <w:proofErr w:type="spellStart"/>
      <w:r w:rsidR="00A95D41" w:rsidRPr="00A95D41">
        <w:rPr>
          <w:rFonts w:ascii="Times New Roman" w:hAnsi="Times New Roman"/>
          <w:color w:val="595959" w:themeColor="text1" w:themeTint="A6"/>
          <w:lang w:eastAsia="lt-LT"/>
        </w:rPr>
        <w:t>Agroinovacijų</w:t>
      </w:r>
      <w:proofErr w:type="spellEnd"/>
      <w:r w:rsidR="00A95D41" w:rsidRPr="00A95D41">
        <w:rPr>
          <w:rFonts w:ascii="Times New Roman" w:hAnsi="Times New Roman"/>
          <w:color w:val="595959" w:themeColor="text1" w:themeTint="A6"/>
          <w:lang w:eastAsia="lt-LT"/>
        </w:rPr>
        <w:t xml:space="preserve"> mokslinių ty</w:t>
      </w:r>
      <w:r w:rsidR="00A95D41">
        <w:rPr>
          <w:rFonts w:ascii="Times New Roman" w:hAnsi="Times New Roman"/>
          <w:color w:val="595959" w:themeColor="text1" w:themeTint="A6"/>
          <w:lang w:eastAsia="lt-LT"/>
        </w:rPr>
        <w:t>rimų bazės modernizavimas (VDU);</w:t>
      </w:r>
      <w:r w:rsidR="00A95D41" w:rsidRPr="00A95D41">
        <w:rPr>
          <w:rFonts w:ascii="Times New Roman" w:hAnsi="Times New Roman"/>
          <w:color w:val="595959" w:themeColor="text1" w:themeTint="A6"/>
          <w:lang w:eastAsia="lt-LT"/>
        </w:rPr>
        <w:t xml:space="preserve"> Jūrinio STEAM APC infrastruktūros su</w:t>
      </w:r>
      <w:r w:rsidR="00A95D41">
        <w:rPr>
          <w:rFonts w:ascii="Times New Roman" w:hAnsi="Times New Roman"/>
          <w:color w:val="595959" w:themeColor="text1" w:themeTint="A6"/>
          <w:lang w:eastAsia="lt-LT"/>
        </w:rPr>
        <w:t>kūrimas (KU);</w:t>
      </w:r>
      <w:r w:rsidR="00A95D41" w:rsidRPr="00A95D41">
        <w:rPr>
          <w:rFonts w:ascii="Times New Roman" w:hAnsi="Times New Roman"/>
          <w:color w:val="595959" w:themeColor="text1" w:themeTint="A6"/>
          <w:lang w:eastAsia="lt-LT"/>
        </w:rPr>
        <w:t xml:space="preserve"> Branduolinių tyrimų centras (LSMU)</w:t>
      </w:r>
      <w:r w:rsidRPr="00D43A9F">
        <w:rPr>
          <w:rFonts w:ascii="Times New Roman" w:hAnsi="Times New Roman"/>
          <w:color w:val="595959" w:themeColor="text1" w:themeTint="A6"/>
          <w:lang w:eastAsia="lt-LT"/>
        </w:rPr>
        <w:t>, kurių finansavimo sutartys pasirašytos 2018–2019 metais ir investicijos dar nepradėtos.</w:t>
      </w:r>
    </w:p>
    <w:p w:rsidR="002863D5" w:rsidRPr="00D43A9F" w:rsidRDefault="002863D5" w:rsidP="00D43A9F">
      <w:pPr>
        <w:pStyle w:val="tekstas"/>
        <w:rPr>
          <w:rFonts w:ascii="Times New Roman" w:hAnsi="Times New Roman"/>
          <w:color w:val="595959" w:themeColor="text1" w:themeTint="A6"/>
          <w:lang w:eastAsia="lt-LT"/>
        </w:rPr>
      </w:pPr>
      <w:r w:rsidRPr="00D43A9F">
        <w:rPr>
          <w:rFonts w:ascii="Times New Roman" w:hAnsi="Times New Roman"/>
          <w:color w:val="595959" w:themeColor="text1" w:themeTint="A6"/>
          <w:lang w:eastAsia="lt-LT"/>
        </w:rPr>
        <w:t>Švietimo, mokslo ir sporto ministerija</w:t>
      </w:r>
      <w:r w:rsidRPr="002863D5">
        <w:rPr>
          <w:rFonts w:ascii="Times New Roman" w:hAnsi="Times New Roman"/>
          <w:color w:val="595959" w:themeColor="text1" w:themeTint="A6"/>
          <w:lang w:eastAsia="lt-LT"/>
        </w:rPr>
        <w:t xml:space="preserve"> </w:t>
      </w:r>
      <w:r w:rsidRPr="00D43A9F">
        <w:rPr>
          <w:rFonts w:ascii="Times New Roman" w:hAnsi="Times New Roman"/>
          <w:color w:val="595959" w:themeColor="text1" w:themeTint="A6"/>
          <w:lang w:eastAsia="lt-LT"/>
        </w:rPr>
        <w:t>į valstybės projektų sąrašą įtraukdama</w:t>
      </w:r>
      <w:r w:rsidRPr="002863D5">
        <w:rPr>
          <w:rFonts w:ascii="Times New Roman" w:hAnsi="Times New Roman"/>
          <w:color w:val="595959" w:themeColor="text1" w:themeTint="A6"/>
          <w:lang w:eastAsia="lt-LT"/>
        </w:rPr>
        <w:t xml:space="preserve"> </w:t>
      </w:r>
      <w:r w:rsidRPr="00D43A9F">
        <w:rPr>
          <w:rFonts w:ascii="Times New Roman" w:hAnsi="Times New Roman"/>
          <w:color w:val="595959" w:themeColor="text1" w:themeTint="A6"/>
          <w:lang w:eastAsia="lt-LT"/>
        </w:rPr>
        <w:t>projektą „EMBL – pa</w:t>
      </w:r>
      <w:r>
        <w:rPr>
          <w:rFonts w:ascii="Times New Roman" w:hAnsi="Times New Roman"/>
          <w:color w:val="595959" w:themeColor="text1" w:themeTint="A6"/>
          <w:lang w:eastAsia="lt-LT"/>
        </w:rPr>
        <w:t>rtnerio institucija“ (6 mln. eurų</w:t>
      </w:r>
      <w:r w:rsidRPr="00D43A9F">
        <w:rPr>
          <w:rFonts w:ascii="Times New Roman" w:hAnsi="Times New Roman"/>
          <w:color w:val="595959" w:themeColor="text1" w:themeTint="A6"/>
          <w:lang w:eastAsia="lt-LT"/>
        </w:rPr>
        <w:t>) pradėjo</w:t>
      </w:r>
      <w:r>
        <w:rPr>
          <w:rFonts w:ascii="Times New Roman" w:hAnsi="Times New Roman"/>
          <w:color w:val="595959" w:themeColor="text1" w:themeTint="A6"/>
          <w:lang w:eastAsia="lt-LT"/>
        </w:rPr>
        <w:t xml:space="preserve"> įgyvendinti priemonę </w:t>
      </w:r>
      <w:r w:rsidRPr="00D43A9F">
        <w:rPr>
          <w:rFonts w:ascii="Times New Roman" w:hAnsi="Times New Roman"/>
          <w:color w:val="595959" w:themeColor="text1" w:themeTint="A6"/>
          <w:lang w:eastAsia="lt-LT"/>
        </w:rPr>
        <w:t>,,Ekscelencijos centrų veiklos skatinimas sumanios specializacijos srityje“</w:t>
      </w:r>
      <w:r>
        <w:rPr>
          <w:rFonts w:ascii="Times New Roman" w:hAnsi="Times New Roman"/>
          <w:color w:val="595959" w:themeColor="text1" w:themeTint="A6"/>
          <w:lang w:eastAsia="lt-LT"/>
        </w:rPr>
        <w:t xml:space="preserve">. </w:t>
      </w:r>
      <w:r w:rsidRPr="00D43A9F">
        <w:rPr>
          <w:rFonts w:ascii="Times New Roman" w:hAnsi="Times New Roman"/>
          <w:color w:val="595959" w:themeColor="text1" w:themeTint="A6"/>
          <w:lang w:eastAsia="lt-LT"/>
        </w:rPr>
        <w:t>Taip pat patvirtintas</w:t>
      </w:r>
      <w:r>
        <w:rPr>
          <w:rFonts w:ascii="Times New Roman" w:hAnsi="Times New Roman"/>
          <w:color w:val="595959" w:themeColor="text1" w:themeTint="A6"/>
          <w:lang w:eastAsia="lt-LT"/>
        </w:rPr>
        <w:t xml:space="preserve"> 41 </w:t>
      </w:r>
      <w:proofErr w:type="gramStart"/>
      <w:r>
        <w:rPr>
          <w:rFonts w:ascii="Times New Roman" w:hAnsi="Times New Roman"/>
          <w:color w:val="595959" w:themeColor="text1" w:themeTint="A6"/>
          <w:lang w:eastAsia="lt-LT"/>
        </w:rPr>
        <w:t>priemonės</w:t>
      </w:r>
      <w:proofErr w:type="gramEnd"/>
      <w:r>
        <w:rPr>
          <w:rFonts w:ascii="Times New Roman" w:hAnsi="Times New Roman"/>
          <w:color w:val="595959" w:themeColor="text1" w:themeTint="A6"/>
          <w:lang w:eastAsia="lt-LT"/>
        </w:rPr>
        <w:t xml:space="preserve"> </w:t>
      </w:r>
      <w:r w:rsidRPr="00D43A9F">
        <w:rPr>
          <w:rFonts w:ascii="Times New Roman" w:hAnsi="Times New Roman"/>
          <w:color w:val="595959" w:themeColor="text1" w:themeTint="A6"/>
          <w:lang w:eastAsia="lt-LT"/>
        </w:rPr>
        <w:t>„Tiksliniai moksliniai tyrimai sumanios specializacijos srityje“</w:t>
      </w:r>
      <w:r>
        <w:rPr>
          <w:rFonts w:ascii="Times New Roman" w:hAnsi="Times New Roman"/>
          <w:color w:val="595959" w:themeColor="text1" w:themeTint="A6"/>
          <w:lang w:eastAsia="lt-LT"/>
        </w:rPr>
        <w:t xml:space="preserve"> projektas. Šių projektų vertė </w:t>
      </w:r>
      <w:r w:rsidRPr="002863D5">
        <w:rPr>
          <w:rFonts w:ascii="Times New Roman" w:hAnsi="Times New Roman"/>
          <w:color w:val="595959" w:themeColor="text1" w:themeTint="A6"/>
          <w:lang w:eastAsia="lt-LT"/>
        </w:rPr>
        <w:t>26,5 mln. eurų, iš kurių 14 mln. eurų</w:t>
      </w:r>
      <w:r w:rsidR="00E920B5">
        <w:rPr>
          <w:rFonts w:ascii="Times New Roman" w:hAnsi="Times New Roman"/>
          <w:color w:val="595959" w:themeColor="text1" w:themeTint="A6"/>
          <w:lang w:eastAsia="lt-LT"/>
        </w:rPr>
        <w:t xml:space="preserve"> skirti Ateities ekonomikos DNR plano investicijoms</w:t>
      </w:r>
      <w:r w:rsidR="00E920B5" w:rsidRPr="00E920B5">
        <w:rPr>
          <w:rFonts w:ascii="Times New Roman" w:hAnsi="Times New Roman"/>
          <w:color w:val="595959" w:themeColor="text1" w:themeTint="A6"/>
          <w:lang w:eastAsia="lt-LT"/>
        </w:rPr>
        <w:t xml:space="preserve"> į aukšto lygio tyrėjų grupių vykdomus mokslinius tyrimus, </w:t>
      </w:r>
      <w:r w:rsidR="00C65C4F" w:rsidRPr="00C65C4F">
        <w:rPr>
          <w:rFonts w:ascii="Times New Roman" w:hAnsi="Times New Roman"/>
          <w:color w:val="595959" w:themeColor="text1" w:themeTint="A6"/>
          <w:lang w:eastAsia="lt-LT"/>
        </w:rPr>
        <w:t xml:space="preserve">skirtus kurti ūkio sektoriams aktualias MTEP veiklų tematikas atitinkančius rezultatus, kurie vėliau galėtų būti </w:t>
      </w:r>
      <w:proofErr w:type="spellStart"/>
      <w:r w:rsidR="00C65C4F" w:rsidRPr="00C65C4F">
        <w:rPr>
          <w:rFonts w:ascii="Times New Roman" w:hAnsi="Times New Roman"/>
          <w:color w:val="595959" w:themeColor="text1" w:themeTint="A6"/>
          <w:lang w:eastAsia="lt-LT"/>
        </w:rPr>
        <w:t>komercinami</w:t>
      </w:r>
      <w:proofErr w:type="spellEnd"/>
      <w:r w:rsidR="00E920B5">
        <w:rPr>
          <w:rFonts w:ascii="Times New Roman" w:hAnsi="Times New Roman"/>
          <w:color w:val="595959" w:themeColor="text1" w:themeTint="A6"/>
          <w:lang w:eastAsia="lt-LT"/>
        </w:rPr>
        <w:t>.</w:t>
      </w:r>
    </w:p>
    <w:p w:rsidR="002B13F9" w:rsidRPr="007A57E0" w:rsidRDefault="002B13F9" w:rsidP="007A57E0">
      <w:pPr>
        <w:ind w:firstLine="426"/>
        <w:jc w:val="both"/>
        <w:rPr>
          <w:color w:val="000000" w:themeColor="text1"/>
          <w:szCs w:val="24"/>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2B13F9" w:rsidRPr="0040787A" w:rsidTr="00291BD6">
        <w:tc>
          <w:tcPr>
            <w:tcW w:w="9638" w:type="dxa"/>
            <w:tcBorders>
              <w:top w:val="nil"/>
              <w:left w:val="nil"/>
              <w:bottom w:val="nil"/>
              <w:right w:val="nil"/>
            </w:tcBorders>
            <w:shd w:val="clear" w:color="auto" w:fill="D9D9D9" w:themeFill="background1" w:themeFillShade="D9"/>
          </w:tcPr>
          <w:p w:rsidR="002B13F9" w:rsidRPr="0040787A" w:rsidRDefault="00E920B5" w:rsidP="00291BD6">
            <w:pPr>
              <w:jc w:val="both"/>
              <w:rPr>
                <w:b/>
                <w:color w:val="365F91" w:themeColor="accent1" w:themeShade="BF"/>
              </w:rPr>
            </w:pPr>
            <w:r>
              <w:rPr>
                <w:b/>
                <w:color w:val="365F91" w:themeColor="accent1" w:themeShade="BF"/>
              </w:rPr>
              <w:t>Siūlymas</w:t>
            </w:r>
            <w:r>
              <w:t xml:space="preserve"> </w:t>
            </w:r>
            <w:r w:rsidRPr="00E920B5">
              <w:rPr>
                <w:b/>
                <w:color w:val="365F91" w:themeColor="accent1" w:themeShade="BF"/>
              </w:rPr>
              <w:t>Švietimo, mokslo ir sporto</w:t>
            </w:r>
            <w:r w:rsidR="002B13F9">
              <w:rPr>
                <w:b/>
                <w:color w:val="365F91" w:themeColor="accent1" w:themeShade="BF"/>
              </w:rPr>
              <w:t xml:space="preserve"> </w:t>
            </w:r>
            <w:r w:rsidR="002B13F9" w:rsidRPr="0040787A">
              <w:rPr>
                <w:b/>
                <w:color w:val="365F91" w:themeColor="accent1" w:themeShade="BF"/>
              </w:rPr>
              <w:t>ministerijai:</w:t>
            </w:r>
          </w:p>
          <w:p w:rsidR="002B13F9" w:rsidRPr="00835C89" w:rsidRDefault="002B13F9" w:rsidP="00E920B5">
            <w:pPr>
              <w:jc w:val="both"/>
              <w:rPr>
                <w:color w:val="365F91" w:themeColor="accent1" w:themeShade="BF"/>
              </w:rPr>
            </w:pPr>
            <w:r w:rsidRPr="0040787A">
              <w:rPr>
                <w:color w:val="365F91" w:themeColor="accent1" w:themeShade="BF"/>
              </w:rPr>
              <w:t xml:space="preserve">- </w:t>
            </w:r>
            <w:r>
              <w:rPr>
                <w:color w:val="365F91" w:themeColor="accent1" w:themeShade="BF"/>
              </w:rPr>
              <w:t xml:space="preserve">iki 2020 m. </w:t>
            </w:r>
            <w:r w:rsidR="00A96152">
              <w:rPr>
                <w:color w:val="365F91" w:themeColor="accent1" w:themeShade="BF"/>
              </w:rPr>
              <w:t xml:space="preserve">gruodžio 11 d. </w:t>
            </w:r>
            <w:r>
              <w:rPr>
                <w:color w:val="365F91" w:themeColor="accent1" w:themeShade="BF"/>
              </w:rPr>
              <w:t xml:space="preserve">bendradarbiaujant su Centrine projektų valdymo agentūra įvertinti riziką </w:t>
            </w:r>
            <w:r w:rsidR="00A96152">
              <w:rPr>
                <w:color w:val="365F91" w:themeColor="accent1" w:themeShade="BF"/>
              </w:rPr>
              <w:t xml:space="preserve">laiku </w:t>
            </w:r>
            <w:r>
              <w:rPr>
                <w:color w:val="365F91" w:themeColor="accent1" w:themeShade="BF"/>
              </w:rPr>
              <w:t>neįgyvendinti MTEPI infrastruktūros projekt</w:t>
            </w:r>
            <w:r w:rsidR="00A96152">
              <w:rPr>
                <w:color w:val="365F91" w:themeColor="accent1" w:themeShade="BF"/>
              </w:rPr>
              <w:t>ų</w:t>
            </w:r>
            <w:r>
              <w:rPr>
                <w:color w:val="365F91" w:themeColor="accent1" w:themeShade="BF"/>
              </w:rPr>
              <w:t xml:space="preserve"> ir </w:t>
            </w:r>
            <w:r w:rsidR="00A96152">
              <w:rPr>
                <w:color w:val="365F91" w:themeColor="accent1" w:themeShade="BF"/>
              </w:rPr>
              <w:t>esant grėsmei prarasti ES lėšas</w:t>
            </w:r>
            <w:r w:rsidR="00E920B5">
              <w:rPr>
                <w:color w:val="365F91" w:themeColor="accent1" w:themeShade="BF"/>
              </w:rPr>
              <w:t xml:space="preserve"> </w:t>
            </w:r>
            <w:r>
              <w:rPr>
                <w:color w:val="365F91" w:themeColor="accent1" w:themeShade="BF"/>
              </w:rPr>
              <w:t>pateikti siūlymus dėl</w:t>
            </w:r>
            <w:r w:rsidR="00A96152">
              <w:rPr>
                <w:color w:val="365F91" w:themeColor="accent1" w:themeShade="BF"/>
              </w:rPr>
              <w:t xml:space="preserve"> lėšų perskirstymo</w:t>
            </w:r>
            <w:r>
              <w:rPr>
                <w:color w:val="365F91" w:themeColor="accent1" w:themeShade="BF"/>
              </w:rPr>
              <w:t>.</w:t>
            </w:r>
          </w:p>
        </w:tc>
      </w:tr>
    </w:tbl>
    <w:p w:rsidR="00533966" w:rsidRDefault="00533966" w:rsidP="00933E59">
      <w:pPr>
        <w:jc w:val="both"/>
        <w:rPr>
          <w:color w:val="595959" w:themeColor="text1" w:themeTint="A6"/>
          <w:szCs w:val="24"/>
          <w:lang w:eastAsia="lt-LT"/>
        </w:rPr>
      </w:pPr>
    </w:p>
    <w:p w:rsidR="00533966" w:rsidRDefault="00C92FA0" w:rsidP="00933E59">
      <w:pPr>
        <w:jc w:val="both"/>
        <w:rPr>
          <w:color w:val="595959" w:themeColor="text1" w:themeTint="A6"/>
          <w:szCs w:val="24"/>
          <w:lang w:eastAsia="lt-LT"/>
        </w:rPr>
      </w:pPr>
      <w:r>
        <w:rPr>
          <w:noProof/>
          <w:lang w:eastAsia="lt-LT"/>
        </w:rPr>
        <w:drawing>
          <wp:inline distT="0" distB="0" distL="0" distR="0" wp14:anchorId="0053F7A1" wp14:editId="7F95A1DA">
            <wp:extent cx="6120130" cy="586749"/>
            <wp:effectExtent l="0" t="0" r="13970" b="22860"/>
            <wp:docPr id="13" name="Diagrama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920B5" w:rsidRDefault="00E920B5" w:rsidP="00933E59">
      <w:pPr>
        <w:jc w:val="both"/>
        <w:rPr>
          <w:color w:val="595959" w:themeColor="text1" w:themeTint="A6"/>
          <w:szCs w:val="24"/>
          <w:lang w:eastAsia="lt-LT"/>
        </w:rPr>
      </w:pPr>
    </w:p>
    <w:p w:rsidR="00E920B5" w:rsidRDefault="005819B7" w:rsidP="00E920B5">
      <w:pPr>
        <w:ind w:firstLine="426"/>
        <w:jc w:val="both"/>
        <w:rPr>
          <w:color w:val="595959" w:themeColor="text1" w:themeTint="A6"/>
          <w:szCs w:val="24"/>
          <w:lang w:eastAsia="lt-LT"/>
        </w:rPr>
      </w:pPr>
      <w:r>
        <w:rPr>
          <w:color w:val="595959" w:themeColor="text1" w:themeTint="A6"/>
          <w:szCs w:val="24"/>
          <w:lang w:eastAsia="lt-LT"/>
        </w:rPr>
        <w:t xml:space="preserve">Ekonomikos ir inovacijų ministerijos sudarytų 1 prioriteto </w:t>
      </w:r>
      <w:r w:rsidR="00E920B5">
        <w:rPr>
          <w:color w:val="595959" w:themeColor="text1" w:themeTint="A6"/>
          <w:szCs w:val="24"/>
          <w:lang w:eastAsia="lt-LT"/>
        </w:rPr>
        <w:t xml:space="preserve">administruojamų </w:t>
      </w:r>
      <w:r>
        <w:rPr>
          <w:color w:val="595959" w:themeColor="text1" w:themeTint="A6"/>
          <w:szCs w:val="24"/>
          <w:lang w:eastAsia="lt-LT"/>
        </w:rPr>
        <w:t>priemonių sutarčių</w:t>
      </w:r>
      <w:r w:rsidR="00E920B5">
        <w:rPr>
          <w:color w:val="595959" w:themeColor="text1" w:themeTint="A6"/>
          <w:szCs w:val="24"/>
          <w:lang w:eastAsia="lt-LT"/>
        </w:rPr>
        <w:t xml:space="preserve"> dalis siekia 95 </w:t>
      </w:r>
      <w:r>
        <w:rPr>
          <w:color w:val="595959" w:themeColor="text1" w:themeTint="A6"/>
          <w:szCs w:val="24"/>
          <w:lang w:eastAsia="lt-LT"/>
        </w:rPr>
        <w:t xml:space="preserve">proc. </w:t>
      </w:r>
      <w:r w:rsidR="00E920B5">
        <w:rPr>
          <w:color w:val="595959" w:themeColor="text1" w:themeTint="A6"/>
          <w:szCs w:val="24"/>
          <w:lang w:eastAsia="lt-LT"/>
        </w:rPr>
        <w:t>D</w:t>
      </w:r>
      <w:r>
        <w:rPr>
          <w:color w:val="595959" w:themeColor="text1" w:themeTint="A6"/>
          <w:szCs w:val="24"/>
          <w:lang w:eastAsia="lt-LT"/>
        </w:rPr>
        <w:t>ar neinvestuotų lėšų likutis yra numatytas priemonėms</w:t>
      </w:r>
      <w:r w:rsidR="00547FCE">
        <w:rPr>
          <w:color w:val="595959" w:themeColor="text1" w:themeTint="A6"/>
          <w:szCs w:val="24"/>
          <w:lang w:eastAsia="lt-LT"/>
        </w:rPr>
        <w:t>, kur vykdoma tęstinė projektų atranka.</w:t>
      </w:r>
      <w:r w:rsidR="00E920B5">
        <w:rPr>
          <w:color w:val="595959" w:themeColor="text1" w:themeTint="A6"/>
          <w:szCs w:val="24"/>
          <w:lang w:eastAsia="lt-LT"/>
        </w:rPr>
        <w:t xml:space="preserve"> Taip pat šiame prioritete ministerijai yra numatyta 156,8 mln. eurų ES lėšų </w:t>
      </w:r>
      <w:proofErr w:type="spellStart"/>
      <w:r w:rsidR="00E920B5">
        <w:rPr>
          <w:color w:val="595959" w:themeColor="text1" w:themeTint="A6"/>
          <w:szCs w:val="24"/>
          <w:lang w:eastAsia="lt-LT"/>
        </w:rPr>
        <w:t>virškontraktavimo</w:t>
      </w:r>
      <w:proofErr w:type="spellEnd"/>
      <w:r w:rsidR="00E920B5">
        <w:rPr>
          <w:color w:val="595959" w:themeColor="text1" w:themeTint="A6"/>
          <w:szCs w:val="24"/>
          <w:lang w:eastAsia="lt-LT"/>
        </w:rPr>
        <w:t xml:space="preserve"> galimybė</w:t>
      </w:r>
      <w:r w:rsidR="00E251FC">
        <w:rPr>
          <w:color w:val="595959" w:themeColor="text1" w:themeTint="A6"/>
          <w:szCs w:val="24"/>
          <w:lang w:eastAsia="lt-LT"/>
        </w:rPr>
        <w:t xml:space="preserve">. </w:t>
      </w:r>
    </w:p>
    <w:p w:rsidR="00AF7DF5" w:rsidRDefault="005819B7" w:rsidP="00E920B5">
      <w:pPr>
        <w:ind w:firstLine="426"/>
        <w:jc w:val="both"/>
        <w:rPr>
          <w:color w:val="595959" w:themeColor="text1" w:themeTint="A6"/>
          <w:szCs w:val="24"/>
          <w:lang w:eastAsia="lt-LT"/>
        </w:rPr>
      </w:pPr>
      <w:r>
        <w:rPr>
          <w:color w:val="595959" w:themeColor="text1" w:themeTint="A6"/>
          <w:szCs w:val="24"/>
          <w:lang w:eastAsia="lt-LT"/>
        </w:rPr>
        <w:t xml:space="preserve">Pastebimas </w:t>
      </w:r>
      <w:r w:rsidR="00E251FC">
        <w:rPr>
          <w:color w:val="595959" w:themeColor="text1" w:themeTint="A6"/>
          <w:szCs w:val="24"/>
          <w:lang w:eastAsia="lt-LT"/>
        </w:rPr>
        <w:t xml:space="preserve">mažesnis už Veiksmų programos vidurkį lėšų investavimo procentas (39 proc.), tačiau tai </w:t>
      </w:r>
      <w:r w:rsidR="00AF7DF5">
        <w:rPr>
          <w:color w:val="595959" w:themeColor="text1" w:themeTint="A6"/>
          <w:szCs w:val="24"/>
          <w:lang w:eastAsia="lt-LT"/>
        </w:rPr>
        <w:t xml:space="preserve">lemia objektyvios priežastys </w:t>
      </w:r>
      <w:r w:rsidR="00F67191" w:rsidRPr="00F67191">
        <w:rPr>
          <w:color w:val="595959" w:themeColor="text1" w:themeTint="A6"/>
          <w:szCs w:val="24"/>
          <w:lang w:eastAsia="lt-LT"/>
        </w:rPr>
        <w:t>–</w:t>
      </w:r>
      <w:r w:rsidR="00E251FC">
        <w:rPr>
          <w:color w:val="595959" w:themeColor="text1" w:themeTint="A6"/>
          <w:szCs w:val="24"/>
          <w:lang w:eastAsia="lt-LT"/>
        </w:rPr>
        <w:t xml:space="preserve"> </w:t>
      </w:r>
      <w:r w:rsidR="00DB2606">
        <w:rPr>
          <w:color w:val="595959" w:themeColor="text1" w:themeTint="A6"/>
          <w:szCs w:val="24"/>
          <w:lang w:eastAsia="lt-LT"/>
        </w:rPr>
        <w:t>2019 m. skirtas papildomas finansavimas naujoms investicijoms</w:t>
      </w:r>
      <w:r w:rsidR="00AF7DF5">
        <w:rPr>
          <w:color w:val="595959" w:themeColor="text1" w:themeTint="A6"/>
          <w:szCs w:val="24"/>
          <w:lang w:eastAsia="lt-LT"/>
        </w:rPr>
        <w:t>, taip pat</w:t>
      </w:r>
      <w:r w:rsidR="00DB2606">
        <w:rPr>
          <w:color w:val="595959" w:themeColor="text1" w:themeTint="A6"/>
          <w:szCs w:val="24"/>
          <w:lang w:eastAsia="lt-LT"/>
        </w:rPr>
        <w:t xml:space="preserve"> įtakos turi</w:t>
      </w:r>
      <w:r w:rsidR="00AF7DF5">
        <w:rPr>
          <w:color w:val="595959" w:themeColor="text1" w:themeTint="A6"/>
          <w:szCs w:val="24"/>
          <w:lang w:eastAsia="lt-LT"/>
        </w:rPr>
        <w:t xml:space="preserve"> finansuojamų projektų specifika (MTEP veiklos), kai projekto veiklos ir investicijos </w:t>
      </w:r>
      <w:r w:rsidR="00E251FC">
        <w:rPr>
          <w:color w:val="595959" w:themeColor="text1" w:themeTint="A6"/>
          <w:szCs w:val="24"/>
          <w:lang w:eastAsia="lt-LT"/>
        </w:rPr>
        <w:t>sąmoningai išdėstomos</w:t>
      </w:r>
      <w:r w:rsidR="00AF7DF5">
        <w:rPr>
          <w:color w:val="595959" w:themeColor="text1" w:themeTint="A6"/>
          <w:szCs w:val="24"/>
          <w:lang w:eastAsia="lt-LT"/>
        </w:rPr>
        <w:t xml:space="preserve"> nuosekliai laike</w:t>
      </w:r>
      <w:r w:rsidR="00E251FC">
        <w:rPr>
          <w:color w:val="595959" w:themeColor="text1" w:themeTint="A6"/>
          <w:szCs w:val="24"/>
          <w:lang w:eastAsia="lt-LT"/>
        </w:rPr>
        <w:t>, o</w:t>
      </w:r>
      <w:r w:rsidR="00842752">
        <w:rPr>
          <w:color w:val="595959" w:themeColor="text1" w:themeTint="A6"/>
          <w:szCs w:val="24"/>
          <w:lang w:eastAsia="lt-LT"/>
        </w:rPr>
        <w:t xml:space="preserve"> j</w:t>
      </w:r>
      <w:r w:rsidR="00E251FC">
        <w:rPr>
          <w:color w:val="595959" w:themeColor="text1" w:themeTint="A6"/>
          <w:szCs w:val="24"/>
          <w:lang w:eastAsia="lt-LT"/>
        </w:rPr>
        <w:t xml:space="preserve">as </w:t>
      </w:r>
      <w:r w:rsidR="00842752">
        <w:rPr>
          <w:color w:val="595959" w:themeColor="text1" w:themeTint="A6"/>
          <w:szCs w:val="24"/>
          <w:lang w:eastAsia="lt-LT"/>
        </w:rPr>
        <w:t>spartinti nevisais atvejais yra įmanoma.</w:t>
      </w:r>
    </w:p>
    <w:p w:rsidR="00084B50" w:rsidRDefault="00084B50" w:rsidP="00E920B5">
      <w:pPr>
        <w:ind w:firstLine="426"/>
        <w:jc w:val="both"/>
        <w:rPr>
          <w:color w:val="595959" w:themeColor="text1" w:themeTint="A6"/>
          <w:szCs w:val="24"/>
          <w:lang w:eastAsia="lt-LT"/>
        </w:rPr>
      </w:pPr>
      <w:r>
        <w:rPr>
          <w:color w:val="595959" w:themeColor="text1" w:themeTint="A6"/>
          <w:szCs w:val="24"/>
          <w:lang w:eastAsia="lt-LT"/>
        </w:rPr>
        <w:t>Ataskaitiniu laikotarpiu Ekonomikos ir inovacijų ministerija sudarė priemonės</w:t>
      </w:r>
      <w:r w:rsidRPr="00084B50">
        <w:rPr>
          <w:color w:val="595959" w:themeColor="text1" w:themeTint="A6"/>
          <w:szCs w:val="24"/>
          <w:lang w:eastAsia="lt-LT"/>
        </w:rPr>
        <w:t xml:space="preserve"> ,,Eksperimentas“</w:t>
      </w:r>
      <w:r>
        <w:rPr>
          <w:color w:val="595959" w:themeColor="text1" w:themeTint="A6"/>
          <w:szCs w:val="24"/>
          <w:lang w:eastAsia="lt-LT"/>
        </w:rPr>
        <w:t xml:space="preserve"> sutarčių už 72,7 mln. eurų bei paskirstė 81 mln. eurų šios priemonės </w:t>
      </w:r>
      <w:proofErr w:type="spellStart"/>
      <w:r>
        <w:rPr>
          <w:color w:val="595959" w:themeColor="text1" w:themeTint="A6"/>
          <w:szCs w:val="24"/>
          <w:lang w:eastAsia="lt-LT"/>
        </w:rPr>
        <w:t>virškontraktavimo</w:t>
      </w:r>
      <w:proofErr w:type="spellEnd"/>
      <w:r>
        <w:rPr>
          <w:color w:val="595959" w:themeColor="text1" w:themeTint="A6"/>
          <w:szCs w:val="24"/>
          <w:lang w:eastAsia="lt-LT"/>
        </w:rPr>
        <w:t xml:space="preserve"> lėšų rezerviniam projektų sąrašui, kurio investicijos skirtos DNR plano veiksmų įgyvendinimui. </w:t>
      </w:r>
    </w:p>
    <w:p w:rsidR="00DB2606" w:rsidRDefault="00DB2606" w:rsidP="00E920B5">
      <w:pPr>
        <w:ind w:firstLine="426"/>
        <w:jc w:val="both"/>
        <w:rPr>
          <w:color w:val="595959" w:themeColor="text1" w:themeTint="A6"/>
          <w:szCs w:val="24"/>
          <w:lang w:eastAsia="lt-LT"/>
        </w:rPr>
      </w:pPr>
      <w:r w:rsidRPr="00E920B5">
        <w:rPr>
          <w:color w:val="595959" w:themeColor="text1" w:themeTint="A6"/>
          <w:szCs w:val="24"/>
          <w:lang w:eastAsia="lt-LT"/>
        </w:rPr>
        <w:t xml:space="preserve">Finansų ministerija atsižvelgė į Ekonomikos ir inovacijų ministerijos </w:t>
      </w:r>
      <w:r w:rsidR="00D90CF3" w:rsidRPr="00E920B5">
        <w:rPr>
          <w:color w:val="595959" w:themeColor="text1" w:themeTint="A6"/>
          <w:szCs w:val="24"/>
          <w:lang w:eastAsia="lt-LT"/>
        </w:rPr>
        <w:t xml:space="preserve">prašymą ir iki 2020 m. vidurio pratęsė </w:t>
      </w:r>
      <w:r w:rsidRPr="00E920B5">
        <w:rPr>
          <w:color w:val="595959" w:themeColor="text1" w:themeTint="A6"/>
          <w:szCs w:val="24"/>
          <w:lang w:eastAsia="lt-LT"/>
        </w:rPr>
        <w:t>priemonių „</w:t>
      </w:r>
      <w:proofErr w:type="spellStart"/>
      <w:r w:rsidRPr="00E920B5">
        <w:rPr>
          <w:color w:val="595959" w:themeColor="text1" w:themeTint="A6"/>
          <w:szCs w:val="24"/>
          <w:lang w:eastAsia="lt-LT"/>
        </w:rPr>
        <w:t>Inoconnect</w:t>
      </w:r>
      <w:proofErr w:type="spellEnd"/>
      <w:r w:rsidRPr="00E920B5">
        <w:rPr>
          <w:color w:val="595959" w:themeColor="text1" w:themeTint="A6"/>
          <w:szCs w:val="24"/>
          <w:lang w:eastAsia="lt-LT"/>
        </w:rPr>
        <w:t>“, „</w:t>
      </w:r>
      <w:proofErr w:type="spellStart"/>
      <w:r w:rsidRPr="00E920B5">
        <w:rPr>
          <w:color w:val="595959" w:themeColor="text1" w:themeTint="A6"/>
          <w:szCs w:val="24"/>
          <w:lang w:eastAsia="lt-LT"/>
        </w:rPr>
        <w:t>Inopatentas</w:t>
      </w:r>
      <w:proofErr w:type="spellEnd"/>
      <w:r w:rsidRPr="00E920B5">
        <w:rPr>
          <w:color w:val="595959" w:themeColor="text1" w:themeTint="A6"/>
          <w:szCs w:val="24"/>
          <w:lang w:eastAsia="lt-LT"/>
        </w:rPr>
        <w:t>“, „</w:t>
      </w:r>
      <w:proofErr w:type="spellStart"/>
      <w:r w:rsidRPr="00E920B5">
        <w:rPr>
          <w:color w:val="595959" w:themeColor="text1" w:themeTint="A6"/>
          <w:szCs w:val="24"/>
          <w:lang w:eastAsia="lt-LT"/>
        </w:rPr>
        <w:t>Inočekiai</w:t>
      </w:r>
      <w:proofErr w:type="spellEnd"/>
      <w:r w:rsidRPr="00E920B5">
        <w:rPr>
          <w:color w:val="595959" w:themeColor="text1" w:themeTint="A6"/>
          <w:szCs w:val="24"/>
          <w:lang w:eastAsia="lt-LT"/>
        </w:rPr>
        <w:t>“ ir „</w:t>
      </w:r>
      <w:proofErr w:type="spellStart"/>
      <w:r w:rsidRPr="00E920B5">
        <w:rPr>
          <w:color w:val="595959" w:themeColor="text1" w:themeTint="A6"/>
          <w:szCs w:val="24"/>
          <w:lang w:eastAsia="lt-LT"/>
        </w:rPr>
        <w:t>Inostartas</w:t>
      </w:r>
      <w:proofErr w:type="spellEnd"/>
      <w:r w:rsidRPr="00E920B5">
        <w:rPr>
          <w:color w:val="595959" w:themeColor="text1" w:themeTint="A6"/>
          <w:szCs w:val="24"/>
          <w:lang w:eastAsia="lt-LT"/>
        </w:rPr>
        <w:t>“</w:t>
      </w:r>
      <w:r w:rsidR="00C938D8" w:rsidRPr="00E920B5">
        <w:rPr>
          <w:color w:val="595959" w:themeColor="text1" w:themeTint="A6"/>
          <w:szCs w:val="24"/>
          <w:lang w:eastAsia="lt-LT"/>
        </w:rPr>
        <w:t>, pagal kurias vykdoma tęstinė projektų atranka</w:t>
      </w:r>
      <w:r w:rsidR="00D90CF3" w:rsidRPr="00E920B5">
        <w:rPr>
          <w:color w:val="595959" w:themeColor="text1" w:themeTint="A6"/>
          <w:szCs w:val="24"/>
          <w:lang w:eastAsia="lt-LT"/>
        </w:rPr>
        <w:t>,</w:t>
      </w:r>
      <w:r w:rsidR="00C938D8" w:rsidRPr="00E920B5">
        <w:rPr>
          <w:color w:val="595959" w:themeColor="text1" w:themeTint="A6"/>
          <w:szCs w:val="24"/>
          <w:lang w:eastAsia="lt-LT"/>
        </w:rPr>
        <w:t xml:space="preserve"> </w:t>
      </w:r>
      <w:r w:rsidRPr="00E920B5">
        <w:rPr>
          <w:color w:val="595959" w:themeColor="text1" w:themeTint="A6"/>
          <w:szCs w:val="24"/>
          <w:lang w:eastAsia="lt-LT"/>
        </w:rPr>
        <w:t>finansavimo sutarčių pasi</w:t>
      </w:r>
      <w:r w:rsidR="00D90CF3" w:rsidRPr="00E920B5">
        <w:rPr>
          <w:color w:val="595959" w:themeColor="text1" w:themeTint="A6"/>
          <w:szCs w:val="24"/>
          <w:lang w:eastAsia="lt-LT"/>
        </w:rPr>
        <w:t>rašymo terminą</w:t>
      </w:r>
      <w:r w:rsidR="00084B50">
        <w:rPr>
          <w:color w:val="595959" w:themeColor="text1" w:themeTint="A6"/>
          <w:szCs w:val="24"/>
          <w:lang w:eastAsia="lt-LT"/>
        </w:rPr>
        <w:t>.</w:t>
      </w:r>
    </w:p>
    <w:p w:rsidR="00DC0D65" w:rsidRPr="009D6C7D" w:rsidRDefault="00DC0D65" w:rsidP="008510B0">
      <w:pPr>
        <w:jc w:val="both"/>
        <w:rPr>
          <w:color w:val="595959" w:themeColor="text1" w:themeTint="A6"/>
          <w:szCs w:val="24"/>
          <w:lang w:eastAsia="lt-LT"/>
        </w:rPr>
      </w:pPr>
    </w:p>
    <w:p w:rsidR="000305AE" w:rsidRPr="009D6C7D" w:rsidRDefault="000305AE" w:rsidP="0077692B">
      <w:pPr>
        <w:keepNext/>
        <w:keepLines/>
        <w:jc w:val="both"/>
        <w:outlineLvl w:val="1"/>
        <w:rPr>
          <w:rFonts w:eastAsiaTheme="majorEastAsia"/>
          <w:b/>
          <w:bCs/>
          <w:color w:val="595959" w:themeColor="text1" w:themeTint="A6"/>
          <w:szCs w:val="24"/>
          <w:lang w:eastAsia="lt-LT"/>
        </w:rPr>
      </w:pPr>
      <w:bookmarkStart w:id="12" w:name="_Toc512504078"/>
      <w:bookmarkStart w:id="13" w:name="_Toc10104953"/>
      <w:bookmarkStart w:id="14" w:name="_Toc54258632"/>
      <w:r w:rsidRPr="009D6C7D">
        <w:rPr>
          <w:rFonts w:eastAsiaTheme="majorEastAsia"/>
          <w:b/>
          <w:bCs/>
          <w:color w:val="595959" w:themeColor="text1" w:themeTint="A6"/>
          <w:szCs w:val="24"/>
          <w:lang w:eastAsia="lt-LT"/>
        </w:rPr>
        <w:t>2 prioritetas. Informacinės visuomenės skatinimas</w:t>
      </w:r>
      <w:bookmarkEnd w:id="12"/>
      <w:bookmarkEnd w:id="13"/>
      <w:bookmarkEnd w:id="14"/>
    </w:p>
    <w:p w:rsidR="00927906" w:rsidRDefault="00927906" w:rsidP="00927906">
      <w:pPr>
        <w:jc w:val="both"/>
        <w:rPr>
          <w:color w:val="595959" w:themeColor="text1" w:themeTint="A6"/>
          <w:szCs w:val="24"/>
          <w:lang w:eastAsia="lt-LT"/>
        </w:rPr>
      </w:pPr>
    </w:p>
    <w:p w:rsidR="00C92FA0" w:rsidRDefault="00C92FA0" w:rsidP="00927906">
      <w:pPr>
        <w:jc w:val="both"/>
        <w:rPr>
          <w:color w:val="595959" w:themeColor="text1" w:themeTint="A6"/>
          <w:szCs w:val="24"/>
          <w:lang w:eastAsia="lt-LT"/>
        </w:rPr>
      </w:pPr>
      <w:r>
        <w:rPr>
          <w:noProof/>
          <w:lang w:eastAsia="lt-LT"/>
        </w:rPr>
        <w:drawing>
          <wp:inline distT="0" distB="0" distL="0" distR="0" wp14:anchorId="0B23F30A" wp14:editId="76F226D8">
            <wp:extent cx="6120130" cy="587381"/>
            <wp:effectExtent l="0" t="0" r="13970" b="22225"/>
            <wp:docPr id="14" name="Diagra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379C9" w:rsidRPr="00F60757" w:rsidRDefault="008379C9" w:rsidP="008379C9">
      <w:pPr>
        <w:ind w:firstLine="426"/>
        <w:jc w:val="both"/>
        <w:rPr>
          <w:color w:val="595959" w:themeColor="text1" w:themeTint="A6"/>
          <w:szCs w:val="24"/>
          <w:lang w:eastAsia="lt-LT"/>
        </w:rPr>
      </w:pPr>
    </w:p>
    <w:p w:rsidR="008379C9" w:rsidRPr="00F60757" w:rsidRDefault="008379C9" w:rsidP="00F60757">
      <w:pPr>
        <w:ind w:firstLine="426"/>
        <w:jc w:val="both"/>
        <w:rPr>
          <w:color w:val="595959" w:themeColor="text1" w:themeTint="A6"/>
          <w:szCs w:val="24"/>
          <w:lang w:eastAsia="lt-LT"/>
        </w:rPr>
      </w:pPr>
      <w:r w:rsidRPr="00F60757">
        <w:rPr>
          <w:color w:val="595959" w:themeColor="text1" w:themeTint="A6"/>
          <w:szCs w:val="24"/>
          <w:lang w:eastAsia="lt-LT"/>
        </w:rPr>
        <w:t xml:space="preserve">Susisiekimo ministerijai įgyvendinant 2 prioriteto priemones visos investicijos iš esmės suplanuotos, sutarčių sudaryta už 98 proc. skirtų lėšų, projekto vykdytojams išmokėta 49 proc. lėšų. </w:t>
      </w:r>
      <w:r w:rsidR="00D43721" w:rsidRPr="00F60757">
        <w:rPr>
          <w:color w:val="595959" w:themeColor="text1" w:themeTint="A6"/>
          <w:szCs w:val="24"/>
          <w:lang w:eastAsia="lt-LT"/>
        </w:rPr>
        <w:t>Yra rizika nespėti pasirašyti sutarties dėl trečiojo „Elektroninės sveikatos paslaugos‘ projekto, todėl ministerija turi dėti pastangas, kad v</w:t>
      </w:r>
      <w:r w:rsidRPr="00F60757">
        <w:rPr>
          <w:color w:val="595959" w:themeColor="text1" w:themeTint="A6"/>
          <w:szCs w:val="24"/>
          <w:lang w:eastAsia="lt-LT"/>
        </w:rPr>
        <w:t xml:space="preserve">isos projektų sutartys </w:t>
      </w:r>
      <w:r w:rsidR="00F60757" w:rsidRPr="00F60757">
        <w:rPr>
          <w:color w:val="595959" w:themeColor="text1" w:themeTint="A6"/>
          <w:szCs w:val="24"/>
          <w:lang w:eastAsia="lt-LT"/>
        </w:rPr>
        <w:t>būtų</w:t>
      </w:r>
      <w:r w:rsidRPr="00F60757">
        <w:rPr>
          <w:color w:val="595959" w:themeColor="text1" w:themeTint="A6"/>
          <w:szCs w:val="24"/>
          <w:lang w:eastAsia="lt-LT"/>
        </w:rPr>
        <w:t xml:space="preserve"> sudarytos iki 2020 m. gruodžio 31 d.</w:t>
      </w:r>
      <w:r w:rsidR="00FD081A" w:rsidRPr="00F60757">
        <w:rPr>
          <w:color w:val="595959" w:themeColor="text1" w:themeTint="A6"/>
          <w:szCs w:val="24"/>
          <w:lang w:eastAsia="lt-LT"/>
        </w:rPr>
        <w:t xml:space="preserve"> </w:t>
      </w:r>
      <w:r w:rsidRPr="00F60757">
        <w:rPr>
          <w:color w:val="595959" w:themeColor="text1" w:themeTint="A6"/>
          <w:szCs w:val="24"/>
          <w:lang w:eastAsia="lt-LT"/>
        </w:rPr>
        <w:t>Įgyvendinant viešosios IT infrastruktūros konsolidavimo projektą „Valstybės debesijos paslaugų teikimo infrastruktūros sukūrimas” vis dar nėra išspręsti klausimai dėl trečiojo ir ketvirtojo duomenų centrų patalpų, kurios turėtų būti pradėtos naudoti nuo 2022 m.</w:t>
      </w:r>
    </w:p>
    <w:p w:rsidR="00C92FA0" w:rsidRDefault="00C92FA0" w:rsidP="00927906">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604311" w:rsidRPr="00604311" w:rsidTr="00B76A56">
        <w:tc>
          <w:tcPr>
            <w:tcW w:w="9638" w:type="dxa"/>
            <w:tcBorders>
              <w:top w:val="nil"/>
              <w:left w:val="nil"/>
              <w:bottom w:val="nil"/>
              <w:right w:val="nil"/>
            </w:tcBorders>
            <w:shd w:val="clear" w:color="auto" w:fill="D9D9D9" w:themeFill="background1" w:themeFillShade="D9"/>
          </w:tcPr>
          <w:p w:rsidR="00604311" w:rsidRPr="00604311" w:rsidRDefault="00604311" w:rsidP="00B76A56">
            <w:pPr>
              <w:jc w:val="both"/>
              <w:rPr>
                <w:b/>
                <w:color w:val="365F91" w:themeColor="accent1" w:themeShade="BF"/>
                <w:szCs w:val="24"/>
              </w:rPr>
            </w:pPr>
            <w:r w:rsidRPr="00604311">
              <w:rPr>
                <w:b/>
                <w:color w:val="365F91" w:themeColor="accent1" w:themeShade="BF"/>
                <w:szCs w:val="24"/>
              </w:rPr>
              <w:t>Siūlymas Ekonomikos ir inovacijų ministerijai:</w:t>
            </w:r>
          </w:p>
          <w:p w:rsidR="00604311" w:rsidRPr="00604311" w:rsidRDefault="00604311" w:rsidP="00B76A56">
            <w:pPr>
              <w:jc w:val="both"/>
              <w:rPr>
                <w:color w:val="365F91" w:themeColor="accent1" w:themeShade="BF"/>
                <w:szCs w:val="24"/>
              </w:rPr>
            </w:pPr>
            <w:r w:rsidRPr="00604311">
              <w:rPr>
                <w:color w:val="365F91" w:themeColor="accent1" w:themeShade="BF"/>
                <w:szCs w:val="24"/>
              </w:rPr>
              <w:t xml:space="preserve">- </w:t>
            </w:r>
            <w:r>
              <w:rPr>
                <w:color w:val="365F91" w:themeColor="accent1" w:themeShade="BF"/>
                <w:szCs w:val="24"/>
              </w:rPr>
              <w:t>i</w:t>
            </w:r>
            <w:r w:rsidRPr="00C85D07">
              <w:rPr>
                <w:color w:val="365F91" w:themeColor="accent1" w:themeShade="BF"/>
                <w:szCs w:val="24"/>
              </w:rPr>
              <w:t>ki 2020 m. pabaigos išspręsti klausimą dėl</w:t>
            </w:r>
            <w:r w:rsidRPr="00604311">
              <w:rPr>
                <w:color w:val="365F91" w:themeColor="accent1" w:themeShade="BF"/>
                <w:szCs w:val="24"/>
              </w:rPr>
              <w:t xml:space="preserve"> trečiojo ir ketvirtojo duomenų centrų patalpų, kurios turėtų būti pradėtos naudoti nuo 2022 m. siekiant laiku įgyvendinti viešosios IT infrastruktūros konsolidavimo projektą „Valstybės </w:t>
            </w:r>
            <w:proofErr w:type="spellStart"/>
            <w:r w:rsidRPr="00604311">
              <w:rPr>
                <w:color w:val="365F91" w:themeColor="accent1" w:themeShade="BF"/>
                <w:szCs w:val="24"/>
              </w:rPr>
              <w:t>debesijos</w:t>
            </w:r>
            <w:proofErr w:type="spellEnd"/>
            <w:r w:rsidRPr="00604311">
              <w:rPr>
                <w:color w:val="365F91" w:themeColor="accent1" w:themeShade="BF"/>
                <w:szCs w:val="24"/>
              </w:rPr>
              <w:t xml:space="preserve"> paslaugų teikimo infrastruktūros sukūrimas”.</w:t>
            </w:r>
          </w:p>
        </w:tc>
      </w:tr>
    </w:tbl>
    <w:p w:rsidR="00604311" w:rsidRDefault="00604311" w:rsidP="00927906">
      <w:pPr>
        <w:jc w:val="both"/>
        <w:rPr>
          <w:color w:val="595959" w:themeColor="text1" w:themeTint="A6"/>
          <w:szCs w:val="24"/>
          <w:lang w:eastAsia="lt-LT"/>
        </w:rPr>
      </w:pPr>
    </w:p>
    <w:p w:rsidR="000305AE" w:rsidRPr="005713AF" w:rsidRDefault="000305AE" w:rsidP="0077692B">
      <w:pPr>
        <w:keepNext/>
        <w:keepLines/>
        <w:jc w:val="both"/>
        <w:outlineLvl w:val="1"/>
        <w:rPr>
          <w:rFonts w:eastAsiaTheme="majorEastAsia"/>
          <w:b/>
          <w:bCs/>
          <w:color w:val="595959" w:themeColor="text1" w:themeTint="A6"/>
          <w:szCs w:val="24"/>
          <w:lang w:eastAsia="lt-LT"/>
        </w:rPr>
      </w:pPr>
      <w:bookmarkStart w:id="15" w:name="_Toc10104954"/>
      <w:bookmarkStart w:id="16" w:name="_Toc54258633"/>
      <w:r w:rsidRPr="005713AF">
        <w:rPr>
          <w:rFonts w:eastAsiaTheme="majorEastAsia"/>
          <w:b/>
          <w:bCs/>
          <w:color w:val="595959" w:themeColor="text1" w:themeTint="A6"/>
          <w:szCs w:val="24"/>
          <w:lang w:eastAsia="lt-LT"/>
        </w:rPr>
        <w:t>3 prioritetas. Smulkiojo ir vidutinio verslo konkurencingumo skatinimas</w:t>
      </w:r>
      <w:bookmarkEnd w:id="15"/>
      <w:bookmarkEnd w:id="16"/>
    </w:p>
    <w:p w:rsidR="008510B0" w:rsidRDefault="008510B0" w:rsidP="008510B0">
      <w:pPr>
        <w:jc w:val="both"/>
        <w:rPr>
          <w:color w:val="595959" w:themeColor="text1" w:themeTint="A6"/>
          <w:szCs w:val="24"/>
          <w:lang w:eastAsia="lt-LT"/>
        </w:rPr>
      </w:pPr>
      <w:bookmarkStart w:id="17" w:name="_Toc10104955"/>
    </w:p>
    <w:p w:rsidR="00294C36" w:rsidRDefault="00C92FA0" w:rsidP="00190FF1">
      <w:pPr>
        <w:pStyle w:val="tekstas"/>
        <w:ind w:firstLine="0"/>
        <w:rPr>
          <w:rFonts w:ascii="Times New Roman" w:hAnsi="Times New Roman"/>
          <w:color w:val="595959" w:themeColor="text1" w:themeTint="A6"/>
          <w:lang w:eastAsia="lt-LT"/>
        </w:rPr>
      </w:pPr>
      <w:r>
        <w:rPr>
          <w:noProof/>
          <w:lang w:eastAsia="lt-LT"/>
        </w:rPr>
        <w:drawing>
          <wp:inline distT="0" distB="0" distL="0" distR="0" wp14:anchorId="211C90BE" wp14:editId="2EBD9CD1">
            <wp:extent cx="6120130" cy="549485"/>
            <wp:effectExtent l="0" t="0" r="13970" b="22225"/>
            <wp:docPr id="15" name="Diagrama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92FA0" w:rsidRDefault="00C92FA0" w:rsidP="00190FF1">
      <w:pPr>
        <w:pStyle w:val="tekstas"/>
        <w:ind w:firstLine="0"/>
        <w:rPr>
          <w:rFonts w:ascii="Times New Roman" w:hAnsi="Times New Roman"/>
          <w:color w:val="595959" w:themeColor="text1" w:themeTint="A6"/>
          <w:lang w:eastAsia="lt-LT"/>
        </w:rPr>
      </w:pPr>
    </w:p>
    <w:p w:rsidR="00294C36" w:rsidRDefault="00F60757" w:rsidP="00FE440C">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Ekonomikos ir inovacijų ministerijos 3 prioriteto administruojamose priemonėse</w:t>
      </w:r>
      <w:r w:rsidRPr="00F60757">
        <w:rPr>
          <w:rFonts w:ascii="Times New Roman" w:hAnsi="Times New Roman"/>
          <w:color w:val="595959" w:themeColor="text1" w:themeTint="A6"/>
          <w:lang w:eastAsia="lt-LT"/>
        </w:rPr>
        <w:t xml:space="preserve"> </w:t>
      </w:r>
      <w:r>
        <w:rPr>
          <w:rFonts w:ascii="Times New Roman" w:hAnsi="Times New Roman"/>
          <w:color w:val="595959" w:themeColor="text1" w:themeTint="A6"/>
          <w:lang w:eastAsia="lt-LT"/>
        </w:rPr>
        <w:t xml:space="preserve">lėšų paskirstymo projektams sparta yra nepakankama </w:t>
      </w:r>
      <w:proofErr w:type="gramStart"/>
      <w:r>
        <w:rPr>
          <w:rFonts w:ascii="Times New Roman" w:hAnsi="Times New Roman"/>
          <w:color w:val="595959" w:themeColor="text1" w:themeTint="A6"/>
          <w:lang w:eastAsia="lt-LT"/>
        </w:rPr>
        <w:t>-</w:t>
      </w:r>
      <w:proofErr w:type="gramEnd"/>
      <w:r>
        <w:rPr>
          <w:rFonts w:ascii="Times New Roman" w:hAnsi="Times New Roman"/>
          <w:color w:val="595959" w:themeColor="text1" w:themeTint="A6"/>
          <w:lang w:eastAsia="lt-LT"/>
        </w:rPr>
        <w:t xml:space="preserve"> sudaryta </w:t>
      </w:r>
      <w:r w:rsidRPr="00F60757">
        <w:rPr>
          <w:rFonts w:ascii="Times New Roman" w:hAnsi="Times New Roman"/>
          <w:color w:val="595959" w:themeColor="text1" w:themeTint="A6"/>
          <w:lang w:eastAsia="lt-LT"/>
        </w:rPr>
        <w:t>sutarčių</w:t>
      </w:r>
      <w:r>
        <w:rPr>
          <w:rFonts w:ascii="Times New Roman" w:hAnsi="Times New Roman"/>
          <w:color w:val="595959" w:themeColor="text1" w:themeTint="A6"/>
          <w:lang w:eastAsia="lt-LT"/>
        </w:rPr>
        <w:t xml:space="preserve"> už 87</w:t>
      </w:r>
      <w:r w:rsidRPr="00F60757">
        <w:rPr>
          <w:rFonts w:ascii="Times New Roman" w:hAnsi="Times New Roman"/>
          <w:color w:val="595959" w:themeColor="text1" w:themeTint="A6"/>
          <w:lang w:eastAsia="lt-LT"/>
        </w:rPr>
        <w:t xml:space="preserve"> proc. </w:t>
      </w:r>
      <w:r>
        <w:rPr>
          <w:rFonts w:ascii="Times New Roman" w:hAnsi="Times New Roman"/>
          <w:color w:val="595959" w:themeColor="text1" w:themeTint="A6"/>
          <w:lang w:eastAsia="lt-LT"/>
        </w:rPr>
        <w:t>skirtų ES lėšų. Papildomai</w:t>
      </w:r>
      <w:r w:rsidRPr="00F60757">
        <w:rPr>
          <w:rFonts w:ascii="Times New Roman" w:hAnsi="Times New Roman"/>
          <w:color w:val="595959" w:themeColor="text1" w:themeTint="A6"/>
          <w:lang w:eastAsia="lt-LT"/>
        </w:rPr>
        <w:t xml:space="preserve"> šiame priorite</w:t>
      </w:r>
      <w:r>
        <w:rPr>
          <w:rFonts w:ascii="Times New Roman" w:hAnsi="Times New Roman"/>
          <w:color w:val="595959" w:themeColor="text1" w:themeTint="A6"/>
          <w:lang w:eastAsia="lt-LT"/>
        </w:rPr>
        <w:t>te ministerijai yra numatyta 119,1</w:t>
      </w:r>
      <w:r w:rsidRPr="00F60757">
        <w:rPr>
          <w:rFonts w:ascii="Times New Roman" w:hAnsi="Times New Roman"/>
          <w:color w:val="595959" w:themeColor="text1" w:themeTint="A6"/>
          <w:lang w:eastAsia="lt-LT"/>
        </w:rPr>
        <w:t xml:space="preserve"> mln. eurų ES lėšų </w:t>
      </w:r>
      <w:proofErr w:type="spellStart"/>
      <w:r w:rsidRPr="00F60757">
        <w:rPr>
          <w:rFonts w:ascii="Times New Roman" w:hAnsi="Times New Roman"/>
          <w:color w:val="595959" w:themeColor="text1" w:themeTint="A6"/>
          <w:lang w:eastAsia="lt-LT"/>
        </w:rPr>
        <w:t>virškontraktavimo</w:t>
      </w:r>
      <w:proofErr w:type="spellEnd"/>
      <w:r w:rsidRPr="00F60757">
        <w:rPr>
          <w:rFonts w:ascii="Times New Roman" w:hAnsi="Times New Roman"/>
          <w:color w:val="595959" w:themeColor="text1" w:themeTint="A6"/>
          <w:lang w:eastAsia="lt-LT"/>
        </w:rPr>
        <w:t xml:space="preserve"> galimybė.</w:t>
      </w:r>
      <w:r>
        <w:rPr>
          <w:rFonts w:ascii="Times New Roman" w:hAnsi="Times New Roman"/>
          <w:color w:val="595959" w:themeColor="text1" w:themeTint="A6"/>
          <w:lang w:eastAsia="lt-LT"/>
        </w:rPr>
        <w:t xml:space="preserve"> Taip pat nepakankama investavimo sparta – 47 proc. </w:t>
      </w:r>
    </w:p>
    <w:p w:rsidR="00FE440C" w:rsidRPr="00FE440C" w:rsidRDefault="00FE440C" w:rsidP="00FE440C">
      <w:pPr>
        <w:pStyle w:val="tekstas"/>
        <w:rPr>
          <w:rFonts w:ascii="Times New Roman" w:hAnsi="Times New Roman"/>
          <w:color w:val="595959" w:themeColor="text1" w:themeTint="A6"/>
          <w:lang w:eastAsia="lt-LT"/>
        </w:rPr>
      </w:pPr>
      <w:r w:rsidRPr="00FE440C">
        <w:rPr>
          <w:rFonts w:ascii="Times New Roman" w:hAnsi="Times New Roman"/>
          <w:color w:val="595959" w:themeColor="text1" w:themeTint="A6"/>
          <w:lang w:eastAsia="lt-LT"/>
        </w:rPr>
        <w:t>Atsižvelgiant į tai, kad šiuo metu yra baigiami 2 priemon</w:t>
      </w:r>
      <w:r>
        <w:rPr>
          <w:rFonts w:ascii="Times New Roman" w:hAnsi="Times New Roman"/>
          <w:color w:val="595959" w:themeColor="text1" w:themeTint="A6"/>
          <w:lang w:eastAsia="lt-LT"/>
        </w:rPr>
        <w:t xml:space="preserve">ių paraiškų vertinimo procesai </w:t>
      </w:r>
      <w:r w:rsidRPr="00FE440C">
        <w:rPr>
          <w:rFonts w:ascii="Times New Roman" w:hAnsi="Times New Roman"/>
          <w:color w:val="595959" w:themeColor="text1" w:themeTint="A6"/>
          <w:lang w:eastAsia="lt-LT"/>
        </w:rPr>
        <w:t>ir planu</w:t>
      </w:r>
      <w:r>
        <w:rPr>
          <w:rFonts w:ascii="Times New Roman" w:hAnsi="Times New Roman"/>
          <w:color w:val="595959" w:themeColor="text1" w:themeTint="A6"/>
          <w:lang w:eastAsia="lt-LT"/>
        </w:rPr>
        <w:t>ojamos pasirašyti sutartys („</w:t>
      </w:r>
      <w:proofErr w:type="spellStart"/>
      <w:r>
        <w:rPr>
          <w:rFonts w:ascii="Times New Roman" w:hAnsi="Times New Roman"/>
          <w:color w:val="595959" w:themeColor="text1" w:themeTint="A6"/>
          <w:lang w:eastAsia="lt-LT"/>
        </w:rPr>
        <w:t>Eco</w:t>
      </w:r>
      <w:proofErr w:type="gramStart"/>
      <w:r>
        <w:rPr>
          <w:rFonts w:ascii="Times New Roman" w:hAnsi="Times New Roman"/>
          <w:color w:val="595959" w:themeColor="text1" w:themeTint="A6"/>
          <w:lang w:eastAsia="lt-LT"/>
        </w:rPr>
        <w:t>-</w:t>
      </w:r>
      <w:proofErr w:type="gramEnd"/>
      <w:r>
        <w:rPr>
          <w:rFonts w:ascii="Times New Roman" w:hAnsi="Times New Roman"/>
          <w:color w:val="595959" w:themeColor="text1" w:themeTint="A6"/>
          <w:lang w:eastAsia="lt-LT"/>
        </w:rPr>
        <w:t>inovacijos</w:t>
      </w:r>
      <w:proofErr w:type="spellEnd"/>
      <w:r w:rsidRPr="00FE440C">
        <w:rPr>
          <w:rFonts w:ascii="Times New Roman" w:hAnsi="Times New Roman"/>
          <w:color w:val="595959" w:themeColor="text1" w:themeTint="A6"/>
          <w:lang w:eastAsia="lt-LT"/>
        </w:rPr>
        <w:t xml:space="preserve"> LT+“ ir „</w:t>
      </w:r>
      <w:r>
        <w:rPr>
          <w:rFonts w:ascii="Times New Roman" w:hAnsi="Times New Roman"/>
          <w:color w:val="595959" w:themeColor="text1" w:themeTint="A6"/>
          <w:lang w:eastAsia="lt-LT"/>
        </w:rPr>
        <w:t>Pramonės skaitmeninimas</w:t>
      </w:r>
      <w:r w:rsidRPr="00FE440C">
        <w:rPr>
          <w:rFonts w:ascii="Times New Roman" w:hAnsi="Times New Roman"/>
          <w:color w:val="595959" w:themeColor="text1" w:themeTint="A6"/>
          <w:lang w:eastAsia="lt-LT"/>
        </w:rPr>
        <w:t xml:space="preserve"> LT“), ministerijai siūlymai dėl sutarčių sudarymo nėra formuluojami. Pateiktų paraiškų suma reikšmingai viršijo kvietimo sumą, dėl to rizika dėl nesudarytų sutarčių likučio yra minimali.</w:t>
      </w:r>
    </w:p>
    <w:p w:rsidR="00FE440C" w:rsidRDefault="00FE440C" w:rsidP="00FE440C">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Lyginant su 2020 m. II ketv.</w:t>
      </w:r>
      <w:r w:rsidRPr="00FE440C">
        <w:rPr>
          <w:rFonts w:ascii="Times New Roman" w:hAnsi="Times New Roman"/>
          <w:color w:val="595959" w:themeColor="text1" w:themeTint="A6"/>
          <w:lang w:eastAsia="lt-LT"/>
        </w:rPr>
        <w:t xml:space="preserve"> stebimas tik 2 proc. i</w:t>
      </w:r>
      <w:r>
        <w:rPr>
          <w:rFonts w:ascii="Times New Roman" w:hAnsi="Times New Roman"/>
          <w:color w:val="595959" w:themeColor="text1" w:themeTint="A6"/>
          <w:lang w:eastAsia="lt-LT"/>
        </w:rPr>
        <w:t>šmokėjimų padidėjimas. Nors tokiam progreso nebuvimui</w:t>
      </w:r>
      <w:r w:rsidRPr="00FE440C">
        <w:rPr>
          <w:rFonts w:ascii="Times New Roman" w:hAnsi="Times New Roman"/>
          <w:color w:val="595959" w:themeColor="text1" w:themeTint="A6"/>
          <w:lang w:eastAsia="lt-LT"/>
        </w:rPr>
        <w:t xml:space="preserve"> iš dalies </w:t>
      </w:r>
      <w:r>
        <w:rPr>
          <w:rFonts w:ascii="Times New Roman" w:hAnsi="Times New Roman"/>
          <w:color w:val="595959" w:themeColor="text1" w:themeTint="A6"/>
          <w:lang w:eastAsia="lt-LT"/>
        </w:rPr>
        <w:t xml:space="preserve">įtakos turėjo </w:t>
      </w:r>
      <w:proofErr w:type="spellStart"/>
      <w:r>
        <w:rPr>
          <w:rFonts w:ascii="Times New Roman" w:hAnsi="Times New Roman"/>
          <w:color w:val="595959" w:themeColor="text1" w:themeTint="A6"/>
          <w:lang w:eastAsia="lt-LT"/>
        </w:rPr>
        <w:t>Covid</w:t>
      </w:r>
      <w:r w:rsidRPr="00FE440C">
        <w:rPr>
          <w:rFonts w:ascii="Times New Roman" w:hAnsi="Times New Roman"/>
          <w:color w:val="595959" w:themeColor="text1" w:themeTint="A6"/>
          <w:lang w:eastAsia="lt-LT"/>
        </w:rPr>
        <w:t>-19</w:t>
      </w:r>
      <w:proofErr w:type="spellEnd"/>
      <w:r w:rsidRPr="00FE440C">
        <w:rPr>
          <w:rFonts w:ascii="Times New Roman" w:hAnsi="Times New Roman"/>
          <w:color w:val="595959" w:themeColor="text1" w:themeTint="A6"/>
          <w:lang w:eastAsia="lt-LT"/>
        </w:rPr>
        <w:t xml:space="preserve"> situacij</w:t>
      </w:r>
      <w:r w:rsidR="00351FE9">
        <w:rPr>
          <w:rFonts w:ascii="Times New Roman" w:hAnsi="Times New Roman"/>
          <w:color w:val="595959" w:themeColor="text1" w:themeTint="A6"/>
          <w:lang w:eastAsia="lt-LT"/>
        </w:rPr>
        <w:t>a</w:t>
      </w:r>
      <w:r w:rsidRPr="00FE440C">
        <w:rPr>
          <w:rFonts w:ascii="Times New Roman" w:hAnsi="Times New Roman"/>
          <w:color w:val="595959" w:themeColor="text1" w:themeTint="A6"/>
          <w:lang w:eastAsia="lt-LT"/>
        </w:rPr>
        <w:t xml:space="preserve">, svarbu vykdyti projektų įgyvendinimo stebėseną ir laiku pradėti rizikos valdymo priemones, susijusias su išmokėjimų spartinimu. Ypatingas dėmesys turi būti skiriamas priemonėmis, susijusiomis su infrastruktūra dėl jų įgyvendinimo specifikos </w:t>
      </w:r>
      <w:proofErr w:type="gramStart"/>
      <w:r w:rsidRPr="00FE440C">
        <w:rPr>
          <w:rFonts w:ascii="Times New Roman" w:hAnsi="Times New Roman"/>
          <w:color w:val="595959" w:themeColor="text1" w:themeTint="A6"/>
          <w:lang w:eastAsia="lt-LT"/>
        </w:rPr>
        <w:t>-</w:t>
      </w:r>
      <w:proofErr w:type="gramEnd"/>
      <w:r w:rsidRPr="00FE440C">
        <w:rPr>
          <w:rFonts w:ascii="Times New Roman" w:hAnsi="Times New Roman"/>
          <w:color w:val="595959" w:themeColor="text1" w:themeTint="A6"/>
          <w:lang w:eastAsia="lt-LT"/>
        </w:rPr>
        <w:t xml:space="preserve"> ilgesnių įgyvendinimo procesų.</w:t>
      </w:r>
    </w:p>
    <w:p w:rsidR="00FE440C" w:rsidRPr="00FE440C" w:rsidRDefault="00FE440C" w:rsidP="00FE440C">
      <w:pPr>
        <w:pStyle w:val="tekstas"/>
        <w:rPr>
          <w:rFonts w:ascii="Times New Roman" w:hAnsi="Times New Roman"/>
          <w:color w:val="595959" w:themeColor="text1" w:themeTint="A6"/>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FE440C" w:rsidRPr="005864A0" w:rsidTr="00C4777B">
        <w:tc>
          <w:tcPr>
            <w:tcW w:w="9638" w:type="dxa"/>
            <w:tcBorders>
              <w:top w:val="nil"/>
              <w:left w:val="nil"/>
              <w:bottom w:val="nil"/>
              <w:right w:val="nil"/>
            </w:tcBorders>
            <w:shd w:val="clear" w:color="auto" w:fill="D9D9D9" w:themeFill="background1" w:themeFillShade="D9"/>
          </w:tcPr>
          <w:p w:rsidR="00FE440C" w:rsidRPr="006D1860" w:rsidRDefault="00FE440C" w:rsidP="00C4777B">
            <w:pPr>
              <w:jc w:val="both"/>
              <w:rPr>
                <w:b/>
                <w:color w:val="365F91" w:themeColor="accent1" w:themeShade="BF"/>
              </w:rPr>
            </w:pPr>
            <w:r w:rsidRPr="006D1860">
              <w:rPr>
                <w:b/>
                <w:color w:val="365F91" w:themeColor="accent1" w:themeShade="BF"/>
              </w:rPr>
              <w:t xml:space="preserve">Siūlymas </w:t>
            </w:r>
            <w:r>
              <w:rPr>
                <w:b/>
                <w:color w:val="365F91" w:themeColor="accent1" w:themeShade="BF"/>
              </w:rPr>
              <w:t>Ekonomikos ir inovacijų</w:t>
            </w:r>
            <w:r w:rsidRPr="006D1860">
              <w:rPr>
                <w:b/>
                <w:color w:val="365F91" w:themeColor="accent1" w:themeShade="BF"/>
              </w:rPr>
              <w:t xml:space="preserve"> ministerijai:</w:t>
            </w:r>
          </w:p>
          <w:p w:rsidR="00FE440C" w:rsidRPr="006D1860" w:rsidRDefault="00FE440C" w:rsidP="00C4777B">
            <w:pPr>
              <w:jc w:val="both"/>
              <w:rPr>
                <w:color w:val="595959" w:themeColor="text1" w:themeTint="A6"/>
                <w:szCs w:val="24"/>
                <w:lang w:eastAsia="lt-LT"/>
              </w:rPr>
            </w:pPr>
            <w:r w:rsidRPr="006D1860">
              <w:rPr>
                <w:color w:val="365F91" w:themeColor="accent1" w:themeShade="BF"/>
              </w:rPr>
              <w:t xml:space="preserve">- </w:t>
            </w:r>
            <w:r w:rsidRPr="00FE440C">
              <w:rPr>
                <w:color w:val="365F91" w:themeColor="accent1" w:themeShade="BF"/>
              </w:rPr>
              <w:t>kartu su LVPA atnaujinti susitikimus su projektų, kurių vykdymas yra probleminis ir mokėjimai atsilieka nuo grafiko, vykdytojais bei aptarti galimybes paspartinti investicijas.</w:t>
            </w:r>
          </w:p>
        </w:tc>
      </w:tr>
    </w:tbl>
    <w:p w:rsidR="000D61AF" w:rsidRPr="00BF1D4C" w:rsidRDefault="000D61AF" w:rsidP="00190FF1">
      <w:pPr>
        <w:pStyle w:val="tekstas"/>
        <w:ind w:firstLine="0"/>
        <w:rPr>
          <w:rFonts w:ascii="Times New Roman" w:hAnsi="Times New Roman"/>
          <w:color w:val="595959" w:themeColor="text1" w:themeTint="A6"/>
          <w:lang w:eastAsia="lt-LT"/>
        </w:rPr>
      </w:pPr>
    </w:p>
    <w:p w:rsidR="00DD3394" w:rsidRPr="00BF1D4C" w:rsidRDefault="000305AE" w:rsidP="006B1184">
      <w:pPr>
        <w:keepNext/>
        <w:keepLines/>
        <w:jc w:val="both"/>
        <w:outlineLvl w:val="1"/>
        <w:rPr>
          <w:rFonts w:eastAsiaTheme="majorEastAsia"/>
          <w:b/>
          <w:bCs/>
          <w:color w:val="595959" w:themeColor="text1" w:themeTint="A6"/>
          <w:szCs w:val="24"/>
          <w:lang w:eastAsia="lt-LT"/>
        </w:rPr>
      </w:pPr>
      <w:bookmarkStart w:id="18" w:name="_Toc54258634"/>
      <w:r w:rsidRPr="00BF1D4C">
        <w:rPr>
          <w:rFonts w:eastAsiaTheme="majorEastAsia"/>
          <w:b/>
          <w:bCs/>
          <w:color w:val="595959" w:themeColor="text1" w:themeTint="A6"/>
          <w:szCs w:val="24"/>
          <w:lang w:eastAsia="lt-LT"/>
        </w:rPr>
        <w:t>4 prioritetas. Energijos efektyvumo ir atsinaujinančių išteklių energijos gamybos ir naudojimo skatinimas</w:t>
      </w:r>
      <w:bookmarkEnd w:id="17"/>
      <w:bookmarkEnd w:id="18"/>
    </w:p>
    <w:p w:rsidR="00C92FA0" w:rsidRPr="006D1EA0" w:rsidRDefault="00C92FA0" w:rsidP="00AC3A0A">
      <w:pPr>
        <w:jc w:val="both"/>
        <w:rPr>
          <w:color w:val="595959" w:themeColor="text1" w:themeTint="A6"/>
          <w:szCs w:val="24"/>
          <w:lang w:eastAsia="lt-LT"/>
        </w:rPr>
      </w:pPr>
      <w:bookmarkStart w:id="19" w:name="_Toc10104956"/>
    </w:p>
    <w:p w:rsidR="00C92FA0" w:rsidRDefault="00C92FA0" w:rsidP="00AC3A0A">
      <w:pPr>
        <w:jc w:val="both"/>
        <w:rPr>
          <w:color w:val="595959" w:themeColor="text1" w:themeTint="A6"/>
          <w:szCs w:val="24"/>
          <w:lang w:eastAsia="lt-LT"/>
        </w:rPr>
      </w:pPr>
      <w:r>
        <w:rPr>
          <w:noProof/>
          <w:lang w:eastAsia="lt-LT"/>
        </w:rPr>
        <w:drawing>
          <wp:inline distT="0" distB="0" distL="0" distR="0" wp14:anchorId="6FD974FE" wp14:editId="046A14EF">
            <wp:extent cx="6120130" cy="805280"/>
            <wp:effectExtent l="0" t="0" r="13970" b="13970"/>
            <wp:docPr id="17" name="Diagrama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864A0" w:rsidRDefault="005864A0" w:rsidP="005864A0">
      <w:pPr>
        <w:ind w:firstLine="1296"/>
        <w:jc w:val="both"/>
        <w:rPr>
          <w:color w:val="595959" w:themeColor="text1" w:themeTint="A6"/>
          <w:szCs w:val="24"/>
          <w:lang w:eastAsia="lt-LT"/>
        </w:rPr>
      </w:pPr>
    </w:p>
    <w:p w:rsidR="005864A0" w:rsidRPr="005864A0" w:rsidRDefault="005864A0" w:rsidP="006D1860">
      <w:pPr>
        <w:ind w:firstLine="426"/>
        <w:jc w:val="both"/>
        <w:rPr>
          <w:color w:val="595959" w:themeColor="text1" w:themeTint="A6"/>
          <w:szCs w:val="24"/>
          <w:lang w:eastAsia="lt-LT"/>
        </w:rPr>
      </w:pPr>
      <w:r w:rsidRPr="005864A0">
        <w:rPr>
          <w:color w:val="595959" w:themeColor="text1" w:themeTint="A6"/>
          <w:szCs w:val="24"/>
          <w:lang w:eastAsia="lt-LT"/>
        </w:rPr>
        <w:t xml:space="preserve">Energetikos ministerijos 4 prioriteto </w:t>
      </w:r>
      <w:r w:rsidR="00210C2E">
        <w:rPr>
          <w:color w:val="595959" w:themeColor="text1" w:themeTint="A6"/>
          <w:szCs w:val="24"/>
          <w:lang w:eastAsia="lt-LT"/>
        </w:rPr>
        <w:t xml:space="preserve">administruojamose priemonėse sutarčių sudarymo sparta yra pakankama. </w:t>
      </w:r>
      <w:r w:rsidR="0034618A">
        <w:rPr>
          <w:color w:val="595959" w:themeColor="text1" w:themeTint="A6"/>
          <w:szCs w:val="24"/>
          <w:lang w:eastAsia="lt-LT"/>
        </w:rPr>
        <w:t xml:space="preserve">Taip pat šiame prioritete ministerijai yra numatyta 12 mln. eurų ERPF ir 41,8 mln. eurų </w:t>
      </w:r>
      <w:proofErr w:type="spellStart"/>
      <w:r w:rsidR="0034618A">
        <w:rPr>
          <w:color w:val="595959" w:themeColor="text1" w:themeTint="A6"/>
          <w:szCs w:val="24"/>
          <w:lang w:eastAsia="lt-LT"/>
        </w:rPr>
        <w:t>SaF</w:t>
      </w:r>
      <w:proofErr w:type="spellEnd"/>
      <w:r w:rsidR="0034618A">
        <w:rPr>
          <w:color w:val="595959" w:themeColor="text1" w:themeTint="A6"/>
          <w:szCs w:val="24"/>
          <w:lang w:eastAsia="lt-LT"/>
        </w:rPr>
        <w:t xml:space="preserve"> lėšų </w:t>
      </w:r>
      <w:proofErr w:type="spellStart"/>
      <w:r w:rsidR="0034618A">
        <w:rPr>
          <w:color w:val="595959" w:themeColor="text1" w:themeTint="A6"/>
          <w:szCs w:val="24"/>
          <w:lang w:eastAsia="lt-LT"/>
        </w:rPr>
        <w:t>virškontraktavimo</w:t>
      </w:r>
      <w:proofErr w:type="spellEnd"/>
      <w:r w:rsidR="0034618A">
        <w:rPr>
          <w:color w:val="595959" w:themeColor="text1" w:themeTint="A6"/>
          <w:szCs w:val="24"/>
          <w:lang w:eastAsia="lt-LT"/>
        </w:rPr>
        <w:t xml:space="preserve"> galimybė. </w:t>
      </w:r>
      <w:r w:rsidR="00210C2E">
        <w:rPr>
          <w:color w:val="595959" w:themeColor="text1" w:themeTint="A6"/>
          <w:szCs w:val="24"/>
          <w:lang w:eastAsia="lt-LT"/>
        </w:rPr>
        <w:t xml:space="preserve">Investicijos </w:t>
      </w:r>
      <w:proofErr w:type="spellStart"/>
      <w:r w:rsidR="00210C2E" w:rsidRPr="005864A0">
        <w:rPr>
          <w:color w:val="595959" w:themeColor="text1" w:themeTint="A6"/>
          <w:szCs w:val="24"/>
          <w:lang w:eastAsia="lt-LT"/>
        </w:rPr>
        <w:t>SaF</w:t>
      </w:r>
      <w:proofErr w:type="spellEnd"/>
      <w:r w:rsidR="00210C2E">
        <w:rPr>
          <w:color w:val="595959" w:themeColor="text1" w:themeTint="A6"/>
          <w:szCs w:val="24"/>
          <w:lang w:eastAsia="lt-LT"/>
        </w:rPr>
        <w:t xml:space="preserve"> lėšomis finansuojamose priemonėse atitinka Veiksmų programos vidurkį, tačiau </w:t>
      </w:r>
      <w:r w:rsidRPr="005864A0">
        <w:rPr>
          <w:color w:val="595959" w:themeColor="text1" w:themeTint="A6"/>
          <w:szCs w:val="24"/>
          <w:lang w:eastAsia="lt-LT"/>
        </w:rPr>
        <w:t xml:space="preserve">ERPF lėšomis finansuojamose priemonėse investavimo sparta (29 proc.) </w:t>
      </w:r>
      <w:r w:rsidR="00210C2E">
        <w:rPr>
          <w:color w:val="595959" w:themeColor="text1" w:themeTint="A6"/>
          <w:szCs w:val="24"/>
          <w:lang w:eastAsia="lt-LT"/>
        </w:rPr>
        <w:t xml:space="preserve">žymiai </w:t>
      </w:r>
      <w:r w:rsidRPr="005864A0">
        <w:rPr>
          <w:color w:val="595959" w:themeColor="text1" w:themeTint="A6"/>
          <w:szCs w:val="24"/>
          <w:lang w:eastAsia="lt-LT"/>
        </w:rPr>
        <w:t>atsilieka.</w:t>
      </w:r>
    </w:p>
    <w:p w:rsidR="005864A0" w:rsidRPr="005864A0" w:rsidRDefault="005864A0" w:rsidP="006D1860">
      <w:pPr>
        <w:ind w:firstLine="426"/>
        <w:jc w:val="both"/>
        <w:rPr>
          <w:color w:val="595959" w:themeColor="text1" w:themeTint="A6"/>
          <w:szCs w:val="24"/>
          <w:lang w:eastAsia="lt-LT"/>
        </w:rPr>
      </w:pPr>
      <w:r w:rsidRPr="005864A0">
        <w:rPr>
          <w:color w:val="595959" w:themeColor="text1" w:themeTint="A6"/>
          <w:szCs w:val="24"/>
          <w:lang w:eastAsia="lt-LT"/>
        </w:rPr>
        <w:t xml:space="preserve">Prie ERPF lėšomis finansuojamų priemonių nepakankamos investavimo spartos prisidėjo lėtas ir komplikuotas energijos vartojimo efektyvumo didinimo viešojoje infrastruktūroje priemonių planavimas ir įgyvendinimas. Tačiau pagal patrauklesnes ir lankstesnes priemonių „Valstybei nuosavybės teise priklausančių pastatų atnaujinimas (II)“ (įgyvendinama kartu su finansine priemone), „Gatvių apšvietimo modernizavimas“ įgyvendinimo sąlygas paskelbti kvietimai sulaukė didelio pareiškėjų susidomėjimo ir pateiktų paraiškų prašoma finansuoti suma ženkliai viršijo kvietimų sumas. Atsižvelgiant į ženkliai viršytą pateiktų paraiškų prašomą finansuoti sumą ir siekiant įgyvendinti privalomus nacionalinius energijos taupymo tikslus, Energetikos ministerija pasiūlė šioms priemonėms galimų rezervinių projektų poreikį įtraukti į Ateities ekonomikos DNR planą, pagal kurį šiuo metu priemonėms numatyta papildomai skirti 67,7 mln. eurų, iš kurių – 12 mln. eurų jau skirtas </w:t>
      </w:r>
      <w:proofErr w:type="spellStart"/>
      <w:r w:rsidRPr="005864A0">
        <w:rPr>
          <w:color w:val="595959" w:themeColor="text1" w:themeTint="A6"/>
          <w:szCs w:val="24"/>
          <w:lang w:eastAsia="lt-LT"/>
        </w:rPr>
        <w:t>virškontraktavimas</w:t>
      </w:r>
      <w:proofErr w:type="spellEnd"/>
      <w:r w:rsidRPr="005864A0">
        <w:rPr>
          <w:color w:val="595959" w:themeColor="text1" w:themeTint="A6"/>
          <w:szCs w:val="24"/>
          <w:lang w:eastAsia="lt-LT"/>
        </w:rPr>
        <w:t xml:space="preserve"> ir padidinta priemonės „Valstybei nuosavybės teise priklausančių pastatų atnaujinimas (II)“ kvietimo suma. Likęs papildomas finansavimas bus skirtas tuomet, kada bus baigtos vertinti visos pateiktos paraiškos ir bus žinoma tiksli trūkstamų lėšų suma bei gautas </w:t>
      </w:r>
      <w:r w:rsidR="006D1860">
        <w:rPr>
          <w:color w:val="595959" w:themeColor="text1" w:themeTint="A6"/>
          <w:szCs w:val="24"/>
          <w:lang w:eastAsia="lt-LT"/>
        </w:rPr>
        <w:t>EK</w:t>
      </w:r>
      <w:r w:rsidRPr="005864A0">
        <w:rPr>
          <w:color w:val="595959" w:themeColor="text1" w:themeTint="A6"/>
          <w:szCs w:val="24"/>
          <w:lang w:eastAsia="lt-LT"/>
        </w:rPr>
        <w:t xml:space="preserve"> pritarimas finansuoti energijos efektyvumo didinimo viešojoje infrastruktūroje priemones „</w:t>
      </w:r>
      <w:r w:rsidRPr="005864A0">
        <w:rPr>
          <w:bCs/>
          <w:color w:val="595959" w:themeColor="text1" w:themeTint="A6"/>
          <w:szCs w:val="24"/>
          <w:lang w:eastAsia="lt-LT"/>
        </w:rPr>
        <w:t>React–EU</w:t>
      </w:r>
      <w:r w:rsidRPr="005864A0">
        <w:rPr>
          <w:color w:val="595959" w:themeColor="text1" w:themeTint="A6"/>
          <w:szCs w:val="24"/>
          <w:lang w:eastAsia="lt-LT"/>
        </w:rPr>
        <w:t>“</w:t>
      </w:r>
      <w:r w:rsidRPr="005864A0">
        <w:rPr>
          <w:bCs/>
          <w:color w:val="595959" w:themeColor="text1" w:themeTint="A6"/>
          <w:szCs w:val="24"/>
          <w:lang w:eastAsia="lt-LT"/>
        </w:rPr>
        <w:t xml:space="preserve"> iniciatyvos lėšomis</w:t>
      </w:r>
      <w:r w:rsidRPr="005864A0">
        <w:rPr>
          <w:color w:val="595959" w:themeColor="text1" w:themeTint="A6"/>
          <w:szCs w:val="24"/>
          <w:lang w:eastAsia="lt-LT"/>
        </w:rPr>
        <w:t>. Šiuo metu baigiamos vertinti paraiškos, teigiamai įvertintoms paraiškoms skiriamas finansavimas ir pasirašomos sutartys. Planuojama, kad visos pateiktos paraiškos bus baigtos vertinti iki lapkričio mėnesio pabaigos.</w:t>
      </w:r>
    </w:p>
    <w:p w:rsidR="006D1860" w:rsidRPr="005864A0" w:rsidRDefault="006D1860" w:rsidP="006D1860">
      <w:pPr>
        <w:ind w:firstLine="426"/>
        <w:jc w:val="both"/>
        <w:rPr>
          <w:color w:val="595959" w:themeColor="text1" w:themeTint="A6"/>
          <w:szCs w:val="24"/>
          <w:lang w:eastAsia="lt-LT"/>
        </w:rPr>
      </w:pPr>
      <w:r w:rsidRPr="005864A0">
        <w:rPr>
          <w:color w:val="595959" w:themeColor="text1" w:themeTint="A6"/>
          <w:szCs w:val="24"/>
          <w:lang w:eastAsia="lt-LT"/>
        </w:rPr>
        <w:t xml:space="preserve">Atsižvelgiant į didelį gyventojų susidomėjimą žaliąja energetika, Energetikos ministerija ir toliau </w:t>
      </w:r>
      <w:proofErr w:type="spellStart"/>
      <w:r w:rsidRPr="005864A0">
        <w:rPr>
          <w:color w:val="595959" w:themeColor="text1" w:themeTint="A6"/>
          <w:szCs w:val="24"/>
          <w:lang w:eastAsia="lt-LT"/>
        </w:rPr>
        <w:t>SaF</w:t>
      </w:r>
      <w:proofErr w:type="spellEnd"/>
      <w:r w:rsidRPr="005864A0">
        <w:rPr>
          <w:color w:val="595959" w:themeColor="text1" w:themeTint="A6"/>
          <w:szCs w:val="24"/>
          <w:lang w:eastAsia="lt-LT"/>
        </w:rPr>
        <w:t xml:space="preserve"> lėšomis skatina tvarų žaliosios energetikos namų ūkiuose modelį. Tuo tikslu, rugsėjo mėn. už 20 mln. eurų paskelbta kvietimų gyventojams, norintiems įsirengti nedidelės galios (iki 10 kW) saulės elektrines arba pasikeisti senus šildymo katilus. Minėtos investicijos ne tik padės namų ūkiams pereiti prie tvarios ir atsinaujinančios energetikos ir mažinti sąskaitas už energetinius išteklius, bet ir prisidės prie ekonomikos skatinimo. Taip pat galima pasidžiaugti sėkmingu konkursinės nedidelės galios biokuro kogeneracijos skatinimo priemonės kvietimu, kuris buvo paskelbtas pagal atnaujintas priemonės finansavimo sąlygas ir projektų atrankos kriterijus. Pagal minėtą priemonę rugsėjo mėnesį skirtas daugiau nei 19 mln. eurų finansavimas kogeneracijos projektams Jonavoje, Vilniuje, Visagine bei Alytuje. </w:t>
      </w:r>
    </w:p>
    <w:p w:rsidR="005864A0" w:rsidRDefault="005864A0" w:rsidP="000D61AF">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5864A0" w:rsidRPr="005864A0" w:rsidTr="00291BD6">
        <w:tc>
          <w:tcPr>
            <w:tcW w:w="9638" w:type="dxa"/>
            <w:tcBorders>
              <w:top w:val="nil"/>
              <w:left w:val="nil"/>
              <w:bottom w:val="nil"/>
              <w:right w:val="nil"/>
            </w:tcBorders>
            <w:shd w:val="clear" w:color="auto" w:fill="D9D9D9" w:themeFill="background1" w:themeFillShade="D9"/>
          </w:tcPr>
          <w:p w:rsidR="005864A0" w:rsidRPr="006D1860" w:rsidRDefault="005864A0" w:rsidP="005864A0">
            <w:pPr>
              <w:jc w:val="both"/>
              <w:rPr>
                <w:b/>
                <w:color w:val="365F91" w:themeColor="accent1" w:themeShade="BF"/>
              </w:rPr>
            </w:pPr>
            <w:r w:rsidRPr="006D1860">
              <w:rPr>
                <w:b/>
                <w:color w:val="365F91" w:themeColor="accent1" w:themeShade="BF"/>
              </w:rPr>
              <w:t>Siūlymas Energetikos ministerijai:</w:t>
            </w:r>
          </w:p>
          <w:p w:rsidR="005864A0" w:rsidRPr="006D1860" w:rsidRDefault="005864A0" w:rsidP="00F1286C">
            <w:pPr>
              <w:jc w:val="both"/>
              <w:rPr>
                <w:color w:val="595959" w:themeColor="text1" w:themeTint="A6"/>
                <w:szCs w:val="24"/>
                <w:lang w:eastAsia="lt-LT"/>
              </w:rPr>
            </w:pPr>
            <w:r w:rsidRPr="006D1860">
              <w:rPr>
                <w:color w:val="365F91" w:themeColor="accent1" w:themeShade="BF"/>
              </w:rPr>
              <w:t xml:space="preserve">- </w:t>
            </w:r>
            <w:r w:rsidR="00F1286C">
              <w:rPr>
                <w:color w:val="365F91" w:themeColor="accent1" w:themeShade="BF"/>
              </w:rPr>
              <w:t xml:space="preserve">kartu su VIPA užtikrinti, kad </w:t>
            </w:r>
            <w:r w:rsidRPr="006D1860">
              <w:rPr>
                <w:color w:val="365F91" w:themeColor="accent1" w:themeShade="BF"/>
              </w:rPr>
              <w:t>iki 2020</w:t>
            </w:r>
            <w:r w:rsidR="006D1860">
              <w:rPr>
                <w:color w:val="365F91" w:themeColor="accent1" w:themeShade="BF"/>
              </w:rPr>
              <w:t xml:space="preserve"> m.</w:t>
            </w:r>
            <w:r w:rsidRPr="006D1860">
              <w:rPr>
                <w:color w:val="365F91" w:themeColor="accent1" w:themeShade="BF"/>
              </w:rPr>
              <w:t xml:space="preserve"> </w:t>
            </w:r>
            <w:r w:rsidR="00F1286C">
              <w:rPr>
                <w:color w:val="365F91" w:themeColor="accent1" w:themeShade="BF"/>
              </w:rPr>
              <w:t xml:space="preserve">lapkričio mėnesio </w:t>
            </w:r>
            <w:r w:rsidRPr="006D1860">
              <w:rPr>
                <w:color w:val="365F91" w:themeColor="accent1" w:themeShade="BF"/>
              </w:rPr>
              <w:t xml:space="preserve">pabaigos </w:t>
            </w:r>
            <w:r w:rsidR="00F1286C">
              <w:rPr>
                <w:color w:val="365F91" w:themeColor="accent1" w:themeShade="BF"/>
              </w:rPr>
              <w:t>būtų baigtos vertinti visos pagal priemonę</w:t>
            </w:r>
            <w:r w:rsidR="00F1286C" w:rsidRPr="00483D7D">
              <w:rPr>
                <w:color w:val="365F91" w:themeColor="accent1" w:themeShade="BF"/>
              </w:rPr>
              <w:t xml:space="preserve"> „Valstybei nuosavybės teise priklausančių pastatų atnaujinimas (II)“</w:t>
            </w:r>
            <w:r w:rsidR="00F1286C">
              <w:rPr>
                <w:color w:val="365F91" w:themeColor="accent1" w:themeShade="BF"/>
              </w:rPr>
              <w:t xml:space="preserve"> pateiktos paraiškos</w:t>
            </w:r>
            <w:r w:rsidRPr="006D1860">
              <w:rPr>
                <w:color w:val="365F91" w:themeColor="accent1" w:themeShade="BF"/>
              </w:rPr>
              <w:t>.</w:t>
            </w:r>
          </w:p>
        </w:tc>
      </w:tr>
    </w:tbl>
    <w:p w:rsidR="006D45C6" w:rsidRDefault="006D45C6" w:rsidP="00AC3A0A">
      <w:pPr>
        <w:jc w:val="both"/>
        <w:rPr>
          <w:color w:val="595959" w:themeColor="text1" w:themeTint="A6"/>
          <w:szCs w:val="24"/>
          <w:lang w:eastAsia="lt-LT"/>
        </w:rPr>
      </w:pPr>
    </w:p>
    <w:p w:rsidR="00C92FA0" w:rsidRDefault="00C92FA0" w:rsidP="00AC3A0A">
      <w:pPr>
        <w:jc w:val="both"/>
        <w:rPr>
          <w:color w:val="595959" w:themeColor="text1" w:themeTint="A6"/>
          <w:szCs w:val="24"/>
          <w:lang w:eastAsia="lt-LT"/>
        </w:rPr>
      </w:pPr>
      <w:r>
        <w:rPr>
          <w:noProof/>
          <w:lang w:eastAsia="lt-LT"/>
        </w:rPr>
        <w:drawing>
          <wp:inline distT="0" distB="0" distL="0" distR="0" wp14:anchorId="74B1D46F" wp14:editId="652FAEB1">
            <wp:extent cx="6120130" cy="738963"/>
            <wp:effectExtent l="0" t="0" r="13970" b="23495"/>
            <wp:docPr id="18" name="Diagrama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92FA0" w:rsidRDefault="00C92FA0" w:rsidP="00AC3A0A">
      <w:pPr>
        <w:jc w:val="both"/>
        <w:rPr>
          <w:color w:val="595959" w:themeColor="text1" w:themeTint="A6"/>
          <w:szCs w:val="24"/>
          <w:lang w:eastAsia="lt-LT"/>
        </w:rPr>
      </w:pPr>
    </w:p>
    <w:p w:rsidR="00897503" w:rsidRDefault="00AE003A" w:rsidP="000D61AF">
      <w:pPr>
        <w:ind w:firstLine="567"/>
        <w:jc w:val="both"/>
        <w:rPr>
          <w:color w:val="595959" w:themeColor="text1" w:themeTint="A6"/>
          <w:szCs w:val="24"/>
          <w:lang w:eastAsia="lt-LT"/>
        </w:rPr>
      </w:pPr>
      <w:r w:rsidRPr="007720BF">
        <w:rPr>
          <w:color w:val="595959" w:themeColor="text1" w:themeTint="A6"/>
          <w:szCs w:val="24"/>
          <w:lang w:eastAsia="lt-LT"/>
        </w:rPr>
        <w:t>Susisiek</w:t>
      </w:r>
      <w:r w:rsidR="000F063D">
        <w:rPr>
          <w:color w:val="595959" w:themeColor="text1" w:themeTint="A6"/>
          <w:szCs w:val="24"/>
          <w:lang w:eastAsia="lt-LT"/>
        </w:rPr>
        <w:t>imo ministerijos administruojamose</w:t>
      </w:r>
      <w:r w:rsidRPr="007720BF">
        <w:rPr>
          <w:color w:val="595959" w:themeColor="text1" w:themeTint="A6"/>
          <w:szCs w:val="24"/>
          <w:lang w:eastAsia="lt-LT"/>
        </w:rPr>
        <w:t xml:space="preserve"> 4 prioriteto </w:t>
      </w:r>
      <w:r w:rsidR="000F063D">
        <w:rPr>
          <w:color w:val="595959" w:themeColor="text1" w:themeTint="A6"/>
          <w:szCs w:val="24"/>
          <w:lang w:eastAsia="lt-LT"/>
        </w:rPr>
        <w:t xml:space="preserve">priemonėse labai vėluoja sutarčių pasirašymas. Pasirašyta 54 proc. ERPF lėšomis finansuojamų ir 71 proc. </w:t>
      </w:r>
      <w:proofErr w:type="spellStart"/>
      <w:r w:rsidR="000F063D">
        <w:rPr>
          <w:color w:val="595959" w:themeColor="text1" w:themeTint="A6"/>
          <w:szCs w:val="24"/>
          <w:lang w:eastAsia="lt-LT"/>
        </w:rPr>
        <w:t>SaF</w:t>
      </w:r>
      <w:proofErr w:type="spellEnd"/>
      <w:r w:rsidR="000F063D">
        <w:rPr>
          <w:color w:val="595959" w:themeColor="text1" w:themeTint="A6"/>
          <w:szCs w:val="24"/>
          <w:lang w:eastAsia="lt-LT"/>
        </w:rPr>
        <w:t xml:space="preserve"> lėšomis finansuojamų projektų sutarčių.</w:t>
      </w:r>
      <w:r w:rsidR="000D61AF">
        <w:rPr>
          <w:color w:val="595959" w:themeColor="text1" w:themeTint="A6"/>
          <w:szCs w:val="24"/>
          <w:lang w:eastAsia="lt-LT"/>
        </w:rPr>
        <w:t xml:space="preserve"> </w:t>
      </w:r>
      <w:proofErr w:type="spellStart"/>
      <w:r w:rsidR="000D61AF">
        <w:rPr>
          <w:color w:val="595959" w:themeColor="text1" w:themeTint="A6"/>
          <w:szCs w:val="24"/>
          <w:lang w:eastAsia="lt-LT"/>
        </w:rPr>
        <w:t>SaF</w:t>
      </w:r>
      <w:proofErr w:type="spellEnd"/>
      <w:r w:rsidR="000D61AF">
        <w:rPr>
          <w:color w:val="595959" w:themeColor="text1" w:themeTint="A6"/>
          <w:szCs w:val="24"/>
          <w:lang w:eastAsia="lt-LT"/>
        </w:rPr>
        <w:t xml:space="preserve"> lėšų investavimo tempas yra pakankamas (58 proc.) tačiau žymiai atsilieka ERPF lėšų investavimas.</w:t>
      </w:r>
    </w:p>
    <w:p w:rsidR="000D61AF" w:rsidRDefault="000D61AF" w:rsidP="000D61AF">
      <w:pPr>
        <w:ind w:firstLine="567"/>
        <w:jc w:val="both"/>
        <w:rPr>
          <w:color w:val="595959" w:themeColor="text1" w:themeTint="A6"/>
          <w:szCs w:val="24"/>
          <w:lang w:eastAsia="lt-LT"/>
        </w:rPr>
      </w:pPr>
      <w:r w:rsidRPr="007720BF">
        <w:rPr>
          <w:color w:val="595959" w:themeColor="text1" w:themeTint="A6"/>
          <w:szCs w:val="24"/>
          <w:lang w:eastAsia="lt-LT"/>
        </w:rPr>
        <w:t xml:space="preserve">Labiausiai </w:t>
      </w:r>
      <w:r>
        <w:rPr>
          <w:color w:val="595959" w:themeColor="text1" w:themeTint="A6"/>
          <w:szCs w:val="24"/>
          <w:lang w:eastAsia="lt-LT"/>
        </w:rPr>
        <w:t>ERPF lėšomis finansuojamų sutarčių sudarymo atsilikimą lemia</w:t>
      </w:r>
      <w:r w:rsidRPr="007720BF">
        <w:rPr>
          <w:color w:val="595959" w:themeColor="text1" w:themeTint="A6"/>
          <w:szCs w:val="24"/>
          <w:lang w:eastAsia="lt-LT"/>
        </w:rPr>
        <w:t xml:space="preserve"> </w:t>
      </w:r>
      <w:r>
        <w:rPr>
          <w:color w:val="595959" w:themeColor="text1" w:themeTint="A6"/>
          <w:szCs w:val="24"/>
          <w:lang w:eastAsia="lt-LT"/>
        </w:rPr>
        <w:t xml:space="preserve">vėluojantis </w:t>
      </w:r>
      <w:r w:rsidRPr="007720BF">
        <w:rPr>
          <w:color w:val="595959" w:themeColor="text1" w:themeTint="A6"/>
          <w:szCs w:val="24"/>
          <w:lang w:eastAsia="lt-LT"/>
        </w:rPr>
        <w:t xml:space="preserve">darnaus </w:t>
      </w:r>
      <w:r>
        <w:rPr>
          <w:color w:val="595959" w:themeColor="text1" w:themeTint="A6"/>
          <w:szCs w:val="24"/>
          <w:lang w:eastAsia="lt-LT"/>
        </w:rPr>
        <w:t>judumo priemonių diegimas.</w:t>
      </w:r>
      <w:r w:rsidRPr="007720BF">
        <w:rPr>
          <w:color w:val="595959" w:themeColor="text1" w:themeTint="A6"/>
          <w:szCs w:val="24"/>
          <w:lang w:eastAsia="lt-LT"/>
        </w:rPr>
        <w:t xml:space="preserve"> </w:t>
      </w:r>
      <w:r>
        <w:rPr>
          <w:color w:val="595959" w:themeColor="text1" w:themeTint="A6"/>
          <w:szCs w:val="24"/>
          <w:lang w:eastAsia="lt-LT"/>
        </w:rPr>
        <w:t>Šios priemonės</w:t>
      </w:r>
      <w:r w:rsidRPr="007720BF">
        <w:rPr>
          <w:color w:val="595959" w:themeColor="text1" w:themeTint="A6"/>
          <w:szCs w:val="24"/>
          <w:lang w:eastAsia="lt-LT"/>
        </w:rPr>
        <w:t xml:space="preserve"> lėšų planavimo ir paskirstymo procesas truko ilgiau nei planuota</w:t>
      </w:r>
      <w:r>
        <w:rPr>
          <w:rStyle w:val="Puslapioinaosnuoroda"/>
          <w:color w:val="595959" w:themeColor="text1" w:themeTint="A6"/>
          <w:szCs w:val="24"/>
          <w:lang w:eastAsia="lt-LT"/>
        </w:rPr>
        <w:footnoteReference w:id="1"/>
      </w:r>
      <w:r>
        <w:rPr>
          <w:color w:val="595959" w:themeColor="text1" w:themeTint="A6"/>
          <w:szCs w:val="24"/>
          <w:lang w:eastAsia="lt-LT"/>
        </w:rPr>
        <w:t xml:space="preserve">, tačiau </w:t>
      </w:r>
      <w:r w:rsidRPr="007720BF">
        <w:rPr>
          <w:color w:val="595959" w:themeColor="text1" w:themeTint="A6"/>
          <w:szCs w:val="24"/>
          <w:lang w:eastAsia="lt-LT"/>
        </w:rPr>
        <w:t>atsižvelgiant į darnaus judumo priemonių svarbą teigiamam klim</w:t>
      </w:r>
      <w:r>
        <w:rPr>
          <w:color w:val="595959" w:themeColor="text1" w:themeTint="A6"/>
          <w:szCs w:val="24"/>
          <w:lang w:eastAsia="lt-LT"/>
        </w:rPr>
        <w:t>a</w:t>
      </w:r>
      <w:r w:rsidRPr="007720BF">
        <w:rPr>
          <w:color w:val="595959" w:themeColor="text1" w:themeTint="A6"/>
          <w:szCs w:val="24"/>
          <w:lang w:eastAsia="lt-LT"/>
        </w:rPr>
        <w:t xml:space="preserve">to kaitos poveikiui bei </w:t>
      </w:r>
      <w:r>
        <w:rPr>
          <w:color w:val="595959" w:themeColor="text1" w:themeTint="A6"/>
          <w:szCs w:val="24"/>
          <w:lang w:eastAsia="lt-LT"/>
        </w:rPr>
        <w:t xml:space="preserve">darnaus judumo mieste planuose </w:t>
      </w:r>
      <w:r w:rsidRPr="007720BF">
        <w:rPr>
          <w:color w:val="595959" w:themeColor="text1" w:themeTint="A6"/>
          <w:szCs w:val="24"/>
          <w:lang w:eastAsia="lt-LT"/>
        </w:rPr>
        <w:t>skiriamą didelį dėmesį pėsčiųjų, dviračių, viešojo transporto infrastruktūrai, tinkamam žmonių, turinčių specialiųjų poreikių, infrastruktūros pritaikymui, šios priemon</w:t>
      </w:r>
      <w:r>
        <w:rPr>
          <w:color w:val="595959" w:themeColor="text1" w:themeTint="A6"/>
          <w:szCs w:val="24"/>
          <w:lang w:eastAsia="lt-LT"/>
        </w:rPr>
        <w:t>ės lėšų perskirstyti nesiūloma.</w:t>
      </w:r>
    </w:p>
    <w:p w:rsidR="000D61AF" w:rsidRPr="007720BF" w:rsidRDefault="000D61AF" w:rsidP="000D61AF">
      <w:pPr>
        <w:ind w:firstLine="567"/>
        <w:jc w:val="both"/>
        <w:rPr>
          <w:color w:val="595959" w:themeColor="text1" w:themeTint="A6"/>
          <w:szCs w:val="24"/>
          <w:lang w:eastAsia="lt-LT"/>
        </w:rPr>
      </w:pPr>
      <w:r w:rsidRPr="007720BF">
        <w:rPr>
          <w:color w:val="595959" w:themeColor="text1" w:themeTint="A6"/>
          <w:szCs w:val="24"/>
          <w:lang w:eastAsia="lt-LT"/>
        </w:rPr>
        <w:t>Atsižvelgiant į tai, kad šiuo metu vertinama paraiškų už 1</w:t>
      </w:r>
      <w:r>
        <w:rPr>
          <w:color w:val="595959" w:themeColor="text1" w:themeTint="A6"/>
          <w:szCs w:val="24"/>
          <w:lang w:eastAsia="lt-LT"/>
        </w:rPr>
        <w:t>2,1</w:t>
      </w:r>
      <w:r w:rsidRPr="007720BF">
        <w:rPr>
          <w:color w:val="595959" w:themeColor="text1" w:themeTint="A6"/>
          <w:szCs w:val="24"/>
          <w:lang w:eastAsia="lt-LT"/>
        </w:rPr>
        <w:t xml:space="preserve"> mln. eurų</w:t>
      </w:r>
      <w:r>
        <w:rPr>
          <w:rStyle w:val="Puslapioinaosnuoroda"/>
          <w:color w:val="595959" w:themeColor="text1" w:themeTint="A6"/>
          <w:szCs w:val="24"/>
          <w:lang w:eastAsia="lt-LT"/>
        </w:rPr>
        <w:footnoteReference w:id="2"/>
      </w:r>
      <w:r w:rsidRPr="007720BF">
        <w:rPr>
          <w:color w:val="595959" w:themeColor="text1" w:themeTint="A6"/>
          <w:szCs w:val="24"/>
          <w:lang w:eastAsia="lt-LT"/>
        </w:rPr>
        <w:t>, Susisiekimo ministerij</w:t>
      </w:r>
      <w:r>
        <w:rPr>
          <w:color w:val="595959" w:themeColor="text1" w:themeTint="A6"/>
          <w:szCs w:val="24"/>
          <w:lang w:eastAsia="lt-LT"/>
        </w:rPr>
        <w:t>a</w:t>
      </w:r>
      <w:r w:rsidRPr="007720BF">
        <w:rPr>
          <w:color w:val="595959" w:themeColor="text1" w:themeTint="A6"/>
          <w:szCs w:val="24"/>
          <w:lang w:eastAsia="lt-LT"/>
        </w:rPr>
        <w:t xml:space="preserve"> kartu su </w:t>
      </w:r>
      <w:r>
        <w:rPr>
          <w:color w:val="595959" w:themeColor="text1" w:themeTint="A6"/>
          <w:szCs w:val="24"/>
          <w:lang w:eastAsia="lt-LT"/>
        </w:rPr>
        <w:t>CPVA</w:t>
      </w:r>
      <w:r w:rsidRPr="007720BF">
        <w:rPr>
          <w:color w:val="595959" w:themeColor="text1" w:themeTint="A6"/>
          <w:szCs w:val="24"/>
          <w:lang w:eastAsia="lt-LT"/>
        </w:rPr>
        <w:t xml:space="preserve"> </w:t>
      </w:r>
      <w:r>
        <w:rPr>
          <w:color w:val="595959" w:themeColor="text1" w:themeTint="A6"/>
          <w:szCs w:val="24"/>
          <w:lang w:eastAsia="lt-LT"/>
        </w:rPr>
        <w:t xml:space="preserve">(bendradarbiaujant su </w:t>
      </w:r>
      <w:r w:rsidRPr="007720BF">
        <w:rPr>
          <w:color w:val="595959" w:themeColor="text1" w:themeTint="A6"/>
          <w:szCs w:val="24"/>
          <w:lang w:eastAsia="lt-LT"/>
        </w:rPr>
        <w:t>Regioninės plėtros departamentu prie Vidaus reikalų ministerijos</w:t>
      </w:r>
      <w:r>
        <w:rPr>
          <w:color w:val="595959" w:themeColor="text1" w:themeTint="A6"/>
          <w:szCs w:val="24"/>
          <w:lang w:eastAsia="lt-LT"/>
        </w:rPr>
        <w:t>)</w:t>
      </w:r>
      <w:r w:rsidRPr="007720BF">
        <w:rPr>
          <w:color w:val="595959" w:themeColor="text1" w:themeTint="A6"/>
          <w:szCs w:val="24"/>
          <w:lang w:eastAsia="lt-LT"/>
        </w:rPr>
        <w:t xml:space="preserve">, </w:t>
      </w:r>
      <w:r>
        <w:rPr>
          <w:color w:val="595959" w:themeColor="text1" w:themeTint="A6"/>
          <w:szCs w:val="24"/>
          <w:lang w:eastAsia="lt-LT"/>
        </w:rPr>
        <w:t xml:space="preserve">turi </w:t>
      </w:r>
      <w:r w:rsidRPr="00294647">
        <w:rPr>
          <w:color w:val="595959" w:themeColor="text1" w:themeTint="A6"/>
          <w:szCs w:val="24"/>
          <w:lang w:eastAsia="lt-LT"/>
        </w:rPr>
        <w:t>užtikrinti skl</w:t>
      </w:r>
      <w:r>
        <w:rPr>
          <w:color w:val="595959" w:themeColor="text1" w:themeTint="A6"/>
          <w:szCs w:val="24"/>
          <w:lang w:eastAsia="lt-LT"/>
        </w:rPr>
        <w:t>andų paraiškų vertinimo procesą, kad jų įvertinimas ir projektų sutartys būtų pasirašytos laiku.</w:t>
      </w:r>
    </w:p>
    <w:p w:rsidR="005A5267" w:rsidRDefault="000D61AF" w:rsidP="00A64BA7">
      <w:pPr>
        <w:ind w:firstLine="567"/>
        <w:jc w:val="both"/>
        <w:rPr>
          <w:color w:val="595959" w:themeColor="text1" w:themeTint="A6"/>
          <w:szCs w:val="24"/>
          <w:lang w:eastAsia="lt-LT"/>
        </w:rPr>
      </w:pPr>
      <w:proofErr w:type="spellStart"/>
      <w:r>
        <w:rPr>
          <w:color w:val="595959" w:themeColor="text1" w:themeTint="A6"/>
          <w:szCs w:val="24"/>
          <w:lang w:eastAsia="lt-LT"/>
        </w:rPr>
        <w:t>SaF</w:t>
      </w:r>
      <w:proofErr w:type="spellEnd"/>
      <w:r w:rsidR="005A5267" w:rsidRPr="005A5267">
        <w:rPr>
          <w:color w:val="595959" w:themeColor="text1" w:themeTint="A6"/>
          <w:szCs w:val="24"/>
          <w:lang w:eastAsia="lt-LT"/>
        </w:rPr>
        <w:t xml:space="preserve"> investicijos numatytos nekenksmingų aplinkai viešojo transporto priemonių įsigijimui miestuose bei regionuose skatinti. Šių priemonių įgyvendinimas užsitęsė dėl </w:t>
      </w:r>
      <w:r w:rsidR="00F52651">
        <w:rPr>
          <w:color w:val="595959" w:themeColor="text1" w:themeTint="A6"/>
          <w:szCs w:val="24"/>
          <w:lang w:eastAsia="lt-LT"/>
        </w:rPr>
        <w:t xml:space="preserve">pareigos projektų vykdytojams </w:t>
      </w:r>
      <w:r w:rsidR="005A5267" w:rsidRPr="005A5267">
        <w:rPr>
          <w:color w:val="595959" w:themeColor="text1" w:themeTint="A6"/>
          <w:szCs w:val="24"/>
          <w:lang w:eastAsia="lt-LT"/>
        </w:rPr>
        <w:t>viešųjų paslaugų teikimo sutartis</w:t>
      </w:r>
      <w:r w:rsidR="00F52651">
        <w:rPr>
          <w:color w:val="595959" w:themeColor="text1" w:themeTint="A6"/>
          <w:szCs w:val="24"/>
          <w:lang w:eastAsia="lt-LT"/>
        </w:rPr>
        <w:t xml:space="preserve"> sudaryti</w:t>
      </w:r>
      <w:r w:rsidR="005A5267" w:rsidRPr="005A5267">
        <w:rPr>
          <w:color w:val="595959" w:themeColor="text1" w:themeTint="A6"/>
          <w:szCs w:val="24"/>
          <w:lang w:eastAsia="lt-LT"/>
        </w:rPr>
        <w:t xml:space="preserve"> su keleivių vežimo veiklą vykdančiomis įmonėmis konkurso būdu. </w:t>
      </w:r>
      <w:r w:rsidR="006D6E0C">
        <w:rPr>
          <w:color w:val="595959" w:themeColor="text1" w:themeTint="A6"/>
          <w:szCs w:val="24"/>
          <w:lang w:eastAsia="lt-LT"/>
        </w:rPr>
        <w:t>Norėdama</w:t>
      </w:r>
      <w:r w:rsidR="00FC2234">
        <w:rPr>
          <w:color w:val="595959" w:themeColor="text1" w:themeTint="A6"/>
          <w:szCs w:val="24"/>
          <w:lang w:eastAsia="lt-LT"/>
        </w:rPr>
        <w:t xml:space="preserve"> </w:t>
      </w:r>
      <w:r w:rsidR="00FC2234" w:rsidRPr="00FC2234">
        <w:rPr>
          <w:color w:val="595959" w:themeColor="text1" w:themeTint="A6"/>
          <w:szCs w:val="24"/>
          <w:lang w:eastAsia="lt-LT"/>
        </w:rPr>
        <w:t xml:space="preserve">paspartinti projektų įgyvendinimą, </w:t>
      </w:r>
      <w:r w:rsidR="00FC2234">
        <w:rPr>
          <w:color w:val="595959" w:themeColor="text1" w:themeTint="A6"/>
          <w:szCs w:val="24"/>
          <w:lang w:eastAsia="lt-LT"/>
        </w:rPr>
        <w:t>Susisiekimo ministerija 2020</w:t>
      </w:r>
      <w:r w:rsidR="00FC2234" w:rsidRPr="00FC2234">
        <w:rPr>
          <w:color w:val="595959" w:themeColor="text1" w:themeTint="A6"/>
          <w:szCs w:val="24"/>
          <w:lang w:eastAsia="lt-LT"/>
        </w:rPr>
        <w:t xml:space="preserve"> m. perskirstė</w:t>
      </w:r>
      <w:r w:rsidR="00FC2234">
        <w:rPr>
          <w:color w:val="595959" w:themeColor="text1" w:themeTint="A6"/>
          <w:szCs w:val="24"/>
          <w:lang w:eastAsia="lt-LT"/>
        </w:rPr>
        <w:t xml:space="preserve"> likusias nepanaudotas lėšas tarp šių priemonių,</w:t>
      </w:r>
      <w:r w:rsidR="006D6E0C">
        <w:rPr>
          <w:color w:val="595959" w:themeColor="text1" w:themeTint="A6"/>
          <w:szCs w:val="24"/>
          <w:lang w:eastAsia="lt-LT"/>
        </w:rPr>
        <w:t xml:space="preserve"> taip siek</w:t>
      </w:r>
      <w:r>
        <w:rPr>
          <w:color w:val="595959" w:themeColor="text1" w:themeTint="A6"/>
          <w:szCs w:val="24"/>
          <w:lang w:eastAsia="lt-LT"/>
        </w:rPr>
        <w:t>iant mažinti transporto išmetamų</w:t>
      </w:r>
      <w:r w:rsidR="006D6E0C">
        <w:rPr>
          <w:color w:val="595959" w:themeColor="text1" w:themeTint="A6"/>
          <w:szCs w:val="24"/>
          <w:lang w:eastAsia="lt-LT"/>
        </w:rPr>
        <w:t xml:space="preserve"> šiltnamio efektą suke</w:t>
      </w:r>
      <w:r>
        <w:rPr>
          <w:color w:val="595959" w:themeColor="text1" w:themeTint="A6"/>
          <w:szCs w:val="24"/>
          <w:lang w:eastAsia="lt-LT"/>
        </w:rPr>
        <w:t xml:space="preserve">liančių dujų </w:t>
      </w:r>
      <w:r w:rsidR="006D6E0C">
        <w:rPr>
          <w:color w:val="595959" w:themeColor="text1" w:themeTint="A6"/>
          <w:szCs w:val="24"/>
          <w:lang w:eastAsia="lt-LT"/>
        </w:rPr>
        <w:t>taršą</w:t>
      </w:r>
      <w:r>
        <w:rPr>
          <w:color w:val="595959" w:themeColor="text1" w:themeTint="A6"/>
          <w:szCs w:val="24"/>
          <w:lang w:eastAsia="lt-LT"/>
        </w:rPr>
        <w:t xml:space="preserve"> didžiuosiuose miestuose.</w:t>
      </w:r>
    </w:p>
    <w:p w:rsidR="006D45C6" w:rsidRDefault="006D45C6" w:rsidP="00AC3A0A">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7475E3" w:rsidRPr="0040787A" w:rsidTr="002920BE">
        <w:tc>
          <w:tcPr>
            <w:tcW w:w="9638" w:type="dxa"/>
            <w:tcBorders>
              <w:top w:val="nil"/>
              <w:left w:val="nil"/>
              <w:bottom w:val="nil"/>
              <w:right w:val="nil"/>
            </w:tcBorders>
            <w:shd w:val="clear" w:color="auto" w:fill="D9D9D9" w:themeFill="background1" w:themeFillShade="D9"/>
          </w:tcPr>
          <w:p w:rsidR="007475E3" w:rsidRPr="0040787A" w:rsidRDefault="007475E3" w:rsidP="002920BE">
            <w:pPr>
              <w:jc w:val="both"/>
              <w:rPr>
                <w:b/>
                <w:color w:val="365F91" w:themeColor="accent1" w:themeShade="BF"/>
              </w:rPr>
            </w:pPr>
            <w:r>
              <w:rPr>
                <w:b/>
                <w:color w:val="365F91" w:themeColor="accent1" w:themeShade="BF"/>
              </w:rPr>
              <w:t>Siūlymai</w:t>
            </w:r>
            <w:r w:rsidR="00674AE3">
              <w:rPr>
                <w:b/>
                <w:color w:val="365F91" w:themeColor="accent1" w:themeShade="BF"/>
              </w:rPr>
              <w:t xml:space="preserve"> Susisiekimo</w:t>
            </w:r>
            <w:r>
              <w:rPr>
                <w:b/>
                <w:color w:val="365F91" w:themeColor="accent1" w:themeShade="BF"/>
              </w:rPr>
              <w:t xml:space="preserve"> </w:t>
            </w:r>
            <w:r w:rsidRPr="0040787A">
              <w:rPr>
                <w:b/>
                <w:color w:val="365F91" w:themeColor="accent1" w:themeShade="BF"/>
              </w:rPr>
              <w:t>ministerijai:</w:t>
            </w:r>
          </w:p>
          <w:p w:rsidR="002E2A3C" w:rsidRDefault="007475E3" w:rsidP="005A5267">
            <w:pPr>
              <w:jc w:val="both"/>
              <w:rPr>
                <w:color w:val="365F91" w:themeColor="accent1" w:themeShade="BF"/>
              </w:rPr>
            </w:pPr>
            <w:r w:rsidRPr="0040787A">
              <w:rPr>
                <w:color w:val="365F91" w:themeColor="accent1" w:themeShade="BF"/>
              </w:rPr>
              <w:t xml:space="preserve">- </w:t>
            </w:r>
            <w:r w:rsidR="00F52651">
              <w:rPr>
                <w:color w:val="365F91" w:themeColor="accent1" w:themeShade="BF"/>
              </w:rPr>
              <w:t>iki 2020 m. gruodžio 1 d. pateikti Finansų ministerijai informaciją apie 4 prioriteto priemonių paraiškų vertinimo eigą (už kokią sumą planuojama sudaryti sutarčių iki 2020 m. pabaigos pagal kiekvieną priemonę)</w:t>
            </w:r>
            <w:r w:rsidR="002E2A3C">
              <w:rPr>
                <w:color w:val="365F91" w:themeColor="accent1" w:themeShade="BF"/>
              </w:rPr>
              <w:t>;</w:t>
            </w:r>
          </w:p>
          <w:p w:rsidR="007475E3" w:rsidRPr="00835C89" w:rsidRDefault="002E2A3C" w:rsidP="002E2A3C">
            <w:pPr>
              <w:jc w:val="both"/>
              <w:rPr>
                <w:color w:val="365F91" w:themeColor="accent1" w:themeShade="BF"/>
              </w:rPr>
            </w:pPr>
            <w:r>
              <w:rPr>
                <w:color w:val="365F91" w:themeColor="accent1" w:themeShade="BF"/>
              </w:rPr>
              <w:t xml:space="preserve">- kartu su Centrine projektų valdymo agentūra imtis veiksmų, kad sutartys pagal priemones darnaus judumo priemonių diegimui bei </w:t>
            </w:r>
            <w:r w:rsidRPr="002E2A3C">
              <w:rPr>
                <w:color w:val="365F91" w:themeColor="accent1" w:themeShade="BF"/>
              </w:rPr>
              <w:t>nekenksmingų aplinkai viešojo transporto priemonių įsigijimui miestuose bei regionuose skatinti</w:t>
            </w:r>
            <w:r>
              <w:rPr>
                <w:color w:val="365F91" w:themeColor="accent1" w:themeShade="BF"/>
              </w:rPr>
              <w:t xml:space="preserve">, būtų sudarytos iki 2020 m. pabaigos. </w:t>
            </w:r>
          </w:p>
        </w:tc>
      </w:tr>
    </w:tbl>
    <w:p w:rsidR="007475E3" w:rsidRDefault="007475E3" w:rsidP="00AC3A0A">
      <w:pPr>
        <w:jc w:val="both"/>
        <w:rPr>
          <w:color w:val="595959" w:themeColor="text1" w:themeTint="A6"/>
          <w:szCs w:val="24"/>
          <w:lang w:eastAsia="lt-LT"/>
        </w:rPr>
      </w:pPr>
    </w:p>
    <w:p w:rsidR="006D45C6" w:rsidRDefault="001225F4" w:rsidP="00AC3A0A">
      <w:pPr>
        <w:jc w:val="both"/>
        <w:rPr>
          <w:color w:val="595959" w:themeColor="text1" w:themeTint="A6"/>
          <w:szCs w:val="24"/>
          <w:lang w:eastAsia="lt-LT"/>
        </w:rPr>
      </w:pPr>
      <w:r>
        <w:rPr>
          <w:noProof/>
          <w:lang w:eastAsia="lt-LT"/>
        </w:rPr>
        <w:drawing>
          <wp:inline distT="0" distB="0" distL="0" distR="0" wp14:anchorId="714DAC9E" wp14:editId="4BE40DF4">
            <wp:extent cx="6120130" cy="558328"/>
            <wp:effectExtent l="0" t="0" r="13970" b="13335"/>
            <wp:docPr id="392" name="Diagrama 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D45C6" w:rsidRPr="001225F4" w:rsidRDefault="006D45C6" w:rsidP="00AC3A0A">
      <w:pPr>
        <w:jc w:val="both"/>
        <w:rPr>
          <w:color w:val="595959" w:themeColor="text1" w:themeTint="A6"/>
          <w:szCs w:val="24"/>
          <w:lang w:eastAsia="lt-LT"/>
        </w:rPr>
      </w:pPr>
    </w:p>
    <w:p w:rsidR="006D45C6" w:rsidRDefault="001225F4" w:rsidP="0022022E">
      <w:pPr>
        <w:ind w:firstLine="426"/>
        <w:jc w:val="both"/>
        <w:rPr>
          <w:color w:val="595959" w:themeColor="text1" w:themeTint="A6"/>
          <w:szCs w:val="24"/>
          <w:lang w:eastAsia="lt-LT"/>
        </w:rPr>
      </w:pPr>
      <w:r>
        <w:rPr>
          <w:color w:val="595959" w:themeColor="text1" w:themeTint="A6"/>
          <w:szCs w:val="24"/>
          <w:lang w:eastAsia="lt-LT"/>
        </w:rPr>
        <w:t>Vidaus reikalų ministerija</w:t>
      </w:r>
      <w:r w:rsidRPr="001225F4">
        <w:rPr>
          <w:color w:val="595959" w:themeColor="text1" w:themeTint="A6"/>
          <w:szCs w:val="24"/>
          <w:lang w:eastAsia="lt-LT"/>
        </w:rPr>
        <w:t xml:space="preserve"> </w:t>
      </w:r>
      <w:r>
        <w:rPr>
          <w:color w:val="595959" w:themeColor="text1" w:themeTint="A6"/>
          <w:szCs w:val="24"/>
          <w:lang w:eastAsia="lt-LT"/>
        </w:rPr>
        <w:t>4 prioritete administruoja</w:t>
      </w:r>
      <w:r w:rsidR="001C7DDA">
        <w:rPr>
          <w:color w:val="595959" w:themeColor="text1" w:themeTint="A6"/>
          <w:szCs w:val="24"/>
          <w:lang w:eastAsia="lt-LT"/>
        </w:rPr>
        <w:t xml:space="preserve"> </w:t>
      </w:r>
      <w:r>
        <w:rPr>
          <w:color w:val="595959" w:themeColor="text1" w:themeTint="A6"/>
          <w:szCs w:val="24"/>
          <w:lang w:eastAsia="lt-LT"/>
        </w:rPr>
        <w:t xml:space="preserve">priemonę „Funkcinių zonų vystymas“, kurios </w:t>
      </w:r>
      <w:r w:rsidR="002D507D">
        <w:rPr>
          <w:color w:val="595959" w:themeColor="text1" w:themeTint="A6"/>
          <w:szCs w:val="24"/>
          <w:lang w:eastAsia="lt-LT"/>
        </w:rPr>
        <w:t>įgyvendinimas dar nėra pradėtas</w:t>
      </w:r>
      <w:r w:rsidR="002D507D" w:rsidRPr="002D507D">
        <w:t xml:space="preserve"> </w:t>
      </w:r>
      <w:r w:rsidR="002D507D" w:rsidRPr="002D507D">
        <w:rPr>
          <w:color w:val="595959" w:themeColor="text1" w:themeTint="A6"/>
          <w:szCs w:val="24"/>
          <w:lang w:eastAsia="lt-LT"/>
        </w:rPr>
        <w:t>dėl kol kas nepriimtų su priemonės įgyv</w:t>
      </w:r>
      <w:r w:rsidR="002D507D">
        <w:rPr>
          <w:color w:val="595959" w:themeColor="text1" w:themeTint="A6"/>
          <w:szCs w:val="24"/>
          <w:lang w:eastAsia="lt-LT"/>
        </w:rPr>
        <w:t>endinimu susijusių teisės aktų</w:t>
      </w:r>
      <w:r w:rsidR="002D507D">
        <w:rPr>
          <w:rStyle w:val="Puslapioinaosnuoroda"/>
          <w:color w:val="595959" w:themeColor="text1" w:themeTint="A6"/>
          <w:szCs w:val="24"/>
          <w:lang w:eastAsia="lt-LT"/>
        </w:rPr>
        <w:footnoteReference w:id="3"/>
      </w:r>
      <w:r w:rsidR="002D507D">
        <w:rPr>
          <w:color w:val="595959" w:themeColor="text1" w:themeTint="A6"/>
          <w:szCs w:val="24"/>
          <w:lang w:eastAsia="lt-LT"/>
        </w:rPr>
        <w:t xml:space="preserve"> pakeitimų</w:t>
      </w:r>
      <w:r w:rsidR="008C5C35">
        <w:rPr>
          <w:color w:val="595959" w:themeColor="text1" w:themeTint="A6"/>
          <w:szCs w:val="24"/>
          <w:lang w:eastAsia="lt-LT"/>
        </w:rPr>
        <w:t>, tačiau,</w:t>
      </w:r>
      <w:r w:rsidR="001C7DDA" w:rsidRPr="001C7DDA">
        <w:rPr>
          <w:color w:val="595959"/>
          <w:szCs w:val="24"/>
          <w:lang w:eastAsia="lt-LT"/>
        </w:rPr>
        <w:t xml:space="preserve"> </w:t>
      </w:r>
      <w:r w:rsidR="008C5C35">
        <w:rPr>
          <w:color w:val="595959"/>
          <w:szCs w:val="24"/>
          <w:lang w:eastAsia="lt-LT"/>
        </w:rPr>
        <w:t>įvertinus</w:t>
      </w:r>
      <w:r w:rsidR="001C7DDA" w:rsidRPr="001C7DDA">
        <w:rPr>
          <w:color w:val="595959"/>
          <w:szCs w:val="24"/>
          <w:lang w:eastAsia="lt-LT"/>
        </w:rPr>
        <w:t xml:space="preserve"> </w:t>
      </w:r>
      <w:r w:rsidR="007016A8">
        <w:rPr>
          <w:color w:val="595959"/>
          <w:szCs w:val="24"/>
          <w:lang w:eastAsia="lt-LT"/>
        </w:rPr>
        <w:t xml:space="preserve">Vidaus reikalų ministerijos </w:t>
      </w:r>
      <w:r w:rsidR="0022022E">
        <w:rPr>
          <w:color w:val="595959"/>
          <w:szCs w:val="24"/>
          <w:lang w:eastAsia="lt-LT"/>
        </w:rPr>
        <w:t>pažangą atliekant su priemonės</w:t>
      </w:r>
      <w:r w:rsidR="008C5C35">
        <w:rPr>
          <w:color w:val="595959"/>
          <w:szCs w:val="24"/>
          <w:lang w:eastAsia="lt-LT"/>
        </w:rPr>
        <w:t xml:space="preserve"> </w:t>
      </w:r>
      <w:r w:rsidR="0022022E">
        <w:rPr>
          <w:color w:val="595959"/>
          <w:szCs w:val="24"/>
          <w:lang w:eastAsia="lt-LT"/>
        </w:rPr>
        <w:t>planavimu bei įgyvendinimu susijusius veiksmus</w:t>
      </w:r>
      <w:r w:rsidR="000C57CC">
        <w:rPr>
          <w:color w:val="595959"/>
          <w:szCs w:val="24"/>
          <w:lang w:eastAsia="lt-LT"/>
        </w:rPr>
        <w:t>,</w:t>
      </w:r>
      <w:r w:rsidR="0022022E">
        <w:rPr>
          <w:color w:val="595959"/>
          <w:szCs w:val="24"/>
          <w:lang w:eastAsia="lt-LT"/>
        </w:rPr>
        <w:t xml:space="preserve"> </w:t>
      </w:r>
      <w:r w:rsidR="007016A8" w:rsidRPr="007016A8">
        <w:rPr>
          <w:color w:val="595959"/>
          <w:szCs w:val="24"/>
          <w:lang w:eastAsia="lt-LT"/>
        </w:rPr>
        <w:t>rizika nespėti pasirašyti sutarčių yra minimali</w:t>
      </w:r>
      <w:r w:rsidR="006E16A7">
        <w:rPr>
          <w:color w:val="595959"/>
          <w:szCs w:val="24"/>
          <w:lang w:eastAsia="lt-LT"/>
        </w:rPr>
        <w:t>.</w:t>
      </w:r>
    </w:p>
    <w:p w:rsidR="00FE440C" w:rsidRPr="001225F4" w:rsidRDefault="00FE440C" w:rsidP="0034618A">
      <w:pPr>
        <w:ind w:firstLine="426"/>
        <w:jc w:val="both"/>
        <w:rPr>
          <w:color w:val="595959" w:themeColor="text1" w:themeTint="A6"/>
          <w:szCs w:val="24"/>
          <w:lang w:eastAsia="lt-LT"/>
        </w:rPr>
      </w:pPr>
    </w:p>
    <w:p w:rsidR="007475E3" w:rsidRDefault="000305AE" w:rsidP="006C386F">
      <w:pPr>
        <w:keepNext/>
        <w:keepLines/>
        <w:jc w:val="both"/>
        <w:outlineLvl w:val="1"/>
        <w:rPr>
          <w:rFonts w:eastAsiaTheme="majorEastAsia"/>
          <w:b/>
          <w:bCs/>
          <w:color w:val="595959" w:themeColor="text1" w:themeTint="A6"/>
          <w:szCs w:val="24"/>
          <w:lang w:eastAsia="lt-LT"/>
        </w:rPr>
      </w:pPr>
      <w:bookmarkStart w:id="20" w:name="_Toc54258635"/>
      <w:r w:rsidRPr="00382B25">
        <w:rPr>
          <w:rFonts w:eastAsiaTheme="majorEastAsia"/>
          <w:b/>
          <w:bCs/>
          <w:color w:val="595959" w:themeColor="text1" w:themeTint="A6"/>
          <w:szCs w:val="24"/>
          <w:lang w:eastAsia="lt-LT"/>
        </w:rPr>
        <w:t>5 prioritetas. Aplinkosauga, gamtos išteklių darnus naudojimas ir prisitaikymas prie klimato kaitos</w:t>
      </w:r>
      <w:bookmarkEnd w:id="19"/>
      <w:bookmarkEnd w:id="20"/>
    </w:p>
    <w:p w:rsidR="00B3224A" w:rsidRDefault="00B3224A" w:rsidP="008510B0">
      <w:pPr>
        <w:pStyle w:val="tekstas"/>
        <w:ind w:firstLine="0"/>
        <w:rPr>
          <w:rFonts w:ascii="Times New Roman" w:hAnsi="Times New Roman"/>
          <w:color w:val="595959" w:themeColor="text1" w:themeTint="A6"/>
          <w:lang w:eastAsia="lt-LT"/>
        </w:rPr>
      </w:pPr>
      <w:bookmarkStart w:id="21" w:name="_Toc10104957"/>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6E964953" wp14:editId="61114E71">
            <wp:extent cx="6120130" cy="792128"/>
            <wp:effectExtent l="0" t="0" r="13970" b="27305"/>
            <wp:docPr id="20"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92FA0" w:rsidRDefault="00C92FA0" w:rsidP="008510B0">
      <w:pPr>
        <w:pStyle w:val="tekstas"/>
        <w:ind w:firstLine="0"/>
        <w:rPr>
          <w:rFonts w:ascii="Times New Roman" w:hAnsi="Times New Roman"/>
          <w:color w:val="595959" w:themeColor="text1" w:themeTint="A6"/>
          <w:lang w:eastAsia="lt-LT"/>
        </w:rPr>
      </w:pPr>
    </w:p>
    <w:p w:rsidR="002D507D" w:rsidRDefault="00E82945" w:rsidP="002D507D">
      <w:pPr>
        <w:ind w:firstLine="426"/>
        <w:jc w:val="both"/>
        <w:rPr>
          <w:color w:val="595959" w:themeColor="text1" w:themeTint="A6"/>
          <w:szCs w:val="24"/>
          <w:lang w:eastAsia="lt-LT"/>
        </w:rPr>
      </w:pPr>
      <w:r>
        <w:rPr>
          <w:color w:val="595959" w:themeColor="text1" w:themeTint="A6"/>
          <w:szCs w:val="24"/>
          <w:lang w:eastAsia="lt-LT"/>
        </w:rPr>
        <w:t>Aplinkos</w:t>
      </w:r>
      <w:r w:rsidRPr="007720BF">
        <w:rPr>
          <w:color w:val="595959" w:themeColor="text1" w:themeTint="A6"/>
          <w:szCs w:val="24"/>
          <w:lang w:eastAsia="lt-LT"/>
        </w:rPr>
        <w:t xml:space="preserve"> ministerijos administruojamų </w:t>
      </w:r>
      <w:r>
        <w:rPr>
          <w:color w:val="595959" w:themeColor="text1" w:themeTint="A6"/>
          <w:szCs w:val="24"/>
          <w:lang w:eastAsia="lt-LT"/>
        </w:rPr>
        <w:t>5</w:t>
      </w:r>
      <w:r w:rsidRPr="007720BF">
        <w:rPr>
          <w:color w:val="595959" w:themeColor="text1" w:themeTint="A6"/>
          <w:szCs w:val="24"/>
          <w:lang w:eastAsia="lt-LT"/>
        </w:rPr>
        <w:t xml:space="preserve"> prioriteto </w:t>
      </w:r>
      <w:r w:rsidR="002D507D">
        <w:rPr>
          <w:color w:val="595959" w:themeColor="text1" w:themeTint="A6"/>
          <w:szCs w:val="24"/>
          <w:lang w:eastAsia="lt-LT"/>
        </w:rPr>
        <w:t xml:space="preserve">ERPF lėšomis finansuojamų priemonių pasirašytos visos sutartys, tačiau investicijos nesiekia pusės (48 proc.) skirtų lėšų. </w:t>
      </w:r>
      <w:proofErr w:type="spellStart"/>
      <w:r w:rsidR="002D507D">
        <w:rPr>
          <w:color w:val="595959" w:themeColor="text1" w:themeTint="A6"/>
          <w:szCs w:val="24"/>
          <w:lang w:eastAsia="lt-LT"/>
        </w:rPr>
        <w:t>SaF</w:t>
      </w:r>
      <w:proofErr w:type="spellEnd"/>
      <w:r>
        <w:rPr>
          <w:color w:val="595959" w:themeColor="text1" w:themeTint="A6"/>
          <w:szCs w:val="24"/>
          <w:lang w:eastAsia="lt-LT"/>
        </w:rPr>
        <w:t xml:space="preserve"> lėšomis</w:t>
      </w:r>
      <w:r w:rsidR="002D507D">
        <w:rPr>
          <w:color w:val="595959" w:themeColor="text1" w:themeTint="A6"/>
          <w:szCs w:val="24"/>
          <w:lang w:eastAsia="lt-LT"/>
        </w:rPr>
        <w:t xml:space="preserve"> finansuojamų priemonių </w:t>
      </w:r>
      <w:r w:rsidR="00105646">
        <w:rPr>
          <w:color w:val="595959" w:themeColor="text1" w:themeTint="A6"/>
          <w:szCs w:val="24"/>
          <w:lang w:eastAsia="lt-LT"/>
        </w:rPr>
        <w:t xml:space="preserve">investavimo tempas atitinka Veiksmų programos vidurkį, tačiau </w:t>
      </w:r>
      <w:r w:rsidR="002D507D">
        <w:rPr>
          <w:color w:val="595959" w:themeColor="text1" w:themeTint="A6"/>
          <w:szCs w:val="24"/>
          <w:lang w:eastAsia="lt-LT"/>
        </w:rPr>
        <w:t>sudarytų</w:t>
      </w:r>
      <w:r w:rsidRPr="007720BF">
        <w:rPr>
          <w:color w:val="595959" w:themeColor="text1" w:themeTint="A6"/>
          <w:szCs w:val="24"/>
          <w:lang w:eastAsia="lt-LT"/>
        </w:rPr>
        <w:t xml:space="preserve"> sutarčių </w:t>
      </w:r>
      <w:r w:rsidR="002D507D">
        <w:rPr>
          <w:color w:val="595959" w:themeColor="text1" w:themeTint="A6"/>
          <w:szCs w:val="24"/>
          <w:lang w:eastAsia="lt-LT"/>
        </w:rPr>
        <w:t>procentas yra nepakankamas (88 proc.)</w:t>
      </w:r>
      <w:r w:rsidR="00977208">
        <w:rPr>
          <w:color w:val="595959" w:themeColor="text1" w:themeTint="A6"/>
          <w:szCs w:val="24"/>
          <w:lang w:eastAsia="lt-LT"/>
        </w:rPr>
        <w:t>.</w:t>
      </w:r>
    </w:p>
    <w:p w:rsidR="00E82945" w:rsidRDefault="00E82945" w:rsidP="002D507D">
      <w:pPr>
        <w:ind w:firstLine="426"/>
        <w:jc w:val="both"/>
        <w:rPr>
          <w:color w:val="595959" w:themeColor="text1" w:themeTint="A6"/>
          <w:szCs w:val="24"/>
          <w:lang w:eastAsia="lt-LT"/>
        </w:rPr>
      </w:pPr>
      <w:r>
        <w:rPr>
          <w:color w:val="595959" w:themeColor="text1" w:themeTint="A6"/>
          <w:szCs w:val="24"/>
          <w:lang w:eastAsia="lt-LT"/>
        </w:rPr>
        <w:t xml:space="preserve">Atsižvelgiant į tai, kad </w:t>
      </w:r>
      <w:r w:rsidR="00567176">
        <w:rPr>
          <w:color w:val="595959" w:themeColor="text1" w:themeTint="A6"/>
          <w:szCs w:val="24"/>
          <w:lang w:eastAsia="lt-LT"/>
        </w:rPr>
        <w:t>Veiksmų programos 5.1</w:t>
      </w:r>
      <w:r w:rsidR="0050710F">
        <w:rPr>
          <w:color w:val="595959" w:themeColor="text1" w:themeTint="A6"/>
          <w:szCs w:val="24"/>
          <w:lang w:eastAsia="lt-LT"/>
        </w:rPr>
        <w:t xml:space="preserve"> ir 5.3</w:t>
      </w:r>
      <w:r w:rsidR="00567176">
        <w:rPr>
          <w:color w:val="595959" w:themeColor="text1" w:themeTint="A6"/>
          <w:szCs w:val="24"/>
          <w:lang w:eastAsia="lt-LT"/>
        </w:rPr>
        <w:t xml:space="preserve"> Investicijų prioritet</w:t>
      </w:r>
      <w:r w:rsidR="0050710F">
        <w:rPr>
          <w:color w:val="595959" w:themeColor="text1" w:themeTint="A6"/>
          <w:szCs w:val="24"/>
          <w:lang w:eastAsia="lt-LT"/>
        </w:rPr>
        <w:t>ų</w:t>
      </w:r>
      <w:r w:rsidR="00567176">
        <w:rPr>
          <w:color w:val="595959" w:themeColor="text1" w:themeTint="A6"/>
          <w:szCs w:val="24"/>
          <w:lang w:eastAsia="lt-LT"/>
        </w:rPr>
        <w:t>, susijusi</w:t>
      </w:r>
      <w:r w:rsidR="0050710F">
        <w:rPr>
          <w:color w:val="595959" w:themeColor="text1" w:themeTint="A6"/>
          <w:szCs w:val="24"/>
          <w:lang w:eastAsia="lt-LT"/>
        </w:rPr>
        <w:t>ų</w:t>
      </w:r>
      <w:r w:rsidR="00567176">
        <w:rPr>
          <w:color w:val="595959" w:themeColor="text1" w:themeTint="A6"/>
          <w:szCs w:val="24"/>
          <w:lang w:eastAsia="lt-LT"/>
        </w:rPr>
        <w:t xml:space="preserve"> su investicijų skatinimu siekiant prisitaikyti prie klimato kaitos</w:t>
      </w:r>
      <w:r w:rsidR="0050710F">
        <w:rPr>
          <w:color w:val="595959" w:themeColor="text1" w:themeTint="A6"/>
          <w:szCs w:val="24"/>
          <w:lang w:eastAsia="lt-LT"/>
        </w:rPr>
        <w:t xml:space="preserve"> ir investicijomis į vandens sektorių</w:t>
      </w:r>
      <w:r w:rsidR="00567176">
        <w:rPr>
          <w:color w:val="595959" w:themeColor="text1" w:themeTint="A6"/>
          <w:szCs w:val="24"/>
          <w:lang w:eastAsia="lt-LT"/>
        </w:rPr>
        <w:t xml:space="preserve">, </w:t>
      </w:r>
      <w:r w:rsidR="00105646">
        <w:rPr>
          <w:color w:val="595959" w:themeColor="text1" w:themeTint="A6"/>
          <w:szCs w:val="24"/>
          <w:lang w:eastAsia="lt-LT"/>
        </w:rPr>
        <w:t>pagrindines veiklų krypti</w:t>
      </w:r>
      <w:r w:rsidR="00567176">
        <w:rPr>
          <w:color w:val="595959" w:themeColor="text1" w:themeTint="A6"/>
          <w:szCs w:val="24"/>
          <w:lang w:eastAsia="lt-LT"/>
        </w:rPr>
        <w:t xml:space="preserve">s </w:t>
      </w:r>
      <w:r w:rsidR="00105646">
        <w:rPr>
          <w:color w:val="595959" w:themeColor="text1" w:themeTint="A6"/>
          <w:szCs w:val="24"/>
          <w:lang w:eastAsia="lt-LT"/>
        </w:rPr>
        <w:t>planuojama</w:t>
      </w:r>
      <w:r w:rsidR="00567176">
        <w:rPr>
          <w:color w:val="595959" w:themeColor="text1" w:themeTint="A6"/>
          <w:szCs w:val="24"/>
          <w:lang w:eastAsia="lt-LT"/>
        </w:rPr>
        <w:t xml:space="preserve"> iš esmės tęs</w:t>
      </w:r>
      <w:r w:rsidR="0050710F">
        <w:rPr>
          <w:color w:val="595959" w:themeColor="text1" w:themeTint="A6"/>
          <w:szCs w:val="24"/>
          <w:lang w:eastAsia="lt-LT"/>
        </w:rPr>
        <w:t>ti</w:t>
      </w:r>
      <w:r w:rsidR="00567176">
        <w:rPr>
          <w:color w:val="595959" w:themeColor="text1" w:themeTint="A6"/>
          <w:szCs w:val="24"/>
          <w:lang w:eastAsia="lt-LT"/>
        </w:rPr>
        <w:t xml:space="preserve"> ir naujuoju periodu, svarbu, kad priemonės būtų įgyvendintos kuo greičiau ir galima būtų įvertinti jų naudą, prisidėjimą prie tikslų pasiekimo</w:t>
      </w:r>
      <w:r w:rsidR="0050710F">
        <w:rPr>
          <w:color w:val="595959" w:themeColor="text1" w:themeTint="A6"/>
          <w:szCs w:val="24"/>
          <w:lang w:eastAsia="lt-LT"/>
        </w:rPr>
        <w:t>,</w:t>
      </w:r>
      <w:r w:rsidR="00567176">
        <w:rPr>
          <w:color w:val="595959" w:themeColor="text1" w:themeTint="A6"/>
          <w:szCs w:val="24"/>
          <w:lang w:eastAsia="lt-LT"/>
        </w:rPr>
        <w:t xml:space="preserve"> atitinkamai tikslingiau planuoti ateinančio periodo priemones (įvertinti intervencijų suderinamumą, užtikrinti sinergiją ir papildomumą).</w:t>
      </w:r>
    </w:p>
    <w:p w:rsidR="00977208" w:rsidRPr="006D45C6" w:rsidRDefault="00516199" w:rsidP="006D45C6">
      <w:pPr>
        <w:ind w:firstLine="426"/>
        <w:jc w:val="both"/>
        <w:rPr>
          <w:color w:val="595959" w:themeColor="text1" w:themeTint="A6"/>
          <w:szCs w:val="24"/>
          <w:lang w:eastAsia="lt-LT"/>
        </w:rPr>
      </w:pPr>
      <w:r>
        <w:rPr>
          <w:color w:val="595959" w:themeColor="text1" w:themeTint="A6"/>
          <w:szCs w:val="24"/>
          <w:lang w:eastAsia="lt-LT"/>
        </w:rPr>
        <w:t xml:space="preserve">Aplinkos ministerija turi didelį lėšų poreikį Miesto nuotekų direktyvos pažeidimo taisymui (naujam </w:t>
      </w:r>
      <w:r w:rsidR="00105646">
        <w:rPr>
          <w:color w:val="595959" w:themeColor="text1" w:themeTint="A6"/>
          <w:szCs w:val="24"/>
          <w:lang w:eastAsia="lt-LT"/>
        </w:rPr>
        <w:t xml:space="preserve">vandentvarkos kvietimui </w:t>
      </w:r>
      <w:r w:rsidRPr="006D45C6">
        <w:rPr>
          <w:color w:val="595959" w:themeColor="text1" w:themeTint="A6"/>
          <w:szCs w:val="24"/>
          <w:lang w:eastAsia="lt-LT"/>
        </w:rPr>
        <w:t>priemonė</w:t>
      </w:r>
      <w:r w:rsidR="00105646">
        <w:rPr>
          <w:color w:val="595959" w:themeColor="text1" w:themeTint="A6"/>
          <w:szCs w:val="24"/>
          <w:lang w:eastAsia="lt-LT"/>
        </w:rPr>
        <w:t>m</w:t>
      </w:r>
      <w:r w:rsidRPr="006D45C6">
        <w:rPr>
          <w:color w:val="595959" w:themeColor="text1" w:themeTint="A6"/>
          <w:szCs w:val="24"/>
          <w:lang w:eastAsia="lt-LT"/>
        </w:rPr>
        <w:t>s „Nuotekų surinkimo tinklų plėtra“ ir „Vandentvarkos fondas“),</w:t>
      </w:r>
      <w:r>
        <w:rPr>
          <w:color w:val="595959" w:themeColor="text1" w:themeTint="A6"/>
          <w:szCs w:val="24"/>
          <w:lang w:eastAsia="lt-LT"/>
        </w:rPr>
        <w:t xml:space="preserve"> todėl būtina </w:t>
      </w:r>
      <w:r w:rsidRPr="006D45C6">
        <w:rPr>
          <w:color w:val="595959" w:themeColor="text1" w:themeTint="A6"/>
          <w:szCs w:val="24"/>
          <w:lang w:eastAsia="lt-LT"/>
        </w:rPr>
        <w:t xml:space="preserve">įvertinti visų administruojamų priemonių likučius, sutaupymus bei stringančius projektus, kurie siejami su rizika nespėti projekto </w:t>
      </w:r>
      <w:r w:rsidR="00105646">
        <w:rPr>
          <w:color w:val="595959" w:themeColor="text1" w:themeTint="A6"/>
          <w:szCs w:val="24"/>
          <w:lang w:eastAsia="lt-LT"/>
        </w:rPr>
        <w:t>įgyvendinti laiku</w:t>
      </w:r>
      <w:r w:rsidRPr="006D45C6">
        <w:rPr>
          <w:color w:val="595959" w:themeColor="text1" w:themeTint="A6"/>
          <w:szCs w:val="24"/>
          <w:lang w:eastAsia="lt-LT"/>
        </w:rPr>
        <w:t xml:space="preserve"> </w:t>
      </w:r>
      <w:r w:rsidR="00886528" w:rsidRPr="006D45C6">
        <w:rPr>
          <w:color w:val="595959" w:themeColor="text1" w:themeTint="A6"/>
          <w:szCs w:val="24"/>
          <w:lang w:eastAsia="lt-LT"/>
        </w:rPr>
        <w:t xml:space="preserve">ir laisvas lėšas skirti </w:t>
      </w:r>
      <w:r w:rsidRPr="006D45C6">
        <w:rPr>
          <w:color w:val="595959" w:themeColor="text1" w:themeTint="A6"/>
          <w:szCs w:val="24"/>
          <w:lang w:eastAsia="lt-LT"/>
        </w:rPr>
        <w:t>minėtam tikslui</w:t>
      </w:r>
      <w:r w:rsidR="00886528" w:rsidRPr="006D45C6">
        <w:rPr>
          <w:color w:val="595959" w:themeColor="text1" w:themeTint="A6"/>
          <w:szCs w:val="24"/>
          <w:lang w:eastAsia="lt-LT"/>
        </w:rPr>
        <w:t xml:space="preserve"> pasiekti.</w:t>
      </w:r>
    </w:p>
    <w:p w:rsidR="008B1502" w:rsidRPr="006D45C6" w:rsidRDefault="00105646" w:rsidP="006D45C6">
      <w:pPr>
        <w:ind w:firstLine="426"/>
        <w:jc w:val="both"/>
        <w:rPr>
          <w:color w:val="595959" w:themeColor="text1" w:themeTint="A6"/>
          <w:szCs w:val="24"/>
          <w:lang w:eastAsia="lt-LT"/>
        </w:rPr>
      </w:pPr>
      <w:r>
        <w:rPr>
          <w:color w:val="595959" w:themeColor="text1" w:themeTint="A6"/>
          <w:szCs w:val="24"/>
          <w:lang w:eastAsia="lt-LT"/>
        </w:rPr>
        <w:t xml:space="preserve">Taip pat, pažymėtina, kad </w:t>
      </w:r>
      <w:r w:rsidR="008B1502" w:rsidRPr="006D45C6">
        <w:rPr>
          <w:color w:val="595959" w:themeColor="text1" w:themeTint="A6"/>
          <w:szCs w:val="24"/>
          <w:lang w:eastAsia="lt-LT"/>
        </w:rPr>
        <w:t xml:space="preserve">Aplinkos ministerija neįgyvendino ankstesnėje ataskaitoje teiktos rekomendacijos, t. y. iki 2020 m. rugpjūčio 14 d. </w:t>
      </w:r>
      <w:r w:rsidR="007A3B60" w:rsidRPr="006D45C6">
        <w:rPr>
          <w:color w:val="595959" w:themeColor="text1" w:themeTint="A6"/>
          <w:szCs w:val="24"/>
          <w:lang w:eastAsia="lt-LT"/>
        </w:rPr>
        <w:t>nenustat</w:t>
      </w:r>
      <w:r w:rsidR="008B1502" w:rsidRPr="006D45C6">
        <w:rPr>
          <w:color w:val="595959" w:themeColor="text1" w:themeTint="A6"/>
          <w:szCs w:val="24"/>
          <w:lang w:eastAsia="lt-LT"/>
        </w:rPr>
        <w:t xml:space="preserve">ė </w:t>
      </w:r>
      <w:proofErr w:type="spellStart"/>
      <w:r w:rsidR="008B1502" w:rsidRPr="006D45C6">
        <w:rPr>
          <w:color w:val="595959" w:themeColor="text1" w:themeTint="A6"/>
          <w:szCs w:val="24"/>
          <w:lang w:eastAsia="lt-LT"/>
        </w:rPr>
        <w:t>Natura</w:t>
      </w:r>
      <w:proofErr w:type="spellEnd"/>
      <w:r w:rsidR="008B1502" w:rsidRPr="006D45C6">
        <w:rPr>
          <w:color w:val="595959" w:themeColor="text1" w:themeTint="A6"/>
          <w:szCs w:val="24"/>
          <w:lang w:eastAsia="lt-LT"/>
        </w:rPr>
        <w:t xml:space="preserve"> 2000 teritorijų apsaugos tikslų projekto „Ruožo Kaišiadorys–Klaipėda (Draugystės st.) elektrifikavimas“ teritorijose, kuriose planuojami statybos darbai, kaip to reikalauja Buveinių direktyvos 6 str. 1 d. nuostatos. </w:t>
      </w:r>
      <w:r w:rsidR="00870C57" w:rsidRPr="006D45C6">
        <w:rPr>
          <w:color w:val="595959" w:themeColor="text1" w:themeTint="A6"/>
          <w:szCs w:val="24"/>
          <w:lang w:eastAsia="lt-LT"/>
        </w:rPr>
        <w:t>Aplinkos ministerija turi atlikti jos sričiai priskirtus veiksmus, kad Susisiekimo ministerijos įgyvendinamas didelės apimties projektas galėtų būti pateiktas vertinimui.</w:t>
      </w:r>
    </w:p>
    <w:p w:rsidR="00D635D0" w:rsidRPr="00474C41" w:rsidRDefault="00D635D0" w:rsidP="00D635D0">
      <w:pPr>
        <w:pStyle w:val="tekstas"/>
        <w:ind w:firstLine="0"/>
        <w:rPr>
          <w:rFonts w:ascii="Times New Roman" w:hAnsi="Times New Roman"/>
          <w:color w:val="595959" w:themeColor="text1" w:themeTint="A6"/>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D635D0" w:rsidRPr="0040787A" w:rsidTr="000D6CD6">
        <w:tc>
          <w:tcPr>
            <w:tcW w:w="9638" w:type="dxa"/>
            <w:tcBorders>
              <w:top w:val="nil"/>
              <w:left w:val="nil"/>
              <w:bottom w:val="nil"/>
              <w:right w:val="nil"/>
            </w:tcBorders>
            <w:shd w:val="clear" w:color="auto" w:fill="D9D9D9" w:themeFill="background1" w:themeFillShade="D9"/>
          </w:tcPr>
          <w:p w:rsidR="00D635D0" w:rsidRPr="0040787A" w:rsidRDefault="00D635D0" w:rsidP="000D6CD6">
            <w:pPr>
              <w:jc w:val="both"/>
              <w:rPr>
                <w:b/>
                <w:color w:val="365F91" w:themeColor="accent1" w:themeShade="BF"/>
              </w:rPr>
            </w:pPr>
            <w:r>
              <w:rPr>
                <w:b/>
                <w:color w:val="365F91" w:themeColor="accent1" w:themeShade="BF"/>
              </w:rPr>
              <w:t>Siūlymas</w:t>
            </w:r>
            <w:r w:rsidRPr="0040787A">
              <w:rPr>
                <w:b/>
                <w:color w:val="365F91" w:themeColor="accent1" w:themeShade="BF"/>
              </w:rPr>
              <w:t xml:space="preserve"> </w:t>
            </w:r>
            <w:r>
              <w:rPr>
                <w:b/>
                <w:color w:val="365F91" w:themeColor="accent1" w:themeShade="BF"/>
              </w:rPr>
              <w:t xml:space="preserve">Aplinkos </w:t>
            </w:r>
            <w:r w:rsidRPr="0040787A">
              <w:rPr>
                <w:b/>
                <w:color w:val="365F91" w:themeColor="accent1" w:themeShade="BF"/>
              </w:rPr>
              <w:t>ministerijai:</w:t>
            </w:r>
          </w:p>
          <w:p w:rsidR="00D635D0" w:rsidRPr="00835C89" w:rsidRDefault="00D635D0" w:rsidP="00C9221A">
            <w:pPr>
              <w:jc w:val="both"/>
              <w:rPr>
                <w:color w:val="365F91" w:themeColor="accent1" w:themeShade="BF"/>
              </w:rPr>
            </w:pPr>
            <w:r w:rsidRPr="0040787A">
              <w:rPr>
                <w:color w:val="365F91" w:themeColor="accent1" w:themeShade="BF"/>
              </w:rPr>
              <w:t xml:space="preserve">- </w:t>
            </w:r>
            <w:r>
              <w:rPr>
                <w:color w:val="365F91" w:themeColor="accent1" w:themeShade="BF"/>
              </w:rPr>
              <w:t>atlikti priemonių, kurioms dar nėra skirtas finansavimas, vertinimą, taip pat identifikuoti visų administruojamų priemonių likučius, sutaupymus bei nevykstančius projektus, siekiant, lėšas nukreipti šiuo metu identifikuojamam svarbiausiam lėšų poreikiui, susijusiam su Miesto nuotekų direktyvos pažeidimo taisymu.</w:t>
            </w:r>
            <w:r w:rsidR="006E16A7">
              <w:rPr>
                <w:color w:val="365F91" w:themeColor="accent1" w:themeShade="BF"/>
              </w:rPr>
              <w:t xml:space="preserve"> </w:t>
            </w:r>
            <w:r w:rsidR="00C9221A">
              <w:rPr>
                <w:color w:val="365F91" w:themeColor="accent1" w:themeShade="BF"/>
              </w:rPr>
              <w:t>Informaciją apie analizės</w:t>
            </w:r>
            <w:r w:rsidR="005F655C">
              <w:rPr>
                <w:color w:val="365F91" w:themeColor="accent1" w:themeShade="BF"/>
              </w:rPr>
              <w:t xml:space="preserve"> rezultatus</w:t>
            </w:r>
            <w:r w:rsidR="00C9221A">
              <w:rPr>
                <w:color w:val="365F91" w:themeColor="accent1" w:themeShade="BF"/>
              </w:rPr>
              <w:t xml:space="preserve"> ir papildomų lėšų skyrimo galimybes vandentvarkos projektams pateikti Finansų ministerijai iki 2020 m. </w:t>
            </w:r>
            <w:r w:rsidR="005F655C">
              <w:rPr>
                <w:color w:val="365F91" w:themeColor="accent1" w:themeShade="BF"/>
              </w:rPr>
              <w:t>lapkričio 15 d.</w:t>
            </w:r>
          </w:p>
        </w:tc>
      </w:tr>
    </w:tbl>
    <w:p w:rsidR="00D635D0" w:rsidRDefault="00D635D0" w:rsidP="00E82945">
      <w:pPr>
        <w:jc w:val="both"/>
        <w:rPr>
          <w:color w:val="595959" w:themeColor="text1" w:themeTint="A6"/>
          <w:szCs w:val="24"/>
          <w:lang w:eastAsia="lt-LT"/>
        </w:rPr>
      </w:pPr>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3D28D02A" wp14:editId="4DC89911">
            <wp:extent cx="6120130" cy="587381"/>
            <wp:effectExtent l="0" t="0" r="13970" b="22225"/>
            <wp:docPr id="21" name="Diagrama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92FA0" w:rsidRDefault="00C92FA0" w:rsidP="008510B0">
      <w:pPr>
        <w:pStyle w:val="tekstas"/>
        <w:ind w:firstLine="0"/>
        <w:rPr>
          <w:rFonts w:ascii="Times New Roman" w:hAnsi="Times New Roman"/>
          <w:color w:val="595959" w:themeColor="text1" w:themeTint="A6"/>
          <w:lang w:eastAsia="lt-LT"/>
        </w:rPr>
      </w:pPr>
    </w:p>
    <w:p w:rsidR="00803573" w:rsidRPr="00D635D0" w:rsidRDefault="00D635D0" w:rsidP="00803573">
      <w:pPr>
        <w:ind w:firstLine="426"/>
        <w:jc w:val="both"/>
        <w:rPr>
          <w:color w:val="595959" w:themeColor="text1" w:themeTint="A6"/>
          <w:szCs w:val="24"/>
          <w:lang w:eastAsia="lt-LT"/>
        </w:rPr>
      </w:pPr>
      <w:r>
        <w:rPr>
          <w:color w:val="595959" w:themeColor="text1" w:themeTint="A6"/>
          <w:szCs w:val="24"/>
          <w:lang w:eastAsia="lt-LT"/>
        </w:rPr>
        <w:t>Kultūros ministerijos 5 prioriteto administruojamų priemonių įgyvendinimo tempas atitinka Veiksmų programos vidurkį. Projektai v</w:t>
      </w:r>
      <w:r w:rsidR="00803573" w:rsidRPr="00D635D0">
        <w:rPr>
          <w:color w:val="595959" w:themeColor="text1" w:themeTint="A6"/>
          <w:szCs w:val="24"/>
          <w:lang w:eastAsia="lt-LT"/>
        </w:rPr>
        <w:t>isose priemonėse</w:t>
      </w:r>
      <w:r>
        <w:rPr>
          <w:color w:val="595959" w:themeColor="text1" w:themeTint="A6"/>
          <w:szCs w:val="24"/>
          <w:lang w:eastAsia="lt-LT"/>
        </w:rPr>
        <w:t xml:space="preserve"> yra</w:t>
      </w:r>
      <w:r w:rsidR="00803573" w:rsidRPr="00D635D0">
        <w:rPr>
          <w:color w:val="595959" w:themeColor="text1" w:themeTint="A6"/>
          <w:szCs w:val="24"/>
          <w:lang w:eastAsia="lt-LT"/>
        </w:rPr>
        <w:t xml:space="preserve"> įgyvendinami, tačiau baigtų projektų daugėja lėtai (daugiausia baigiami smulkūs regioninio planavimo </w:t>
      </w:r>
      <w:r>
        <w:rPr>
          <w:color w:val="595959" w:themeColor="text1" w:themeTint="A6"/>
          <w:szCs w:val="24"/>
          <w:lang w:eastAsia="lt-LT"/>
        </w:rPr>
        <w:t>projektai). Dėl šios priežasties</w:t>
      </w:r>
      <w:r w:rsidR="00803573" w:rsidRPr="00D635D0">
        <w:rPr>
          <w:color w:val="595959" w:themeColor="text1" w:themeTint="A6"/>
          <w:szCs w:val="24"/>
          <w:lang w:eastAsia="lt-LT"/>
        </w:rPr>
        <w:t xml:space="preserve"> </w:t>
      </w:r>
      <w:r>
        <w:rPr>
          <w:color w:val="595959" w:themeColor="text1" w:themeTint="A6"/>
          <w:szCs w:val="24"/>
          <w:lang w:eastAsia="lt-LT"/>
        </w:rPr>
        <w:t>investicijos</w:t>
      </w:r>
      <w:r w:rsidR="00803573" w:rsidRPr="00D635D0">
        <w:rPr>
          <w:color w:val="595959" w:themeColor="text1" w:themeTint="A6"/>
          <w:szCs w:val="24"/>
          <w:lang w:eastAsia="lt-LT"/>
        </w:rPr>
        <w:t xml:space="preserve"> atsilieka nuo ES lėšų </w:t>
      </w:r>
      <w:r>
        <w:rPr>
          <w:color w:val="595959" w:themeColor="text1" w:themeTint="A6"/>
          <w:szCs w:val="24"/>
          <w:lang w:eastAsia="lt-LT"/>
        </w:rPr>
        <w:t>išmokėjimo</w:t>
      </w:r>
      <w:r w:rsidR="00803573" w:rsidRPr="00D635D0">
        <w:rPr>
          <w:color w:val="595959" w:themeColor="text1" w:themeTint="A6"/>
          <w:szCs w:val="24"/>
          <w:lang w:eastAsia="lt-LT"/>
        </w:rPr>
        <w:t xml:space="preserve"> plano. Pagrindinės to priežastys: trukdžiai kylantys vykdant rangos darbų sutartis (dėl darbų pakeitimų stabdomi darbai, nepakankamai pagrindžiami darbų pakeitimai), vėluojantis techninių projektų parengimas, neįvykstantys ar vėluojantys įrangos pirkimai, lėšų išmokėjimo stabdymas dėl vykdomų pažeidimų tyrimų. CPVA siekdama paspartinti ES lėšų išmokėjimą atlieka p</w:t>
      </w:r>
      <w:r>
        <w:rPr>
          <w:color w:val="595959" w:themeColor="text1" w:themeTint="A6"/>
          <w:szCs w:val="24"/>
          <w:lang w:eastAsia="lt-LT"/>
        </w:rPr>
        <w:t>rojektų stebėseną, komunikuoja</w:t>
      </w:r>
      <w:r w:rsidR="00803573" w:rsidRPr="00D635D0">
        <w:rPr>
          <w:color w:val="595959" w:themeColor="text1" w:themeTint="A6"/>
          <w:szCs w:val="24"/>
          <w:lang w:eastAsia="lt-LT"/>
        </w:rPr>
        <w:t xml:space="preserve"> su projektų vykdytojais dėl spartesnio pirkimų paskelbimo, individualiai konsultuoja projekto vykdytojus sprendžiant ginčus su projektuotojais. </w:t>
      </w:r>
      <w:r>
        <w:rPr>
          <w:color w:val="595959" w:themeColor="text1" w:themeTint="A6"/>
          <w:szCs w:val="24"/>
          <w:lang w:eastAsia="lt-LT"/>
        </w:rPr>
        <w:t xml:space="preserve">Taip pat, </w:t>
      </w:r>
      <w:r w:rsidR="00803573" w:rsidRPr="00D635D0">
        <w:rPr>
          <w:color w:val="595959" w:themeColor="text1" w:themeTint="A6"/>
          <w:szCs w:val="24"/>
          <w:lang w:eastAsia="lt-LT"/>
        </w:rPr>
        <w:t xml:space="preserve">CPVA </w:t>
      </w:r>
      <w:r>
        <w:rPr>
          <w:color w:val="595959" w:themeColor="text1" w:themeTint="A6"/>
          <w:szCs w:val="24"/>
          <w:lang w:eastAsia="lt-LT"/>
        </w:rPr>
        <w:t>š.</w:t>
      </w:r>
      <w:r w:rsidR="00803573" w:rsidRPr="00D635D0">
        <w:rPr>
          <w:color w:val="595959" w:themeColor="text1" w:themeTint="A6"/>
          <w:szCs w:val="24"/>
          <w:lang w:eastAsia="lt-LT"/>
        </w:rPr>
        <w:t xml:space="preserve"> m. vasarą organizavo patirties mainų renginį dėl viešųjų pirkimų sutarčių įgyvendinimo šalyje paskelbus ekstremalią situaciją, organizavo projektų vykdytojams mokymus dėl rangos darbų sutarčių įgyvendinimo, atlieka išankstinius darbų pakeitimų vertinimus.</w:t>
      </w:r>
    </w:p>
    <w:p w:rsidR="00C92FA0" w:rsidRDefault="00C92FA0" w:rsidP="008510B0">
      <w:pPr>
        <w:pStyle w:val="tekstas"/>
        <w:ind w:firstLine="0"/>
        <w:rPr>
          <w:rFonts w:ascii="Times New Roman" w:hAnsi="Times New Roman"/>
          <w:color w:val="595959" w:themeColor="text1" w:themeTint="A6"/>
          <w:lang w:eastAsia="lt-LT"/>
        </w:rPr>
      </w:pPr>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5BD7C158" wp14:editId="5278A49E">
            <wp:extent cx="6120130" cy="596855"/>
            <wp:effectExtent l="0" t="0" r="13970" b="13335"/>
            <wp:docPr id="23" name="Diagrama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4483E" w:rsidRDefault="0014483E" w:rsidP="00D635D0">
      <w:pPr>
        <w:pStyle w:val="tekstas"/>
        <w:ind w:firstLine="0"/>
        <w:rPr>
          <w:rFonts w:ascii="Times New Roman" w:hAnsi="Times New Roman"/>
          <w:color w:val="595959" w:themeColor="text1" w:themeTint="A6"/>
          <w:lang w:eastAsia="lt-LT"/>
        </w:rPr>
      </w:pPr>
    </w:p>
    <w:p w:rsidR="00C92FA0" w:rsidRDefault="0014483E" w:rsidP="00D635D0">
      <w:pPr>
        <w:pStyle w:val="tekstas"/>
        <w:rPr>
          <w:rFonts w:ascii="Times New Roman" w:hAnsi="Times New Roman"/>
          <w:color w:val="595959" w:themeColor="text1" w:themeTint="A6"/>
          <w:lang w:eastAsia="lt-LT"/>
        </w:rPr>
      </w:pPr>
      <w:r w:rsidRPr="0014483E">
        <w:rPr>
          <w:rFonts w:ascii="Times New Roman" w:hAnsi="Times New Roman"/>
          <w:color w:val="595959" w:themeColor="text1" w:themeTint="A6"/>
          <w:lang w:eastAsia="lt-LT"/>
        </w:rPr>
        <w:t xml:space="preserve">Vidaus reikalų ministerija </w:t>
      </w:r>
      <w:r>
        <w:rPr>
          <w:rFonts w:ascii="Times New Roman" w:hAnsi="Times New Roman"/>
          <w:color w:val="595959" w:themeColor="text1" w:themeTint="A6"/>
          <w:lang w:eastAsia="lt-LT"/>
        </w:rPr>
        <w:t>į</w:t>
      </w:r>
      <w:r w:rsidRPr="0014483E">
        <w:rPr>
          <w:rFonts w:ascii="Times New Roman" w:hAnsi="Times New Roman"/>
          <w:color w:val="595959" w:themeColor="text1" w:themeTint="A6"/>
          <w:lang w:eastAsia="lt-LT"/>
        </w:rPr>
        <w:t xml:space="preserve">gyvendindama 5 prioriteto priemonę „Gyventojų perspėjimo apie pavojus ir gelbėjimo sistemų tobulinimas ir plėtra“ sudarė sutartis </w:t>
      </w:r>
      <w:r w:rsidR="00D635D0">
        <w:rPr>
          <w:rFonts w:ascii="Times New Roman" w:hAnsi="Times New Roman"/>
          <w:color w:val="595959" w:themeColor="text1" w:themeTint="A6"/>
          <w:lang w:eastAsia="lt-LT"/>
        </w:rPr>
        <w:t xml:space="preserve">už </w:t>
      </w:r>
      <w:r w:rsidRPr="0014483E">
        <w:rPr>
          <w:rFonts w:ascii="Times New Roman" w:hAnsi="Times New Roman"/>
          <w:color w:val="595959" w:themeColor="text1" w:themeTint="A6"/>
          <w:lang w:eastAsia="lt-LT"/>
        </w:rPr>
        <w:t>100 proc. ES lėšų, tačiau dėl nesibai</w:t>
      </w:r>
      <w:r>
        <w:rPr>
          <w:rFonts w:ascii="Times New Roman" w:hAnsi="Times New Roman"/>
          <w:color w:val="595959" w:themeColor="text1" w:themeTint="A6"/>
          <w:lang w:eastAsia="lt-LT"/>
        </w:rPr>
        <w:t>gusių viešųjų pirkimų procedūrų</w:t>
      </w:r>
      <w:r w:rsidRPr="0014483E">
        <w:rPr>
          <w:rFonts w:ascii="Times New Roman" w:hAnsi="Times New Roman"/>
          <w:color w:val="595959" w:themeColor="text1" w:themeTint="A6"/>
          <w:lang w:eastAsia="lt-LT"/>
        </w:rPr>
        <w:t xml:space="preserve"> invest</w:t>
      </w:r>
      <w:r>
        <w:rPr>
          <w:rFonts w:ascii="Times New Roman" w:hAnsi="Times New Roman"/>
          <w:color w:val="595959" w:themeColor="text1" w:themeTint="A6"/>
          <w:lang w:eastAsia="lt-LT"/>
        </w:rPr>
        <w:t>avo</w:t>
      </w:r>
      <w:r w:rsidRPr="0014483E">
        <w:rPr>
          <w:rFonts w:ascii="Times New Roman" w:hAnsi="Times New Roman"/>
          <w:color w:val="595959" w:themeColor="text1" w:themeTint="A6"/>
          <w:lang w:eastAsia="lt-LT"/>
        </w:rPr>
        <w:t xml:space="preserve"> </w:t>
      </w:r>
      <w:r>
        <w:rPr>
          <w:rFonts w:ascii="Times New Roman" w:hAnsi="Times New Roman"/>
          <w:color w:val="595959" w:themeColor="text1" w:themeTint="A6"/>
          <w:lang w:eastAsia="lt-LT"/>
        </w:rPr>
        <w:t>tik</w:t>
      </w:r>
      <w:r w:rsidRPr="0014483E">
        <w:rPr>
          <w:rFonts w:ascii="Times New Roman" w:hAnsi="Times New Roman"/>
          <w:color w:val="595959" w:themeColor="text1" w:themeTint="A6"/>
          <w:lang w:eastAsia="lt-LT"/>
        </w:rPr>
        <w:t xml:space="preserve"> 20 proc. ES lėšų</w:t>
      </w:r>
      <w:r>
        <w:rPr>
          <w:rFonts w:ascii="Times New Roman" w:hAnsi="Times New Roman"/>
          <w:color w:val="595959" w:themeColor="text1" w:themeTint="A6"/>
          <w:lang w:eastAsia="lt-LT"/>
        </w:rPr>
        <w:t xml:space="preserve">. </w:t>
      </w:r>
      <w:r w:rsidR="00973515">
        <w:rPr>
          <w:rFonts w:ascii="Times New Roman" w:hAnsi="Times New Roman"/>
          <w:color w:val="595959" w:themeColor="text1" w:themeTint="A6"/>
          <w:lang w:eastAsia="lt-LT"/>
        </w:rPr>
        <w:t xml:space="preserve">Atsižvelgiant į tai, kad šios priemonės lėšomis įsigyjamos prekės, o ne </w:t>
      </w:r>
      <w:r w:rsidR="00FD66CE">
        <w:rPr>
          <w:rFonts w:ascii="Times New Roman" w:hAnsi="Times New Roman"/>
          <w:color w:val="595959" w:themeColor="text1" w:themeTint="A6"/>
          <w:lang w:eastAsia="lt-LT"/>
        </w:rPr>
        <w:t>vykdomi</w:t>
      </w:r>
      <w:r w:rsidR="00973515">
        <w:rPr>
          <w:rFonts w:ascii="Times New Roman" w:hAnsi="Times New Roman"/>
          <w:color w:val="595959" w:themeColor="text1" w:themeTint="A6"/>
          <w:lang w:eastAsia="lt-LT"/>
        </w:rPr>
        <w:t xml:space="preserve"> darbai, </w:t>
      </w:r>
      <w:r>
        <w:rPr>
          <w:rFonts w:ascii="Times New Roman" w:hAnsi="Times New Roman"/>
          <w:color w:val="595959" w:themeColor="text1" w:themeTint="A6"/>
          <w:lang w:eastAsia="lt-LT"/>
        </w:rPr>
        <w:t xml:space="preserve">rizikos, kad iki 2023 m. pabaigos nebus </w:t>
      </w:r>
      <w:r w:rsidR="00FD66CE">
        <w:rPr>
          <w:rFonts w:ascii="Times New Roman" w:hAnsi="Times New Roman"/>
          <w:color w:val="595959" w:themeColor="text1" w:themeTint="A6"/>
          <w:lang w:eastAsia="lt-LT"/>
        </w:rPr>
        <w:t>investuotos</w:t>
      </w:r>
      <w:r>
        <w:rPr>
          <w:rFonts w:ascii="Times New Roman" w:hAnsi="Times New Roman"/>
          <w:color w:val="595959" w:themeColor="text1" w:themeTint="A6"/>
          <w:lang w:eastAsia="lt-LT"/>
        </w:rPr>
        <w:t xml:space="preserve"> ES lėšos, nėra.</w:t>
      </w:r>
    </w:p>
    <w:p w:rsidR="007475E3" w:rsidRPr="00474C41" w:rsidRDefault="007475E3" w:rsidP="00474C41">
      <w:pPr>
        <w:pStyle w:val="tekstas"/>
        <w:ind w:firstLine="0"/>
        <w:rPr>
          <w:rFonts w:ascii="Times New Roman" w:hAnsi="Times New Roman"/>
          <w:color w:val="595959" w:themeColor="text1" w:themeTint="A6"/>
          <w:lang w:eastAsia="lt-LT"/>
        </w:rPr>
      </w:pPr>
    </w:p>
    <w:p w:rsidR="000305AE" w:rsidRPr="00474C41" w:rsidRDefault="000305AE" w:rsidP="00BE71E9">
      <w:pPr>
        <w:pStyle w:val="antrat3zz"/>
        <w:spacing w:before="0" w:after="0"/>
        <w:rPr>
          <w:rFonts w:ascii="Times New Roman" w:eastAsia="Times New Roman" w:hAnsi="Times New Roman" w:cs="Times New Roman"/>
          <w:bCs w:val="0"/>
        </w:rPr>
      </w:pPr>
      <w:bookmarkStart w:id="22" w:name="_Toc54258636"/>
      <w:r w:rsidRPr="00474C41">
        <w:rPr>
          <w:rFonts w:ascii="Times New Roman" w:eastAsia="Times New Roman" w:hAnsi="Times New Roman" w:cs="Times New Roman"/>
          <w:bCs w:val="0"/>
        </w:rPr>
        <w:t>6 prioritetas. Darnaus transporto ir pagrindinių tinklų infrastruktūros plėtra</w:t>
      </w:r>
      <w:bookmarkEnd w:id="21"/>
      <w:bookmarkEnd w:id="22"/>
    </w:p>
    <w:p w:rsidR="008510B0" w:rsidRDefault="008510B0" w:rsidP="008510B0">
      <w:pPr>
        <w:pStyle w:val="tekstas"/>
        <w:ind w:firstLine="0"/>
        <w:rPr>
          <w:rFonts w:ascii="Times New Roman" w:hAnsi="Times New Roman"/>
          <w:color w:val="595959" w:themeColor="text1" w:themeTint="A6"/>
          <w:lang w:eastAsia="lt-LT"/>
        </w:rPr>
      </w:pPr>
      <w:bookmarkStart w:id="23" w:name="_Toc10104958"/>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40CD37C9" wp14:editId="1BE1FBCE">
            <wp:extent cx="6120130" cy="577907"/>
            <wp:effectExtent l="0" t="0" r="13970" b="12700"/>
            <wp:docPr id="24" name="Diagra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864A0" w:rsidRDefault="005864A0" w:rsidP="00FD66CE">
      <w:pPr>
        <w:pStyle w:val="tekstas"/>
        <w:ind w:firstLine="0"/>
        <w:rPr>
          <w:rFonts w:ascii="Times New Roman" w:hAnsi="Times New Roman"/>
          <w:color w:val="595959" w:themeColor="text1" w:themeTint="A6"/>
          <w:lang w:eastAsia="lt-LT"/>
        </w:rPr>
      </w:pPr>
    </w:p>
    <w:p w:rsidR="00C92FA0" w:rsidRDefault="005864A0" w:rsidP="00FD66CE">
      <w:pPr>
        <w:pStyle w:val="tekstas"/>
        <w:rPr>
          <w:rFonts w:ascii="Times New Roman" w:hAnsi="Times New Roman"/>
          <w:color w:val="595959" w:themeColor="text1" w:themeTint="A6"/>
          <w:lang w:eastAsia="lt-LT"/>
        </w:rPr>
      </w:pPr>
      <w:r w:rsidRPr="005864A0">
        <w:rPr>
          <w:rFonts w:ascii="Times New Roman" w:hAnsi="Times New Roman"/>
          <w:color w:val="595959" w:themeColor="text1" w:themeTint="A6"/>
          <w:lang w:eastAsia="lt-LT"/>
        </w:rPr>
        <w:t xml:space="preserve">Energetikos ministerijos </w:t>
      </w:r>
      <w:r w:rsidR="00FD66CE">
        <w:rPr>
          <w:rFonts w:ascii="Times New Roman" w:hAnsi="Times New Roman"/>
          <w:color w:val="595959" w:themeColor="text1" w:themeTint="A6"/>
          <w:lang w:eastAsia="lt-LT"/>
        </w:rPr>
        <w:t>6 prioriteto administruojamose priemonėse sudarytos visos planuotos sutartys, tačiau</w:t>
      </w:r>
      <w:r w:rsidRPr="005864A0">
        <w:rPr>
          <w:rFonts w:ascii="Times New Roman" w:hAnsi="Times New Roman"/>
          <w:color w:val="595959" w:themeColor="text1" w:themeTint="A6"/>
          <w:lang w:eastAsia="lt-LT"/>
        </w:rPr>
        <w:t xml:space="preserve"> investavimo tempas</w:t>
      </w:r>
      <w:r w:rsidR="00FD66CE">
        <w:rPr>
          <w:rFonts w:ascii="Times New Roman" w:hAnsi="Times New Roman"/>
          <w:color w:val="595959" w:themeColor="text1" w:themeTint="A6"/>
          <w:lang w:eastAsia="lt-LT"/>
        </w:rPr>
        <w:t xml:space="preserve"> (49 proc.)</w:t>
      </w:r>
      <w:r w:rsidRPr="005864A0">
        <w:rPr>
          <w:rFonts w:ascii="Times New Roman" w:hAnsi="Times New Roman"/>
          <w:color w:val="595959" w:themeColor="text1" w:themeTint="A6"/>
          <w:lang w:eastAsia="lt-LT"/>
        </w:rPr>
        <w:t xml:space="preserve"> </w:t>
      </w:r>
      <w:r w:rsidR="00FD66CE">
        <w:rPr>
          <w:rFonts w:ascii="Times New Roman" w:hAnsi="Times New Roman"/>
          <w:color w:val="595959" w:themeColor="text1" w:themeTint="A6"/>
          <w:lang w:eastAsia="lt-LT"/>
        </w:rPr>
        <w:t>yra nepakankamas</w:t>
      </w:r>
      <w:r w:rsidRPr="005864A0">
        <w:rPr>
          <w:rFonts w:ascii="Times New Roman" w:hAnsi="Times New Roman"/>
          <w:color w:val="595959" w:themeColor="text1" w:themeTint="A6"/>
          <w:lang w:eastAsia="lt-LT"/>
        </w:rPr>
        <w:t xml:space="preserve">. Tam įtakos turi didelių, ilgai trunkančių infrastruktūrinių elektros perdavimo ir dujų perdavimo, skirstymo sistemų modernizavimo ir plėtros projektų įgyvendinimo specifika, kuomet didžioji dalis lėšų deklaruojama projektams baigiantis. Taip pat ženklią įtaką projektų įgyvendinimui šiais metais turėjo </w:t>
      </w:r>
      <w:proofErr w:type="spellStart"/>
      <w:r w:rsidRPr="005864A0">
        <w:rPr>
          <w:rFonts w:ascii="Times New Roman" w:hAnsi="Times New Roman"/>
          <w:color w:val="595959" w:themeColor="text1" w:themeTint="A6"/>
          <w:lang w:eastAsia="lt-LT"/>
        </w:rPr>
        <w:t>Covid-19</w:t>
      </w:r>
      <w:proofErr w:type="spellEnd"/>
      <w:r w:rsidRPr="005864A0">
        <w:rPr>
          <w:rFonts w:ascii="Times New Roman" w:hAnsi="Times New Roman"/>
          <w:color w:val="595959" w:themeColor="text1" w:themeTint="A6"/>
          <w:lang w:eastAsia="lt-LT"/>
        </w:rPr>
        <w:t xml:space="preserve"> situacija. Šiuo metu LVPA gauna nemažai prašymų </w:t>
      </w:r>
      <w:r w:rsidR="00FD66CE">
        <w:rPr>
          <w:rFonts w:ascii="Times New Roman" w:hAnsi="Times New Roman"/>
          <w:color w:val="595959" w:themeColor="text1" w:themeTint="A6"/>
          <w:lang w:eastAsia="lt-LT"/>
        </w:rPr>
        <w:t>dėl rangos sutarčių pratęsimo</w:t>
      </w:r>
      <w:r w:rsidRPr="005864A0">
        <w:rPr>
          <w:rFonts w:ascii="Times New Roman" w:hAnsi="Times New Roman"/>
          <w:color w:val="595959" w:themeColor="text1" w:themeTint="A6"/>
          <w:lang w:eastAsia="lt-LT"/>
        </w:rPr>
        <w:t xml:space="preserve">, kadangi </w:t>
      </w:r>
      <w:r w:rsidR="00FD66CE">
        <w:rPr>
          <w:rFonts w:ascii="Times New Roman" w:hAnsi="Times New Roman"/>
          <w:color w:val="595959" w:themeColor="text1" w:themeTint="A6"/>
          <w:lang w:eastAsia="lt-LT"/>
        </w:rPr>
        <w:t xml:space="preserve">dėl </w:t>
      </w:r>
      <w:proofErr w:type="spellStart"/>
      <w:r w:rsidRPr="005864A0">
        <w:rPr>
          <w:rFonts w:ascii="Times New Roman" w:hAnsi="Times New Roman"/>
          <w:color w:val="595959" w:themeColor="text1" w:themeTint="A6"/>
          <w:lang w:eastAsia="lt-LT"/>
        </w:rPr>
        <w:t>Covid-19</w:t>
      </w:r>
      <w:proofErr w:type="spellEnd"/>
      <w:r w:rsidRPr="005864A0">
        <w:rPr>
          <w:rFonts w:ascii="Times New Roman" w:hAnsi="Times New Roman"/>
          <w:color w:val="595959" w:themeColor="text1" w:themeTint="A6"/>
          <w:lang w:eastAsia="lt-LT"/>
        </w:rPr>
        <w:t xml:space="preserve"> </w:t>
      </w:r>
      <w:r w:rsidR="00FD66CE">
        <w:rPr>
          <w:rFonts w:ascii="Times New Roman" w:hAnsi="Times New Roman"/>
          <w:color w:val="595959" w:themeColor="text1" w:themeTint="A6"/>
          <w:lang w:eastAsia="lt-LT"/>
        </w:rPr>
        <w:t>pandemijos sutriko įrangos pristatymas bei rangos darbų vykdymas</w:t>
      </w:r>
      <w:r w:rsidRPr="005864A0">
        <w:rPr>
          <w:rFonts w:ascii="Times New Roman" w:hAnsi="Times New Roman"/>
          <w:color w:val="595959" w:themeColor="text1" w:themeTint="A6"/>
          <w:lang w:eastAsia="lt-LT"/>
        </w:rPr>
        <w:t>. Dėl šios priežasties yra prašoma pratęsti ir projektų veiklų įgyvendinimo terminus. Pažymėtina, kad LVPA vykdo nuolatinę projektų veiklų stebėseną ir esant poreikiui individualiai su kiekvienu projekto vykdytoju analizuoja iškilusias problemas ir ieško sprendimo būdų. Todėl šiuo metu rizikos laiku (iki 2023 m. pabaigos) neišmokėti visų projektams skirtų ES lėšų</w:t>
      </w:r>
      <w:r w:rsidR="00FD66CE">
        <w:rPr>
          <w:rFonts w:ascii="Times New Roman" w:hAnsi="Times New Roman"/>
          <w:color w:val="595959" w:themeColor="text1" w:themeTint="A6"/>
          <w:lang w:eastAsia="lt-LT"/>
        </w:rPr>
        <w:t>,</w:t>
      </w:r>
      <w:r w:rsidRPr="005864A0">
        <w:rPr>
          <w:rFonts w:ascii="Times New Roman" w:hAnsi="Times New Roman"/>
          <w:color w:val="595959" w:themeColor="text1" w:themeTint="A6"/>
          <w:lang w:eastAsia="lt-LT"/>
        </w:rPr>
        <w:t xml:space="preserve"> nėra.</w:t>
      </w:r>
    </w:p>
    <w:p w:rsidR="00C92FA0" w:rsidRDefault="00C92FA0" w:rsidP="008510B0">
      <w:pPr>
        <w:pStyle w:val="tekstas"/>
        <w:ind w:firstLine="0"/>
        <w:rPr>
          <w:rFonts w:ascii="Times New Roman" w:hAnsi="Times New Roman"/>
          <w:color w:val="595959" w:themeColor="text1" w:themeTint="A6"/>
          <w:lang w:eastAsia="lt-LT"/>
        </w:rPr>
      </w:pPr>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4785C2E3" wp14:editId="71924904">
            <wp:extent cx="6120130" cy="786332"/>
            <wp:effectExtent l="0" t="0" r="13970" b="13970"/>
            <wp:docPr id="25" name="Diagrama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92FA0" w:rsidRPr="00FD66CE" w:rsidRDefault="00C92FA0" w:rsidP="008510B0">
      <w:pPr>
        <w:pStyle w:val="tekstas"/>
        <w:ind w:firstLine="0"/>
        <w:rPr>
          <w:rFonts w:ascii="Times New Roman" w:hAnsi="Times New Roman"/>
          <w:color w:val="595959" w:themeColor="text1" w:themeTint="A6"/>
          <w:lang w:eastAsia="lt-LT"/>
        </w:rPr>
      </w:pPr>
    </w:p>
    <w:p w:rsidR="00FD66CE" w:rsidRDefault="00FD66CE" w:rsidP="00870C57">
      <w:pPr>
        <w:pStyle w:val="tekstas"/>
        <w:rPr>
          <w:rFonts w:ascii="Times New Roman" w:hAnsi="Times New Roman"/>
          <w:color w:val="595959" w:themeColor="text1" w:themeTint="A6"/>
          <w:lang w:eastAsia="lt-LT"/>
        </w:rPr>
      </w:pPr>
      <w:r w:rsidRPr="00FD66CE">
        <w:rPr>
          <w:rFonts w:ascii="Times New Roman" w:hAnsi="Times New Roman"/>
          <w:color w:val="595959" w:themeColor="text1" w:themeTint="A6"/>
          <w:lang w:eastAsia="lt-LT"/>
        </w:rPr>
        <w:t>Susisiekimo ministerijos</w:t>
      </w:r>
      <w:r>
        <w:rPr>
          <w:rFonts w:ascii="Times New Roman" w:hAnsi="Times New Roman"/>
          <w:color w:val="595959" w:themeColor="text1" w:themeTint="A6"/>
          <w:lang w:eastAsia="lt-LT"/>
        </w:rPr>
        <w:t xml:space="preserve"> 6 prioriteto administruojamose priemonės beveik trečdalis </w:t>
      </w:r>
      <w:r w:rsidR="001D6C78">
        <w:rPr>
          <w:rFonts w:ascii="Times New Roman" w:hAnsi="Times New Roman"/>
          <w:color w:val="595959" w:themeColor="text1" w:themeTint="A6"/>
          <w:lang w:eastAsia="lt-LT"/>
        </w:rPr>
        <w:t>skirtų ES lėšų dar nėra paskirstytos</w:t>
      </w:r>
      <w:r>
        <w:rPr>
          <w:rFonts w:ascii="Times New Roman" w:hAnsi="Times New Roman"/>
          <w:color w:val="595959" w:themeColor="text1" w:themeTint="A6"/>
          <w:lang w:eastAsia="lt-LT"/>
        </w:rPr>
        <w:t xml:space="preserve"> projektams. </w:t>
      </w:r>
    </w:p>
    <w:p w:rsidR="001D6C78" w:rsidRDefault="001D6C78" w:rsidP="001D6C78">
      <w:pPr>
        <w:ind w:firstLine="426"/>
        <w:jc w:val="both"/>
        <w:rPr>
          <w:color w:val="595959" w:themeColor="text1" w:themeTint="A6"/>
          <w:szCs w:val="24"/>
          <w:lang w:eastAsia="lt-LT"/>
        </w:rPr>
      </w:pPr>
      <w:r w:rsidRPr="00FD66CE">
        <w:rPr>
          <w:color w:val="595959" w:themeColor="text1" w:themeTint="A6"/>
          <w:lang w:eastAsia="lt-LT"/>
        </w:rPr>
        <w:t xml:space="preserve">ERPF lėšomis administruojamų priemonių </w:t>
      </w:r>
      <w:r>
        <w:rPr>
          <w:color w:val="595959" w:themeColor="text1" w:themeTint="A6"/>
          <w:lang w:eastAsia="lt-LT"/>
        </w:rPr>
        <w:t>įgyvendinimui</w:t>
      </w:r>
      <w:r w:rsidRPr="00FD66CE">
        <w:rPr>
          <w:color w:val="595959" w:themeColor="text1" w:themeTint="A6"/>
          <w:lang w:eastAsia="lt-LT"/>
        </w:rPr>
        <w:t xml:space="preserve"> įtakos turėjo užsitęsę viešieji pirkimai vidaus vandens kelio modernizavi</w:t>
      </w:r>
      <w:r>
        <w:rPr>
          <w:color w:val="595959" w:themeColor="text1" w:themeTint="A6"/>
          <w:lang w:eastAsia="lt-LT"/>
        </w:rPr>
        <w:t>mo</w:t>
      </w:r>
      <w:r w:rsidRPr="00FD66CE">
        <w:rPr>
          <w:color w:val="595959" w:themeColor="text1" w:themeTint="A6"/>
          <w:lang w:eastAsia="lt-LT"/>
        </w:rPr>
        <w:t xml:space="preserve"> projektui įgyvendinti: tik </w:t>
      </w:r>
      <w:r>
        <w:rPr>
          <w:color w:val="595959" w:themeColor="text1" w:themeTint="A6"/>
          <w:szCs w:val="24"/>
          <w:lang w:eastAsia="lt-LT"/>
        </w:rPr>
        <w:t>š.</w:t>
      </w:r>
      <w:r w:rsidRPr="00FD66CE">
        <w:rPr>
          <w:color w:val="595959" w:themeColor="text1" w:themeTint="A6"/>
          <w:szCs w:val="24"/>
          <w:lang w:eastAsia="lt-LT"/>
        </w:rPr>
        <w:t xml:space="preserve"> m. rugsėjo 1 d. pasirašyta projektavimo paslaugų sutartis bei rugsėjo 25 d. rangos darbų sutartis. </w:t>
      </w:r>
      <w:r>
        <w:rPr>
          <w:color w:val="595959" w:themeColor="text1" w:themeTint="A6"/>
          <w:szCs w:val="24"/>
          <w:lang w:eastAsia="lt-LT"/>
        </w:rPr>
        <w:t>R</w:t>
      </w:r>
      <w:r w:rsidRPr="00FD66CE">
        <w:rPr>
          <w:color w:val="595959" w:themeColor="text1" w:themeTint="A6"/>
          <w:szCs w:val="24"/>
          <w:lang w:eastAsia="lt-LT"/>
        </w:rPr>
        <w:t>ugsėjo 3 d. įgyvendinančiajai institucijai vertinti</w:t>
      </w:r>
      <w:r w:rsidRPr="001D6C78">
        <w:rPr>
          <w:color w:val="595959" w:themeColor="text1" w:themeTint="A6"/>
          <w:szCs w:val="24"/>
          <w:lang w:eastAsia="lt-LT"/>
        </w:rPr>
        <w:t xml:space="preserve"> </w:t>
      </w:r>
      <w:r w:rsidRPr="00FD66CE">
        <w:rPr>
          <w:color w:val="595959" w:themeColor="text1" w:themeTint="A6"/>
          <w:szCs w:val="24"/>
          <w:lang w:eastAsia="lt-LT"/>
        </w:rPr>
        <w:t>pateikta projekto paraiška</w:t>
      </w:r>
      <w:r>
        <w:rPr>
          <w:color w:val="595959" w:themeColor="text1" w:themeTint="A6"/>
          <w:szCs w:val="24"/>
          <w:lang w:eastAsia="lt-LT"/>
        </w:rPr>
        <w:t>.</w:t>
      </w:r>
    </w:p>
    <w:p w:rsidR="001D6C78" w:rsidRPr="00FD66CE" w:rsidRDefault="001D6C78" w:rsidP="001D6C78">
      <w:pPr>
        <w:ind w:firstLine="426"/>
        <w:jc w:val="both"/>
        <w:rPr>
          <w:color w:val="595959" w:themeColor="text1" w:themeTint="A6"/>
          <w:szCs w:val="24"/>
          <w:lang w:eastAsia="lt-LT"/>
        </w:rPr>
      </w:pPr>
      <w:r w:rsidRPr="00FD66CE">
        <w:rPr>
          <w:color w:val="595959" w:themeColor="text1" w:themeTint="A6"/>
          <w:szCs w:val="24"/>
          <w:lang w:eastAsia="lt-LT"/>
        </w:rPr>
        <w:t xml:space="preserve">Susisiekimo ministerija </w:t>
      </w:r>
      <w:r>
        <w:rPr>
          <w:color w:val="595959" w:themeColor="text1" w:themeTint="A6"/>
          <w:szCs w:val="24"/>
          <w:lang w:eastAsia="lt-LT"/>
        </w:rPr>
        <w:t>ketina</w:t>
      </w:r>
      <w:r w:rsidRPr="00FD66CE">
        <w:rPr>
          <w:color w:val="595959" w:themeColor="text1" w:themeTint="A6"/>
          <w:szCs w:val="24"/>
          <w:lang w:eastAsia="lt-LT"/>
        </w:rPr>
        <w:t xml:space="preserve"> iki 2020 m. pa</w:t>
      </w:r>
      <w:r>
        <w:rPr>
          <w:color w:val="595959" w:themeColor="text1" w:themeTint="A6"/>
          <w:szCs w:val="24"/>
          <w:lang w:eastAsia="lt-LT"/>
        </w:rPr>
        <w:t>baigos sudaryti visas planuotas sutartis,</w:t>
      </w:r>
      <w:r w:rsidRPr="00FD66CE">
        <w:rPr>
          <w:color w:val="595959" w:themeColor="text1" w:themeTint="A6"/>
          <w:szCs w:val="24"/>
          <w:lang w:eastAsia="lt-LT"/>
        </w:rPr>
        <w:t xml:space="preserve"> </w:t>
      </w:r>
      <w:r>
        <w:rPr>
          <w:color w:val="595959" w:themeColor="text1" w:themeTint="A6"/>
          <w:szCs w:val="24"/>
          <w:lang w:eastAsia="lt-LT"/>
        </w:rPr>
        <w:t>š</w:t>
      </w:r>
      <w:r w:rsidRPr="00FD66CE">
        <w:rPr>
          <w:color w:val="595959" w:themeColor="text1" w:themeTint="A6"/>
          <w:szCs w:val="24"/>
          <w:lang w:eastAsia="lt-LT"/>
        </w:rPr>
        <w:t xml:space="preserve">iuo metu </w:t>
      </w:r>
      <w:r>
        <w:rPr>
          <w:color w:val="595959" w:themeColor="text1" w:themeTint="A6"/>
          <w:szCs w:val="24"/>
          <w:lang w:eastAsia="lt-LT"/>
        </w:rPr>
        <w:t>CPVA</w:t>
      </w:r>
      <w:r w:rsidRPr="00FD66CE">
        <w:rPr>
          <w:color w:val="595959" w:themeColor="text1" w:themeTint="A6"/>
          <w:szCs w:val="24"/>
          <w:lang w:eastAsia="lt-LT"/>
        </w:rPr>
        <w:t xml:space="preserve"> vertina paraiškų už 60,9 mln. eurų</w:t>
      </w:r>
      <w:r w:rsidRPr="00FD66CE">
        <w:rPr>
          <w:rStyle w:val="Puslapioinaosnuoroda"/>
          <w:color w:val="595959" w:themeColor="text1" w:themeTint="A6"/>
          <w:szCs w:val="24"/>
          <w:lang w:eastAsia="lt-LT"/>
        </w:rPr>
        <w:footnoteReference w:id="4"/>
      </w:r>
      <w:r>
        <w:rPr>
          <w:color w:val="595959" w:themeColor="text1" w:themeTint="A6"/>
          <w:szCs w:val="24"/>
          <w:lang w:eastAsia="lt-LT"/>
        </w:rPr>
        <w:t>.</w:t>
      </w:r>
    </w:p>
    <w:p w:rsidR="00870C57" w:rsidRPr="00FD66CE" w:rsidRDefault="00870C57" w:rsidP="00870C57">
      <w:pPr>
        <w:pStyle w:val="tekstas"/>
        <w:rPr>
          <w:rFonts w:ascii="Times New Roman" w:hAnsi="Times New Roman"/>
          <w:color w:val="595959" w:themeColor="text1" w:themeTint="A6"/>
          <w:lang w:eastAsia="lt-LT"/>
        </w:rPr>
      </w:pPr>
      <w:proofErr w:type="spellStart"/>
      <w:r w:rsidRPr="00FD66CE">
        <w:rPr>
          <w:rFonts w:ascii="Times New Roman" w:hAnsi="Times New Roman"/>
          <w:color w:val="595959" w:themeColor="text1" w:themeTint="A6"/>
          <w:lang w:eastAsia="lt-LT"/>
        </w:rPr>
        <w:t>SaF</w:t>
      </w:r>
      <w:proofErr w:type="spellEnd"/>
      <w:r w:rsidRPr="00FD66CE">
        <w:rPr>
          <w:rFonts w:ascii="Times New Roman" w:hAnsi="Times New Roman"/>
          <w:color w:val="595959" w:themeColor="text1" w:themeTint="A6"/>
          <w:lang w:eastAsia="lt-LT"/>
        </w:rPr>
        <w:t xml:space="preserve"> lėšomis finansuojamų priemonių sutarčių sudarymas vėluoja dėl didelės apimties geležinkelio ruožo nuo Kaišiadorių iki Klaipėdos elektrifikavimo projekto, kuriam numatytos 162</w:t>
      </w:r>
      <w:r w:rsidR="001D6C78">
        <w:rPr>
          <w:rFonts w:ascii="Times New Roman" w:hAnsi="Times New Roman"/>
          <w:color w:val="595959" w:themeColor="text1" w:themeTint="A6"/>
          <w:lang w:eastAsia="lt-LT"/>
        </w:rPr>
        <w:t> mln. eurų ES investicijos.</w:t>
      </w:r>
      <w:r w:rsidR="006E16A7" w:rsidRPr="006C3E10">
        <w:rPr>
          <w:rFonts w:ascii="Times New Roman" w:hAnsi="Times New Roman"/>
          <w:color w:val="595959" w:themeColor="text1" w:themeTint="A6"/>
          <w:lang w:eastAsia="lt-LT"/>
        </w:rPr>
        <w:t xml:space="preserve"> </w:t>
      </w:r>
      <w:r w:rsidR="006C3E10" w:rsidRPr="006C3E10">
        <w:rPr>
          <w:rFonts w:ascii="Times New Roman" w:hAnsi="Times New Roman"/>
          <w:color w:val="595959" w:themeColor="text1" w:themeTint="A6"/>
          <w:lang w:eastAsia="lt-LT"/>
        </w:rPr>
        <w:t xml:space="preserve">Pažymėtina, kad </w:t>
      </w:r>
      <w:r w:rsidR="006C3E10">
        <w:rPr>
          <w:rFonts w:ascii="Times New Roman" w:hAnsi="Times New Roman"/>
          <w:color w:val="595959" w:themeColor="text1" w:themeTint="A6"/>
          <w:lang w:eastAsia="lt-LT"/>
        </w:rPr>
        <w:t>p</w:t>
      </w:r>
      <w:r w:rsidR="006E16A7">
        <w:rPr>
          <w:rFonts w:ascii="Times New Roman" w:hAnsi="Times New Roman"/>
          <w:color w:val="595959" w:themeColor="text1" w:themeTint="A6"/>
          <w:lang w:eastAsia="lt-LT"/>
        </w:rPr>
        <w:t xml:space="preserve">rojekto veiklos </w:t>
      </w:r>
      <w:r w:rsidR="006C3E10">
        <w:rPr>
          <w:rFonts w:ascii="Times New Roman" w:hAnsi="Times New Roman"/>
          <w:color w:val="595959" w:themeColor="text1" w:themeTint="A6"/>
          <w:lang w:eastAsia="lt-LT"/>
        </w:rPr>
        <w:t xml:space="preserve">yra </w:t>
      </w:r>
      <w:r w:rsidR="006E16A7">
        <w:rPr>
          <w:rFonts w:ascii="Times New Roman" w:hAnsi="Times New Roman"/>
          <w:color w:val="595959" w:themeColor="text1" w:themeTint="A6"/>
          <w:lang w:eastAsia="lt-LT"/>
        </w:rPr>
        <w:t>įgyvendinamos nuo 2019 m.,</w:t>
      </w:r>
      <w:r w:rsidR="006E16A7" w:rsidRPr="006E16A7">
        <w:rPr>
          <w:rFonts w:ascii="Times New Roman" w:hAnsi="Times New Roman"/>
          <w:color w:val="595959" w:themeColor="text1" w:themeTint="A6"/>
          <w:lang w:eastAsia="lt-LT"/>
        </w:rPr>
        <w:t xml:space="preserve"> todėl dabar vykstantys procesai dėl projekto finansavimo </w:t>
      </w:r>
      <w:r w:rsidR="006C3E10">
        <w:rPr>
          <w:rFonts w:ascii="Times New Roman" w:hAnsi="Times New Roman"/>
          <w:color w:val="595959" w:themeColor="text1" w:themeTint="A6"/>
          <w:lang w:eastAsia="lt-LT"/>
        </w:rPr>
        <w:t xml:space="preserve">papildomai </w:t>
      </w:r>
      <w:r w:rsidR="006E16A7" w:rsidRPr="006E16A7">
        <w:rPr>
          <w:rFonts w:ascii="Times New Roman" w:hAnsi="Times New Roman"/>
          <w:color w:val="595959" w:themeColor="text1" w:themeTint="A6"/>
          <w:lang w:eastAsia="lt-LT"/>
        </w:rPr>
        <w:t>nedidina rizikos neužbaigti veiklų iki 2023 m.</w:t>
      </w:r>
    </w:p>
    <w:p w:rsidR="00870C57" w:rsidRPr="00FD66CE" w:rsidRDefault="00870C57" w:rsidP="00870C57">
      <w:pPr>
        <w:pStyle w:val="tekstas"/>
        <w:rPr>
          <w:rFonts w:ascii="Times New Roman" w:hAnsi="Times New Roman"/>
          <w:color w:val="595959" w:themeColor="text1" w:themeTint="A6"/>
          <w:lang w:eastAsia="lt-LT"/>
        </w:rPr>
      </w:pPr>
      <w:r w:rsidRPr="00FD66CE">
        <w:rPr>
          <w:rFonts w:ascii="Times New Roman" w:hAnsi="Times New Roman"/>
          <w:color w:val="595959" w:themeColor="text1" w:themeTint="A6"/>
          <w:lang w:eastAsia="lt-LT"/>
        </w:rPr>
        <w:t xml:space="preserve">Didžiausią įtaką vėlavimui turi didelės apimties projekto aplinkosauginiai aspektai: kadangi vis dar nėra nustatyti su projekto teritorija besiribojančios </w:t>
      </w:r>
      <w:proofErr w:type="spellStart"/>
      <w:r w:rsidRPr="00FD66CE">
        <w:rPr>
          <w:rFonts w:ascii="Times New Roman" w:hAnsi="Times New Roman"/>
          <w:color w:val="595959" w:themeColor="text1" w:themeTint="A6"/>
          <w:lang w:eastAsia="lt-LT"/>
        </w:rPr>
        <w:t>Natura</w:t>
      </w:r>
      <w:proofErr w:type="spellEnd"/>
      <w:r w:rsidRPr="00FD66CE">
        <w:rPr>
          <w:rFonts w:ascii="Times New Roman" w:hAnsi="Times New Roman"/>
          <w:color w:val="595959" w:themeColor="text1" w:themeTint="A6"/>
          <w:lang w:eastAsia="lt-LT"/>
        </w:rPr>
        <w:t xml:space="preserve"> 2000 saugomos teritorijos – Būdos–Pravieniškių miškų vietovės – apsaugos tikslai, projekto dokumentacijos rengimą prižiūrintys JASPERS ekspertai negali pateikti savo galutinės išvados </w:t>
      </w:r>
      <w:proofErr w:type="gramStart"/>
      <w:r w:rsidRPr="00FD66CE">
        <w:rPr>
          <w:rFonts w:ascii="Times New Roman" w:hAnsi="Times New Roman"/>
          <w:color w:val="595959" w:themeColor="text1" w:themeTint="A6"/>
          <w:lang w:eastAsia="lt-LT"/>
        </w:rPr>
        <w:t>(</w:t>
      </w:r>
      <w:proofErr w:type="gramEnd"/>
      <w:r w:rsidRPr="00FD66CE">
        <w:rPr>
          <w:rFonts w:ascii="Times New Roman" w:hAnsi="Times New Roman"/>
          <w:color w:val="595959" w:themeColor="text1" w:themeTint="A6"/>
          <w:lang w:eastAsia="lt-LT"/>
        </w:rPr>
        <w:t xml:space="preserve">angl. </w:t>
      </w:r>
      <w:proofErr w:type="spellStart"/>
      <w:r w:rsidRPr="00FD66CE">
        <w:rPr>
          <w:rFonts w:ascii="Times New Roman" w:hAnsi="Times New Roman"/>
          <w:color w:val="595959" w:themeColor="text1" w:themeTint="A6"/>
          <w:lang w:eastAsia="lt-LT"/>
        </w:rPr>
        <w:t>Action</w:t>
      </w:r>
      <w:proofErr w:type="spellEnd"/>
      <w:r w:rsidRPr="00FD66CE">
        <w:rPr>
          <w:rFonts w:ascii="Times New Roman" w:hAnsi="Times New Roman"/>
          <w:color w:val="595959" w:themeColor="text1" w:themeTint="A6"/>
          <w:lang w:eastAsia="lt-LT"/>
        </w:rPr>
        <w:t xml:space="preserve"> </w:t>
      </w:r>
      <w:proofErr w:type="spellStart"/>
      <w:r w:rsidRPr="00FD66CE">
        <w:rPr>
          <w:rFonts w:ascii="Times New Roman" w:hAnsi="Times New Roman"/>
          <w:color w:val="595959" w:themeColor="text1" w:themeTint="A6"/>
          <w:lang w:eastAsia="lt-LT"/>
        </w:rPr>
        <w:t>Completion</w:t>
      </w:r>
      <w:proofErr w:type="spellEnd"/>
      <w:r w:rsidRPr="00FD66CE">
        <w:rPr>
          <w:rFonts w:ascii="Times New Roman" w:hAnsi="Times New Roman"/>
          <w:color w:val="595959" w:themeColor="text1" w:themeTint="A6"/>
          <w:lang w:eastAsia="lt-LT"/>
        </w:rPr>
        <w:t xml:space="preserve"> Note), o įgyvendinančioji institucija negali teigiamai įvertinti projekto paraiškos (paraiška pateikta 2020 m. liepos 1 d.). Tik užbaigus paraiškos vertinimą projekto dokumentai gali būti teikiami nepriklausomam didelės apimties projekto kokybės vertinimui ir tik gavus teigiamą nepriklausomo vertinimo išvadą gali būti priimamas sprendimas dėl projekto finansavimo.</w:t>
      </w:r>
      <w:r w:rsidR="0079537E" w:rsidRPr="00FD66CE">
        <w:rPr>
          <w:rFonts w:ascii="Times New Roman" w:hAnsi="Times New Roman"/>
          <w:color w:val="595959" w:themeColor="text1" w:themeTint="A6"/>
          <w:lang w:eastAsia="lt-LT"/>
        </w:rPr>
        <w:t xml:space="preserve"> </w:t>
      </w:r>
      <w:r w:rsidRPr="00FD66CE">
        <w:rPr>
          <w:rFonts w:ascii="Times New Roman" w:hAnsi="Times New Roman"/>
          <w:color w:val="595959" w:themeColor="text1" w:themeTint="A6"/>
          <w:lang w:eastAsia="lt-LT"/>
        </w:rPr>
        <w:t xml:space="preserve">Dėl išvardintų aplinkos apsaugos tikslų ankstesnėje ataskaitoje Aplinkos ministerijai teikta rekomendacija neįgyvendinta, t. y. nenustatyti </w:t>
      </w:r>
      <w:proofErr w:type="spellStart"/>
      <w:r w:rsidRPr="00FD66CE">
        <w:rPr>
          <w:rFonts w:ascii="Times New Roman" w:hAnsi="Times New Roman"/>
          <w:color w:val="595959" w:themeColor="text1" w:themeTint="A6"/>
          <w:lang w:eastAsia="lt-LT"/>
        </w:rPr>
        <w:t>Natura</w:t>
      </w:r>
      <w:proofErr w:type="spellEnd"/>
      <w:r w:rsidRPr="00FD66CE">
        <w:rPr>
          <w:rFonts w:ascii="Times New Roman" w:hAnsi="Times New Roman"/>
          <w:color w:val="595959" w:themeColor="text1" w:themeTint="A6"/>
          <w:lang w:eastAsia="lt-LT"/>
        </w:rPr>
        <w:t xml:space="preserve"> 2000 teritorijos apsaugos tikslai didelės apimties planuojamo įgyvendinti projekto teritorijose.</w:t>
      </w:r>
    </w:p>
    <w:p w:rsidR="00870C57" w:rsidRPr="00FD66CE" w:rsidRDefault="00870C57" w:rsidP="00870C57">
      <w:pPr>
        <w:pStyle w:val="tekstas"/>
        <w:rPr>
          <w:rFonts w:ascii="Times New Roman" w:hAnsi="Times New Roman"/>
          <w:color w:val="595959" w:themeColor="text1" w:themeTint="A6"/>
          <w:lang w:eastAsia="lt-LT"/>
        </w:rPr>
      </w:pPr>
      <w:r w:rsidRPr="00FD66CE">
        <w:rPr>
          <w:rFonts w:ascii="Times New Roman" w:hAnsi="Times New Roman"/>
          <w:color w:val="595959" w:themeColor="text1" w:themeTint="A6"/>
          <w:lang w:eastAsia="lt-LT"/>
        </w:rPr>
        <w:t>Sprendžiant suplanuotų investicijų problemas, Susiekimo ministerija aktyviai bendradarbiauja su CPVA ir projekto vykdytoju – AB ,,</w:t>
      </w:r>
      <w:r w:rsidR="00ED0CFD">
        <w:rPr>
          <w:rFonts w:ascii="Times New Roman" w:hAnsi="Times New Roman"/>
          <w:color w:val="595959" w:themeColor="text1" w:themeTint="A6"/>
          <w:lang w:eastAsia="lt-LT"/>
        </w:rPr>
        <w:t xml:space="preserve">LTG </w:t>
      </w:r>
      <w:proofErr w:type="spellStart"/>
      <w:r w:rsidR="00ED0CFD">
        <w:rPr>
          <w:rFonts w:ascii="Times New Roman" w:hAnsi="Times New Roman"/>
          <w:color w:val="595959" w:themeColor="text1" w:themeTint="A6"/>
          <w:lang w:eastAsia="lt-LT"/>
        </w:rPr>
        <w:t>Infra</w:t>
      </w:r>
      <w:proofErr w:type="spellEnd"/>
      <w:r w:rsidRPr="00FD66CE">
        <w:rPr>
          <w:rFonts w:ascii="Times New Roman" w:hAnsi="Times New Roman"/>
          <w:color w:val="595959" w:themeColor="text1" w:themeTint="A6"/>
          <w:lang w:eastAsia="lt-LT"/>
        </w:rPr>
        <w:t xml:space="preserve">“, tačiau projekto vėlavimo rizika </w:t>
      </w:r>
      <w:r w:rsidR="00282BF9" w:rsidRPr="00FD66CE">
        <w:rPr>
          <w:rFonts w:ascii="Times New Roman" w:hAnsi="Times New Roman"/>
          <w:color w:val="595959" w:themeColor="text1" w:themeTint="A6"/>
          <w:lang w:eastAsia="lt-LT"/>
        </w:rPr>
        <w:t>i</w:t>
      </w:r>
      <w:proofErr w:type="spellStart"/>
      <w:r w:rsidR="00282BF9" w:rsidRPr="00FD66CE">
        <w:rPr>
          <w:rFonts w:ascii="Times New Roman" w:hAnsi="Times New Roman"/>
          <w:color w:val="595959" w:themeColor="text1" w:themeTint="A6"/>
          <w:lang w:val="en-GB" w:eastAsia="lt-LT"/>
        </w:rPr>
        <w:t>šlieka</w:t>
      </w:r>
      <w:proofErr w:type="spellEnd"/>
      <w:r w:rsidR="001D6C78">
        <w:rPr>
          <w:rFonts w:ascii="Times New Roman" w:hAnsi="Times New Roman"/>
          <w:color w:val="595959" w:themeColor="text1" w:themeTint="A6"/>
          <w:lang w:eastAsia="lt-LT"/>
        </w:rPr>
        <w:t>.</w:t>
      </w:r>
    </w:p>
    <w:p w:rsidR="00C92FA0" w:rsidRPr="00FD66CE" w:rsidRDefault="00C92FA0" w:rsidP="008510B0">
      <w:pPr>
        <w:pStyle w:val="tekstas"/>
        <w:ind w:firstLine="0"/>
        <w:rPr>
          <w:rFonts w:ascii="Times New Roman" w:hAnsi="Times New Roman"/>
          <w:color w:val="595959" w:themeColor="text1" w:themeTint="A6"/>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7475E3" w:rsidRPr="0040787A" w:rsidTr="002920BE">
        <w:tc>
          <w:tcPr>
            <w:tcW w:w="9638" w:type="dxa"/>
            <w:tcBorders>
              <w:top w:val="nil"/>
              <w:left w:val="nil"/>
              <w:bottom w:val="nil"/>
              <w:right w:val="nil"/>
            </w:tcBorders>
            <w:shd w:val="clear" w:color="auto" w:fill="D9D9D9" w:themeFill="background1" w:themeFillShade="D9"/>
          </w:tcPr>
          <w:p w:rsidR="00870C57" w:rsidRPr="00870C57" w:rsidRDefault="00FD66CE" w:rsidP="00870C57">
            <w:pPr>
              <w:jc w:val="both"/>
              <w:rPr>
                <w:b/>
                <w:color w:val="365F91" w:themeColor="accent1" w:themeShade="BF"/>
              </w:rPr>
            </w:pPr>
            <w:r>
              <w:rPr>
                <w:b/>
                <w:color w:val="365F91" w:themeColor="accent1" w:themeShade="BF"/>
              </w:rPr>
              <w:t>Siūlymas</w:t>
            </w:r>
            <w:r w:rsidR="00870C57" w:rsidRPr="00870C57">
              <w:rPr>
                <w:b/>
                <w:color w:val="365F91" w:themeColor="accent1" w:themeShade="BF"/>
              </w:rPr>
              <w:t xml:space="preserve"> Susisiekimo ministerijai:</w:t>
            </w:r>
          </w:p>
          <w:p w:rsidR="007475E3" w:rsidRPr="00835C89" w:rsidRDefault="001D6C78" w:rsidP="001D6C78">
            <w:pPr>
              <w:jc w:val="both"/>
              <w:rPr>
                <w:color w:val="365F91" w:themeColor="accent1" w:themeShade="BF"/>
              </w:rPr>
            </w:pPr>
            <w:r>
              <w:rPr>
                <w:color w:val="365F91" w:themeColor="accent1" w:themeShade="BF"/>
              </w:rPr>
              <w:t xml:space="preserve">- iki 2020 m. </w:t>
            </w:r>
            <w:r w:rsidR="00870C57" w:rsidRPr="00870C57">
              <w:rPr>
                <w:color w:val="365F91" w:themeColor="accent1" w:themeShade="BF"/>
              </w:rPr>
              <w:t>pabaigos bendradarbiaujant su Centrine projektų valdymo agentūra įvertinti riziką</w:t>
            </w:r>
            <w:r w:rsidRPr="00870C57">
              <w:rPr>
                <w:color w:val="365F91" w:themeColor="accent1" w:themeShade="BF"/>
              </w:rPr>
              <w:t xml:space="preserve"> iki 2023 m. pabaigos </w:t>
            </w:r>
            <w:r w:rsidR="00870C57" w:rsidRPr="00870C57">
              <w:rPr>
                <w:color w:val="365F91" w:themeColor="accent1" w:themeShade="BF"/>
              </w:rPr>
              <w:t>neįgyvendinti transporto infrastruktūros projektų ir pateikti</w:t>
            </w:r>
            <w:r w:rsidR="00AA6213">
              <w:rPr>
                <w:color w:val="365F91" w:themeColor="accent1" w:themeShade="BF"/>
              </w:rPr>
              <w:t xml:space="preserve"> Finansų ministerijai</w:t>
            </w:r>
            <w:r w:rsidR="00870C57" w:rsidRPr="00870C57">
              <w:rPr>
                <w:color w:val="365F91" w:themeColor="accent1" w:themeShade="BF"/>
              </w:rPr>
              <w:t xml:space="preserve"> pagrįstus siūlymus dėl galimų jų finansavimo alternatyvų. </w:t>
            </w:r>
          </w:p>
        </w:tc>
      </w:tr>
    </w:tbl>
    <w:p w:rsidR="00827E93" w:rsidRDefault="00827E93" w:rsidP="00B3224A">
      <w:pPr>
        <w:jc w:val="both"/>
        <w:rPr>
          <w:color w:val="595959" w:themeColor="text1" w:themeTint="A6"/>
          <w:szCs w:val="24"/>
          <w:lang w:eastAsia="lt-LT"/>
        </w:rPr>
      </w:pPr>
    </w:p>
    <w:p w:rsidR="000305AE" w:rsidRPr="00935DA5" w:rsidRDefault="000305AE" w:rsidP="00240928">
      <w:pPr>
        <w:pStyle w:val="antrat3zz"/>
        <w:spacing w:before="0" w:after="0"/>
        <w:rPr>
          <w:rFonts w:ascii="Times New Roman" w:eastAsia="Times New Roman" w:hAnsi="Times New Roman" w:cs="Times New Roman"/>
          <w:bCs w:val="0"/>
        </w:rPr>
      </w:pPr>
      <w:bookmarkStart w:id="24" w:name="_Toc54258637"/>
      <w:r w:rsidRPr="00935DA5">
        <w:rPr>
          <w:rFonts w:ascii="Times New Roman" w:eastAsia="Times New Roman" w:hAnsi="Times New Roman" w:cs="Times New Roman"/>
          <w:bCs w:val="0"/>
        </w:rPr>
        <w:t>7 prioritetas. Kokybiško užimtumo ir dalyvavimo darbo rinkoje skatinimas</w:t>
      </w:r>
      <w:bookmarkEnd w:id="23"/>
      <w:bookmarkEnd w:id="24"/>
    </w:p>
    <w:p w:rsidR="00A818E4" w:rsidRDefault="00A818E4" w:rsidP="004610C5">
      <w:pPr>
        <w:jc w:val="both"/>
        <w:rPr>
          <w:color w:val="595959" w:themeColor="text1" w:themeTint="A6"/>
          <w:szCs w:val="24"/>
          <w:lang w:eastAsia="lt-LT"/>
        </w:rPr>
      </w:pPr>
      <w:bookmarkStart w:id="25" w:name="_Toc512504084"/>
      <w:bookmarkStart w:id="26" w:name="_Toc10104959"/>
    </w:p>
    <w:p w:rsidR="00C92FA0" w:rsidRDefault="00C92FA0" w:rsidP="004610C5">
      <w:pPr>
        <w:jc w:val="both"/>
        <w:rPr>
          <w:color w:val="595959" w:themeColor="text1" w:themeTint="A6"/>
          <w:szCs w:val="24"/>
          <w:lang w:eastAsia="lt-LT"/>
        </w:rPr>
      </w:pPr>
      <w:r>
        <w:rPr>
          <w:noProof/>
          <w:lang w:eastAsia="lt-LT"/>
        </w:rPr>
        <w:drawing>
          <wp:inline distT="0" distB="0" distL="0" distR="0" wp14:anchorId="4ED0F062" wp14:editId="40A2AF67">
            <wp:extent cx="6120130" cy="540011"/>
            <wp:effectExtent l="0" t="0" r="13970" b="12700"/>
            <wp:docPr id="26" name="Diagrama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03573" w:rsidRPr="000D6CD6" w:rsidRDefault="00803573" w:rsidP="00803573">
      <w:pPr>
        <w:jc w:val="both"/>
        <w:rPr>
          <w:color w:val="595959" w:themeColor="text1" w:themeTint="A6"/>
          <w:szCs w:val="24"/>
          <w:lang w:eastAsia="lt-LT"/>
        </w:rPr>
      </w:pPr>
    </w:p>
    <w:p w:rsidR="00803573" w:rsidRPr="000D6CD6" w:rsidRDefault="000D6CD6" w:rsidP="002B6443">
      <w:pPr>
        <w:ind w:firstLine="426"/>
        <w:jc w:val="both"/>
        <w:rPr>
          <w:color w:val="595959" w:themeColor="text1" w:themeTint="A6"/>
          <w:szCs w:val="24"/>
          <w:lang w:eastAsia="lt-LT"/>
        </w:rPr>
      </w:pPr>
      <w:r>
        <w:rPr>
          <w:color w:val="595959" w:themeColor="text1" w:themeTint="A6"/>
          <w:szCs w:val="24"/>
          <w:lang w:eastAsia="lt-LT"/>
        </w:rPr>
        <w:t>Kultūros ministerijos 7 prioriteto administruojamose priemonėse</w:t>
      </w:r>
      <w:r w:rsidR="00803573" w:rsidRPr="000D6CD6">
        <w:rPr>
          <w:color w:val="595959" w:themeColor="text1" w:themeTint="A6"/>
          <w:szCs w:val="24"/>
          <w:lang w:eastAsia="lt-LT"/>
        </w:rPr>
        <w:t xml:space="preserve"> liko nesudaryta sutarčių už apytikriai 5 mln. eurų, dalį šių lėšų (apie 2 mln. eurų) </w:t>
      </w:r>
      <w:r>
        <w:rPr>
          <w:color w:val="595959" w:themeColor="text1" w:themeTint="A6"/>
          <w:szCs w:val="24"/>
          <w:lang w:eastAsia="lt-LT"/>
        </w:rPr>
        <w:t>Kultūros ministerija</w:t>
      </w:r>
      <w:r w:rsidR="00803573" w:rsidRPr="000D6CD6">
        <w:rPr>
          <w:color w:val="595959" w:themeColor="text1" w:themeTint="A6"/>
          <w:szCs w:val="24"/>
          <w:lang w:eastAsia="lt-LT"/>
        </w:rPr>
        <w:t xml:space="preserve"> planuoja skirti jau įgyvendinamų projektų papildomo finansavimo prašymams. </w:t>
      </w:r>
      <w:r>
        <w:rPr>
          <w:color w:val="595959" w:themeColor="text1" w:themeTint="A6"/>
          <w:szCs w:val="24"/>
          <w:lang w:eastAsia="lt-LT"/>
        </w:rPr>
        <w:t>Likusią</w:t>
      </w:r>
      <w:r w:rsidR="00803573" w:rsidRPr="000D6CD6">
        <w:rPr>
          <w:color w:val="595959" w:themeColor="text1" w:themeTint="A6"/>
          <w:szCs w:val="24"/>
          <w:lang w:eastAsia="lt-LT"/>
        </w:rPr>
        <w:t xml:space="preserve"> įgyvendinamiems projektams nepaskirst</w:t>
      </w:r>
      <w:r>
        <w:rPr>
          <w:color w:val="595959" w:themeColor="text1" w:themeTint="A6"/>
          <w:szCs w:val="24"/>
          <w:lang w:eastAsia="lt-LT"/>
        </w:rPr>
        <w:t>ytą</w:t>
      </w:r>
      <w:r w:rsidR="00803573" w:rsidRPr="000D6CD6">
        <w:rPr>
          <w:color w:val="595959" w:themeColor="text1" w:themeTint="A6"/>
          <w:szCs w:val="24"/>
          <w:lang w:eastAsia="lt-LT"/>
        </w:rPr>
        <w:t xml:space="preserve"> lėšų dalį (apie 3 mln. eurų) </w:t>
      </w:r>
      <w:r>
        <w:rPr>
          <w:color w:val="595959" w:themeColor="text1" w:themeTint="A6"/>
          <w:szCs w:val="24"/>
          <w:lang w:eastAsia="lt-LT"/>
        </w:rPr>
        <w:t>ministerija</w:t>
      </w:r>
      <w:r w:rsidR="00803573" w:rsidRPr="000D6CD6">
        <w:rPr>
          <w:color w:val="595959" w:themeColor="text1" w:themeTint="A6"/>
          <w:szCs w:val="24"/>
          <w:lang w:eastAsia="lt-LT"/>
        </w:rPr>
        <w:t xml:space="preserve"> numato skirti Kauno IX forto muziejaus ir Lietuvos aviacijos muziejaus modernizavimo projektams. Kadangi lėšų poreikis abi</w:t>
      </w:r>
      <w:r>
        <w:rPr>
          <w:color w:val="595959" w:themeColor="text1" w:themeTint="A6"/>
          <w:szCs w:val="24"/>
          <w:lang w:eastAsia="lt-LT"/>
        </w:rPr>
        <w:t>ems projektams – 6,9 mln. eurų,</w:t>
      </w:r>
      <w:r w:rsidR="00803573" w:rsidRPr="000D6CD6">
        <w:rPr>
          <w:color w:val="595959" w:themeColor="text1" w:themeTint="A6"/>
          <w:szCs w:val="24"/>
          <w:lang w:eastAsia="lt-LT"/>
        </w:rPr>
        <w:t xml:space="preserve"> planuoja</w:t>
      </w:r>
      <w:r>
        <w:rPr>
          <w:color w:val="595959" w:themeColor="text1" w:themeTint="A6"/>
          <w:szCs w:val="24"/>
          <w:lang w:eastAsia="lt-LT"/>
        </w:rPr>
        <w:t xml:space="preserve">ma juos įgyvendinti </w:t>
      </w:r>
      <w:r w:rsidR="00803573" w:rsidRPr="000D6CD6">
        <w:rPr>
          <w:color w:val="595959" w:themeColor="text1" w:themeTint="A6"/>
          <w:szCs w:val="24"/>
          <w:lang w:eastAsia="lt-LT"/>
        </w:rPr>
        <w:t>dviejų šaltinių</w:t>
      </w:r>
      <w:r>
        <w:rPr>
          <w:color w:val="595959" w:themeColor="text1" w:themeTint="A6"/>
          <w:szCs w:val="24"/>
          <w:lang w:eastAsia="lt-LT"/>
        </w:rPr>
        <w:t xml:space="preserve"> lėšomis:</w:t>
      </w:r>
      <w:r w:rsidR="00803573" w:rsidRPr="000D6CD6">
        <w:rPr>
          <w:color w:val="595959" w:themeColor="text1" w:themeTint="A6"/>
          <w:szCs w:val="24"/>
          <w:lang w:eastAsia="lt-LT"/>
        </w:rPr>
        <w:t xml:space="preserve"> Valstybės investicijų programos</w:t>
      </w:r>
      <w:r>
        <w:rPr>
          <w:color w:val="595959" w:themeColor="text1" w:themeTint="A6"/>
          <w:szCs w:val="24"/>
          <w:lang w:eastAsia="lt-LT"/>
        </w:rPr>
        <w:t xml:space="preserve"> (toliau – VIP)</w:t>
      </w:r>
      <w:r w:rsidR="00803573" w:rsidRPr="000D6CD6">
        <w:rPr>
          <w:color w:val="595959" w:themeColor="text1" w:themeTint="A6"/>
          <w:szCs w:val="24"/>
          <w:lang w:eastAsia="lt-LT"/>
        </w:rPr>
        <w:t xml:space="preserve"> </w:t>
      </w:r>
      <w:r>
        <w:rPr>
          <w:color w:val="595959" w:themeColor="text1" w:themeTint="A6"/>
          <w:szCs w:val="24"/>
          <w:lang w:eastAsia="lt-LT"/>
        </w:rPr>
        <w:t>ir ERPF</w:t>
      </w:r>
      <w:r w:rsidR="00803573" w:rsidRPr="000D6CD6">
        <w:rPr>
          <w:color w:val="595959" w:themeColor="text1" w:themeTint="A6"/>
          <w:szCs w:val="24"/>
          <w:lang w:eastAsia="lt-LT"/>
        </w:rPr>
        <w:t xml:space="preserve">. </w:t>
      </w:r>
      <w:r>
        <w:rPr>
          <w:color w:val="595959" w:themeColor="text1" w:themeTint="A6"/>
          <w:szCs w:val="24"/>
          <w:lang w:eastAsia="lt-LT"/>
        </w:rPr>
        <w:t>Finansų ministerija</w:t>
      </w:r>
      <w:r w:rsidR="00803573" w:rsidRPr="000D6CD6">
        <w:rPr>
          <w:color w:val="595959" w:themeColor="text1" w:themeTint="A6"/>
          <w:szCs w:val="24"/>
          <w:lang w:eastAsia="lt-LT"/>
        </w:rPr>
        <w:t xml:space="preserve"> mato riziką, kad užsitęsus VIP lėšų planavimui, iki 2020 m. pabaigos nebus sudarytos sutartys </w:t>
      </w:r>
      <w:r>
        <w:rPr>
          <w:color w:val="595959" w:themeColor="text1" w:themeTint="A6"/>
          <w:szCs w:val="24"/>
          <w:lang w:eastAsia="lt-LT"/>
        </w:rPr>
        <w:t>visai Kultūros ministerijos</w:t>
      </w:r>
      <w:r w:rsidR="00803573" w:rsidRPr="000D6CD6">
        <w:rPr>
          <w:color w:val="595959" w:themeColor="text1" w:themeTint="A6"/>
          <w:szCs w:val="24"/>
          <w:lang w:eastAsia="lt-LT"/>
        </w:rPr>
        <w:t xml:space="preserve"> 7</w:t>
      </w:r>
      <w:r>
        <w:rPr>
          <w:color w:val="595959" w:themeColor="text1" w:themeTint="A6"/>
          <w:szCs w:val="24"/>
          <w:lang w:eastAsia="lt-LT"/>
        </w:rPr>
        <w:t xml:space="preserve"> prioriteto</w:t>
      </w:r>
      <w:r w:rsidR="00803573" w:rsidRPr="000D6CD6">
        <w:rPr>
          <w:color w:val="595959" w:themeColor="text1" w:themeTint="A6"/>
          <w:szCs w:val="24"/>
          <w:lang w:eastAsia="lt-LT"/>
        </w:rPr>
        <w:t xml:space="preserve"> lėš</w:t>
      </w:r>
      <w:r>
        <w:rPr>
          <w:color w:val="595959" w:themeColor="text1" w:themeTint="A6"/>
          <w:szCs w:val="24"/>
          <w:lang w:eastAsia="lt-LT"/>
        </w:rPr>
        <w:t>ų daliai</w:t>
      </w:r>
      <w:r w:rsidR="00803573" w:rsidRPr="000D6CD6">
        <w:rPr>
          <w:color w:val="595959" w:themeColor="text1" w:themeTint="A6"/>
          <w:szCs w:val="24"/>
          <w:lang w:eastAsia="lt-LT"/>
        </w:rPr>
        <w:t>.</w:t>
      </w:r>
    </w:p>
    <w:p w:rsidR="00803573" w:rsidRPr="000D6CD6" w:rsidRDefault="002B6443" w:rsidP="00803573">
      <w:pPr>
        <w:pStyle w:val="tekstas"/>
        <w:rPr>
          <w:rFonts w:ascii="Times New Roman" w:hAnsi="Times New Roman"/>
          <w:color w:val="595959" w:themeColor="text1" w:themeTint="A6"/>
          <w:lang w:eastAsia="lt-LT"/>
        </w:rPr>
      </w:pPr>
      <w:r>
        <w:rPr>
          <w:rFonts w:ascii="Times New Roman" w:hAnsi="Times New Roman"/>
          <w:color w:val="595959" w:themeColor="text1" w:themeTint="A6"/>
          <w:lang w:eastAsia="lt-LT"/>
        </w:rPr>
        <w:t xml:space="preserve">Taip pat, žemas investavimo procentas Kultūros ministerijos administruojamose priemonėse. Pagrindinė priežastis </w:t>
      </w:r>
      <w:proofErr w:type="gramStart"/>
      <w:r>
        <w:rPr>
          <w:rFonts w:ascii="Times New Roman" w:hAnsi="Times New Roman"/>
          <w:color w:val="595959" w:themeColor="text1" w:themeTint="A6"/>
          <w:lang w:eastAsia="lt-LT"/>
        </w:rPr>
        <w:t>-</w:t>
      </w:r>
      <w:proofErr w:type="gramEnd"/>
      <w:r>
        <w:rPr>
          <w:rFonts w:ascii="Times New Roman" w:hAnsi="Times New Roman"/>
          <w:color w:val="595959" w:themeColor="text1" w:themeTint="A6"/>
          <w:lang w:eastAsia="lt-LT"/>
        </w:rPr>
        <w:t xml:space="preserve"> atsiliekantis rangos darbų vykdymas</w:t>
      </w:r>
      <w:r w:rsidR="00803573" w:rsidRPr="000D6CD6">
        <w:rPr>
          <w:rFonts w:ascii="Times New Roman" w:hAnsi="Times New Roman"/>
          <w:color w:val="595959" w:themeColor="text1" w:themeTint="A6"/>
          <w:lang w:eastAsia="lt-LT"/>
        </w:rPr>
        <w:t xml:space="preserve"> (po kelis kartus skelbiami rangos darbų pirkimai, dažni darbų pakeitimai, ginčai su rangovais, rangos darbų sutarčių nutraukimai, rangovų bankrotai). CPVA organizavo valstybinių ir konkursinių projektų vykdytojams mokymus dėl rangos darbų sutarčių įgyvendinimo, vyksta individualios konsultacijos su projektų vykdytojais, atliekami išankstiniai darbų pakeitimų vertinimai.</w:t>
      </w:r>
    </w:p>
    <w:p w:rsidR="00803573" w:rsidRPr="000D6CD6" w:rsidRDefault="00803573" w:rsidP="00803573">
      <w:pPr>
        <w:pStyle w:val="tekstas"/>
        <w:rPr>
          <w:rFonts w:ascii="Times New Roman" w:hAnsi="Times New Roman"/>
          <w:color w:val="595959" w:themeColor="text1" w:themeTint="A6"/>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803573" w:rsidRPr="00007970" w:rsidTr="00FC2234">
        <w:tc>
          <w:tcPr>
            <w:tcW w:w="9638" w:type="dxa"/>
            <w:tcBorders>
              <w:top w:val="nil"/>
              <w:left w:val="nil"/>
              <w:bottom w:val="nil"/>
              <w:right w:val="nil"/>
            </w:tcBorders>
            <w:shd w:val="clear" w:color="auto" w:fill="D9D9D9" w:themeFill="background1" w:themeFillShade="D9"/>
          </w:tcPr>
          <w:p w:rsidR="00803573" w:rsidRPr="000D6CD6" w:rsidRDefault="00803573" w:rsidP="00FC2234">
            <w:pPr>
              <w:jc w:val="both"/>
              <w:rPr>
                <w:b/>
                <w:color w:val="365F91" w:themeColor="accent1" w:themeShade="BF"/>
              </w:rPr>
            </w:pPr>
            <w:r w:rsidRPr="000D6CD6">
              <w:rPr>
                <w:b/>
                <w:color w:val="365F91" w:themeColor="accent1" w:themeShade="BF"/>
              </w:rPr>
              <w:t>Siūlymas Kultūros ministerijai:</w:t>
            </w:r>
          </w:p>
          <w:p w:rsidR="00803573" w:rsidRPr="000D6CD6" w:rsidRDefault="000D6CD6" w:rsidP="000D6CD6">
            <w:pPr>
              <w:jc w:val="both"/>
              <w:rPr>
                <w:color w:val="365F91" w:themeColor="accent1" w:themeShade="BF"/>
              </w:rPr>
            </w:pPr>
            <w:r>
              <w:rPr>
                <w:color w:val="365F91" w:themeColor="accent1" w:themeShade="BF"/>
              </w:rPr>
              <w:t>- i</w:t>
            </w:r>
            <w:r w:rsidR="006E0E1D" w:rsidRPr="000D6CD6">
              <w:rPr>
                <w:color w:val="365F91" w:themeColor="accent1" w:themeShade="BF"/>
              </w:rPr>
              <w:t>ki 2020 m. gruodžio 31 d.</w:t>
            </w:r>
            <w:r w:rsidR="00803573" w:rsidRPr="000D6CD6" w:rsidDel="00E460DE">
              <w:rPr>
                <w:color w:val="365F91" w:themeColor="accent1" w:themeShade="BF"/>
              </w:rPr>
              <w:t xml:space="preserve"> </w:t>
            </w:r>
            <w:r w:rsidR="00803573" w:rsidRPr="000D6CD6">
              <w:rPr>
                <w:color w:val="365F91" w:themeColor="accent1" w:themeShade="BF"/>
              </w:rPr>
              <w:t>nesuplanuotai 7 prioriteto lėšų sumai sudaryti finansavimo skyrimo sutartį (-</w:t>
            </w:r>
            <w:proofErr w:type="spellStart"/>
            <w:r w:rsidR="00803573" w:rsidRPr="000D6CD6">
              <w:rPr>
                <w:color w:val="365F91" w:themeColor="accent1" w:themeShade="BF"/>
              </w:rPr>
              <w:t>is</w:t>
            </w:r>
            <w:proofErr w:type="spellEnd"/>
            <w:r w:rsidR="00803573" w:rsidRPr="000D6CD6">
              <w:rPr>
                <w:color w:val="365F91" w:themeColor="accent1" w:themeShade="BF"/>
              </w:rPr>
              <w:t>) ir skirti papildomą finansavimą projektams, kurių papildomų finansavimų prašymams Kultūros ministerija yra pritarusi.</w:t>
            </w:r>
          </w:p>
        </w:tc>
      </w:tr>
    </w:tbl>
    <w:p w:rsidR="00C92FA0" w:rsidRDefault="00C92FA0" w:rsidP="004610C5">
      <w:pPr>
        <w:jc w:val="both"/>
        <w:rPr>
          <w:color w:val="595959" w:themeColor="text1" w:themeTint="A6"/>
          <w:szCs w:val="24"/>
          <w:lang w:eastAsia="lt-LT"/>
        </w:rPr>
      </w:pPr>
    </w:p>
    <w:p w:rsidR="00C92FA0" w:rsidRDefault="00C92FA0" w:rsidP="004610C5">
      <w:pPr>
        <w:jc w:val="both"/>
        <w:rPr>
          <w:color w:val="595959" w:themeColor="text1" w:themeTint="A6"/>
          <w:szCs w:val="24"/>
          <w:lang w:eastAsia="lt-LT"/>
        </w:rPr>
      </w:pPr>
      <w:r>
        <w:rPr>
          <w:noProof/>
          <w:lang w:eastAsia="lt-LT"/>
        </w:rPr>
        <w:drawing>
          <wp:inline distT="0" distB="0" distL="0" distR="0" wp14:anchorId="3C2FC70E" wp14:editId="0FF42640">
            <wp:extent cx="6120130" cy="1089497"/>
            <wp:effectExtent l="0" t="0" r="13970" b="15875"/>
            <wp:docPr id="27" name="Diagrama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91BD6" w:rsidRPr="005D3468" w:rsidRDefault="00291BD6" w:rsidP="00291BD6">
      <w:pPr>
        <w:autoSpaceDE w:val="0"/>
        <w:autoSpaceDN w:val="0"/>
        <w:adjustRightInd w:val="0"/>
        <w:ind w:firstLine="567"/>
        <w:jc w:val="both"/>
        <w:rPr>
          <w:color w:val="595959" w:themeColor="text1" w:themeTint="A6"/>
          <w:szCs w:val="24"/>
          <w:lang w:eastAsia="lt-LT"/>
        </w:rPr>
      </w:pPr>
    </w:p>
    <w:p w:rsidR="00470B85" w:rsidRDefault="00470B85" w:rsidP="002F324B">
      <w:pPr>
        <w:autoSpaceDE w:val="0"/>
        <w:autoSpaceDN w:val="0"/>
        <w:adjustRightInd w:val="0"/>
        <w:ind w:firstLine="426"/>
        <w:jc w:val="both"/>
        <w:rPr>
          <w:color w:val="595959" w:themeColor="text1" w:themeTint="A6"/>
          <w:szCs w:val="24"/>
          <w:lang w:eastAsia="lt-LT"/>
        </w:rPr>
      </w:pPr>
      <w:r>
        <w:rPr>
          <w:color w:val="595959" w:themeColor="text1" w:themeTint="A6"/>
          <w:szCs w:val="24"/>
          <w:lang w:eastAsia="lt-LT"/>
        </w:rPr>
        <w:t xml:space="preserve">Socialinės apsaugos ir darbo ministerijos 7 prioriteto administruojamose priemonėse </w:t>
      </w:r>
      <w:r w:rsidR="00BF5F68">
        <w:rPr>
          <w:color w:val="595959" w:themeColor="text1" w:themeTint="A6"/>
          <w:szCs w:val="24"/>
          <w:lang w:eastAsia="lt-LT"/>
        </w:rPr>
        <w:t xml:space="preserve">pasirašyta sutarčių už 99 proc. </w:t>
      </w:r>
      <w:r w:rsidR="0034618A">
        <w:rPr>
          <w:color w:val="595959" w:themeColor="text1" w:themeTint="A6"/>
          <w:szCs w:val="24"/>
          <w:lang w:eastAsia="lt-LT"/>
        </w:rPr>
        <w:t>skirtų</w:t>
      </w:r>
      <w:r w:rsidR="00BF5F68">
        <w:rPr>
          <w:color w:val="595959" w:themeColor="text1" w:themeTint="A6"/>
          <w:szCs w:val="24"/>
          <w:lang w:eastAsia="lt-LT"/>
        </w:rPr>
        <w:t xml:space="preserve"> lėšų. Taip pat, papildomai </w:t>
      </w:r>
      <w:r w:rsidR="00BF5F68" w:rsidRPr="00BF5F68">
        <w:rPr>
          <w:color w:val="595959" w:themeColor="text1" w:themeTint="A6"/>
          <w:szCs w:val="24"/>
          <w:lang w:eastAsia="lt-LT"/>
        </w:rPr>
        <w:t xml:space="preserve">šiame prioritete ministerijai yra numatyta </w:t>
      </w:r>
      <w:r w:rsidR="00BF5F68">
        <w:rPr>
          <w:color w:val="595959" w:themeColor="text1" w:themeTint="A6"/>
          <w:szCs w:val="24"/>
          <w:lang w:eastAsia="lt-LT"/>
        </w:rPr>
        <w:t>70,8</w:t>
      </w:r>
      <w:r w:rsidR="00BF5F68" w:rsidRPr="00BF5F68">
        <w:rPr>
          <w:color w:val="595959" w:themeColor="text1" w:themeTint="A6"/>
          <w:szCs w:val="24"/>
          <w:lang w:eastAsia="lt-LT"/>
        </w:rPr>
        <w:t xml:space="preserve"> mln. eurų ES</w:t>
      </w:r>
      <w:r w:rsidR="00BF5F68">
        <w:rPr>
          <w:color w:val="595959" w:themeColor="text1" w:themeTint="A6"/>
          <w:szCs w:val="24"/>
          <w:lang w:eastAsia="lt-LT"/>
        </w:rPr>
        <w:t>F</w:t>
      </w:r>
      <w:r w:rsidR="00BF5F68" w:rsidRPr="00BF5F68">
        <w:rPr>
          <w:color w:val="595959" w:themeColor="text1" w:themeTint="A6"/>
          <w:szCs w:val="24"/>
          <w:lang w:eastAsia="lt-LT"/>
        </w:rPr>
        <w:t xml:space="preserve"> lėšų </w:t>
      </w:r>
      <w:proofErr w:type="spellStart"/>
      <w:r w:rsidR="00BF5F68" w:rsidRPr="00BF5F68">
        <w:rPr>
          <w:color w:val="595959" w:themeColor="text1" w:themeTint="A6"/>
          <w:szCs w:val="24"/>
          <w:lang w:eastAsia="lt-LT"/>
        </w:rPr>
        <w:t>virškontraktavimo</w:t>
      </w:r>
      <w:proofErr w:type="spellEnd"/>
      <w:r w:rsidR="00BF5F68" w:rsidRPr="00BF5F68">
        <w:rPr>
          <w:color w:val="595959" w:themeColor="text1" w:themeTint="A6"/>
          <w:szCs w:val="24"/>
          <w:lang w:eastAsia="lt-LT"/>
        </w:rPr>
        <w:t xml:space="preserve"> galimybė.</w:t>
      </w:r>
    </w:p>
    <w:p w:rsidR="00BF5F68" w:rsidRDefault="00BF5F68" w:rsidP="002F324B">
      <w:pPr>
        <w:autoSpaceDE w:val="0"/>
        <w:autoSpaceDN w:val="0"/>
        <w:adjustRightInd w:val="0"/>
        <w:ind w:firstLine="426"/>
        <w:jc w:val="both"/>
        <w:rPr>
          <w:color w:val="595959" w:themeColor="text1" w:themeTint="A6"/>
          <w:szCs w:val="24"/>
          <w:lang w:eastAsia="lt-LT"/>
        </w:rPr>
      </w:pPr>
      <w:r>
        <w:rPr>
          <w:color w:val="595959" w:themeColor="text1" w:themeTint="A6"/>
          <w:szCs w:val="24"/>
          <w:lang w:eastAsia="lt-LT"/>
        </w:rPr>
        <w:t>ESF lėšomis finansuojamų projektų investicijos jau siekia 71 proc., tačiau ERPF lėšomis finansuojamų</w:t>
      </w:r>
      <w:r w:rsidR="00A13861">
        <w:rPr>
          <w:color w:val="595959" w:themeColor="text1" w:themeTint="A6"/>
          <w:szCs w:val="24"/>
          <w:lang w:eastAsia="lt-LT"/>
        </w:rPr>
        <w:t xml:space="preserve"> mokėjimų dar nėra.</w:t>
      </w:r>
    </w:p>
    <w:p w:rsidR="00A31DD2" w:rsidRDefault="00A31DD2" w:rsidP="00A31DD2">
      <w:pPr>
        <w:autoSpaceDE w:val="0"/>
        <w:autoSpaceDN w:val="0"/>
        <w:adjustRightInd w:val="0"/>
        <w:ind w:firstLine="426"/>
        <w:jc w:val="both"/>
        <w:rPr>
          <w:color w:val="595959" w:themeColor="text1" w:themeTint="A6"/>
          <w:szCs w:val="24"/>
          <w:lang w:eastAsia="lt-LT"/>
        </w:rPr>
      </w:pPr>
      <w:r>
        <w:rPr>
          <w:color w:val="595959" w:themeColor="text1" w:themeTint="A6"/>
          <w:szCs w:val="24"/>
          <w:lang w:eastAsia="lt-LT"/>
        </w:rPr>
        <w:t>Šiame prioritete ERPF lėšomis finansuojamas</w:t>
      </w:r>
      <w:r w:rsidRPr="00BF5F68">
        <w:rPr>
          <w:color w:val="595959" w:themeColor="text1" w:themeTint="A6"/>
          <w:szCs w:val="24"/>
          <w:lang w:eastAsia="lt-LT"/>
        </w:rPr>
        <w:t xml:space="preserve"> Užimtumo tarnybos Vilniaus pastato statybos</w:t>
      </w:r>
      <w:r>
        <w:rPr>
          <w:color w:val="595959" w:themeColor="text1" w:themeTint="A6"/>
          <w:szCs w:val="24"/>
          <w:lang w:eastAsia="lt-LT"/>
        </w:rPr>
        <w:t xml:space="preserve"> projektas. Š</w:t>
      </w:r>
      <w:r w:rsidRPr="00BF5F68">
        <w:rPr>
          <w:color w:val="595959" w:themeColor="text1" w:themeTint="A6"/>
          <w:szCs w:val="24"/>
          <w:lang w:eastAsia="lt-LT"/>
        </w:rPr>
        <w:t>iuo metu vyksta projekt</w:t>
      </w:r>
      <w:r>
        <w:rPr>
          <w:color w:val="595959" w:themeColor="text1" w:themeTint="A6"/>
          <w:szCs w:val="24"/>
          <w:lang w:eastAsia="lt-LT"/>
        </w:rPr>
        <w:t>avimo</w:t>
      </w:r>
      <w:r w:rsidRPr="00667BD1">
        <w:t xml:space="preserve"> </w:t>
      </w:r>
      <w:r w:rsidRPr="00667BD1">
        <w:rPr>
          <w:color w:val="595959" w:themeColor="text1" w:themeTint="A6"/>
          <w:szCs w:val="24"/>
          <w:lang w:eastAsia="lt-LT"/>
        </w:rPr>
        <w:t>ir techninio projekto tikslinimo</w:t>
      </w:r>
      <w:r>
        <w:rPr>
          <w:color w:val="595959" w:themeColor="text1" w:themeTint="A6"/>
          <w:szCs w:val="24"/>
          <w:lang w:eastAsia="lt-LT"/>
        </w:rPr>
        <w:t xml:space="preserve"> darbai, </w:t>
      </w:r>
      <w:r w:rsidRPr="00667BD1">
        <w:rPr>
          <w:color w:val="595959" w:themeColor="text1" w:themeTint="A6"/>
          <w:szCs w:val="24"/>
          <w:lang w:eastAsia="lt-LT"/>
        </w:rPr>
        <w:t xml:space="preserve">kuriems </w:t>
      </w:r>
      <w:r>
        <w:rPr>
          <w:color w:val="595959" w:themeColor="text1" w:themeTint="A6"/>
          <w:szCs w:val="24"/>
          <w:lang w:eastAsia="lt-LT"/>
        </w:rPr>
        <w:t>išmokamas</w:t>
      </w:r>
      <w:r w:rsidRPr="00667BD1">
        <w:rPr>
          <w:color w:val="595959" w:themeColor="text1" w:themeTint="A6"/>
          <w:szCs w:val="24"/>
          <w:lang w:eastAsia="lt-LT"/>
        </w:rPr>
        <w:t xml:space="preserve"> lėšas planuojama deklaruoti nuo 2021 metų.</w:t>
      </w:r>
    </w:p>
    <w:p w:rsidR="00291BD6" w:rsidRPr="005D3468" w:rsidRDefault="00291BD6" w:rsidP="002F324B">
      <w:pPr>
        <w:autoSpaceDE w:val="0"/>
        <w:autoSpaceDN w:val="0"/>
        <w:adjustRightInd w:val="0"/>
        <w:ind w:firstLine="426"/>
        <w:jc w:val="both"/>
        <w:rPr>
          <w:color w:val="595959" w:themeColor="text1" w:themeTint="A6"/>
          <w:szCs w:val="24"/>
          <w:lang w:eastAsia="lt-LT"/>
        </w:rPr>
      </w:pPr>
      <w:r w:rsidRPr="005D3468">
        <w:rPr>
          <w:color w:val="595959" w:themeColor="text1" w:themeTint="A6"/>
          <w:szCs w:val="24"/>
          <w:lang w:eastAsia="lt-LT"/>
        </w:rPr>
        <w:t>Užimtumo tarnyba</w:t>
      </w:r>
      <w:r w:rsidR="00A13861">
        <w:rPr>
          <w:color w:val="595959" w:themeColor="text1" w:themeTint="A6"/>
          <w:szCs w:val="24"/>
          <w:lang w:eastAsia="lt-LT"/>
        </w:rPr>
        <w:t>i</w:t>
      </w:r>
      <w:r w:rsidRPr="005D3468">
        <w:rPr>
          <w:color w:val="595959" w:themeColor="text1" w:themeTint="A6"/>
          <w:szCs w:val="24"/>
          <w:lang w:eastAsia="lt-LT"/>
        </w:rPr>
        <w:t xml:space="preserve"> </w:t>
      </w:r>
      <w:r w:rsidR="00A13861">
        <w:rPr>
          <w:color w:val="595959" w:themeColor="text1" w:themeTint="A6"/>
          <w:szCs w:val="24"/>
          <w:lang w:eastAsia="lt-LT"/>
        </w:rPr>
        <w:t>ESF ir valstybės biudžeto lėšomis</w:t>
      </w:r>
      <w:r w:rsidRPr="005D3468">
        <w:rPr>
          <w:color w:val="595959" w:themeColor="text1" w:themeTint="A6"/>
          <w:szCs w:val="24"/>
          <w:lang w:eastAsia="lt-LT"/>
        </w:rPr>
        <w:t xml:space="preserve"> </w:t>
      </w:r>
      <w:r w:rsidR="00A13861">
        <w:rPr>
          <w:color w:val="595959" w:themeColor="text1" w:themeTint="A6"/>
          <w:szCs w:val="24"/>
          <w:lang w:eastAsia="lt-LT"/>
        </w:rPr>
        <w:t>įgyvendinant</w:t>
      </w:r>
      <w:r w:rsidRPr="005D3468">
        <w:rPr>
          <w:color w:val="595959" w:themeColor="text1" w:themeTint="A6"/>
          <w:szCs w:val="24"/>
          <w:lang w:eastAsia="lt-LT"/>
        </w:rPr>
        <w:t xml:space="preserve"> aktyvios darbo rinkos politikos (ADRP) priemones</w:t>
      </w:r>
      <w:r w:rsidR="00A13861">
        <w:rPr>
          <w:color w:val="595959" w:themeColor="text1" w:themeTint="A6"/>
          <w:szCs w:val="24"/>
          <w:lang w:eastAsia="lt-LT"/>
        </w:rPr>
        <w:t xml:space="preserve"> per š</w:t>
      </w:r>
      <w:r w:rsidR="00A13861" w:rsidRPr="005D3468">
        <w:rPr>
          <w:color w:val="595959" w:themeColor="text1" w:themeTint="A6"/>
          <w:szCs w:val="24"/>
          <w:lang w:eastAsia="lt-LT"/>
        </w:rPr>
        <w:t>.</w:t>
      </w:r>
      <w:r w:rsidR="00A13861">
        <w:rPr>
          <w:color w:val="595959" w:themeColor="text1" w:themeTint="A6"/>
          <w:szCs w:val="24"/>
          <w:lang w:eastAsia="lt-LT"/>
        </w:rPr>
        <w:t xml:space="preserve"> m. II</w:t>
      </w:r>
      <w:proofErr w:type="gramStart"/>
      <w:r w:rsidR="00A13861">
        <w:rPr>
          <w:color w:val="595959" w:themeColor="text1" w:themeTint="A6"/>
          <w:szCs w:val="24"/>
          <w:lang w:eastAsia="lt-LT"/>
        </w:rPr>
        <w:t>-</w:t>
      </w:r>
      <w:proofErr w:type="gramEnd"/>
      <w:r w:rsidR="00A13861">
        <w:rPr>
          <w:color w:val="595959" w:themeColor="text1" w:themeTint="A6"/>
          <w:szCs w:val="24"/>
          <w:lang w:eastAsia="lt-LT"/>
        </w:rPr>
        <w:t>III ketvirčius</w:t>
      </w:r>
      <w:r w:rsidR="00A13861" w:rsidRPr="005D3468">
        <w:rPr>
          <w:color w:val="595959" w:themeColor="text1" w:themeTint="A6"/>
          <w:szCs w:val="24"/>
          <w:lang w:eastAsia="lt-LT"/>
        </w:rPr>
        <w:t xml:space="preserve"> dėl apribojimų, susijusių su </w:t>
      </w:r>
      <w:proofErr w:type="spellStart"/>
      <w:r w:rsidR="00A13861">
        <w:rPr>
          <w:color w:val="595959" w:themeColor="text1" w:themeTint="A6"/>
          <w:szCs w:val="24"/>
          <w:lang w:eastAsia="lt-LT"/>
        </w:rPr>
        <w:t>Covid-19</w:t>
      </w:r>
      <w:proofErr w:type="spellEnd"/>
      <w:r w:rsidR="00A13861" w:rsidRPr="005D3468">
        <w:rPr>
          <w:color w:val="595959" w:themeColor="text1" w:themeTint="A6"/>
          <w:szCs w:val="24"/>
          <w:lang w:eastAsia="lt-LT"/>
        </w:rPr>
        <w:t xml:space="preserve"> pandemija, prastovų kompensavimui išmokėta 162,75 mln. eurų</w:t>
      </w:r>
      <w:r w:rsidRPr="005D3468">
        <w:rPr>
          <w:color w:val="595959" w:themeColor="text1" w:themeTint="A6"/>
          <w:szCs w:val="24"/>
          <w:lang w:eastAsia="lt-LT"/>
        </w:rPr>
        <w:t>. Bendra prastovoms apmokėti skirta ES ir valstybės biudžeto lėšų suma – 169,6 mln. eurų, todėl galima teigti, kad šiam tikslui skirtos ES lėšos baigsis, dar nesibaigus 2020 metams.</w:t>
      </w:r>
      <w:r w:rsidR="00A13861" w:rsidRPr="00A13861">
        <w:rPr>
          <w:color w:val="595959" w:themeColor="text1" w:themeTint="A6"/>
          <w:szCs w:val="24"/>
          <w:lang w:eastAsia="lt-LT"/>
        </w:rPr>
        <w:t xml:space="preserve"> </w:t>
      </w:r>
      <w:r w:rsidR="00A13861" w:rsidRPr="005D3468">
        <w:rPr>
          <w:color w:val="595959" w:themeColor="text1" w:themeTint="A6"/>
          <w:szCs w:val="24"/>
          <w:lang w:eastAsia="lt-LT"/>
        </w:rPr>
        <w:t xml:space="preserve">Papildomai ES lėšų ADRP priemonėms 2021 metams planuojama skirti iš </w:t>
      </w:r>
      <w:proofErr w:type="spellStart"/>
      <w:r w:rsidR="00A13861" w:rsidRPr="005D3468">
        <w:rPr>
          <w:color w:val="595959" w:themeColor="text1" w:themeTint="A6"/>
          <w:szCs w:val="24"/>
          <w:lang w:eastAsia="lt-LT"/>
        </w:rPr>
        <w:t>React</w:t>
      </w:r>
      <w:proofErr w:type="gramStart"/>
      <w:r w:rsidR="00A13861" w:rsidRPr="005D3468">
        <w:rPr>
          <w:color w:val="595959" w:themeColor="text1" w:themeTint="A6"/>
          <w:szCs w:val="24"/>
          <w:lang w:eastAsia="lt-LT"/>
        </w:rPr>
        <w:t>-</w:t>
      </w:r>
      <w:proofErr w:type="gramEnd"/>
      <w:r w:rsidR="00A13861" w:rsidRPr="005D3468">
        <w:rPr>
          <w:color w:val="595959" w:themeColor="text1" w:themeTint="A6"/>
          <w:szCs w:val="24"/>
          <w:lang w:eastAsia="lt-LT"/>
        </w:rPr>
        <w:t>EU</w:t>
      </w:r>
      <w:proofErr w:type="spellEnd"/>
      <w:r w:rsidR="00A13861" w:rsidRPr="005D3468">
        <w:rPr>
          <w:color w:val="595959" w:themeColor="text1" w:themeTint="A6"/>
          <w:szCs w:val="24"/>
          <w:lang w:eastAsia="lt-LT"/>
        </w:rPr>
        <w:t xml:space="preserve"> instrumento</w:t>
      </w:r>
      <w:r w:rsidR="00D0603A">
        <w:rPr>
          <w:color w:val="595959" w:themeColor="text1" w:themeTint="A6"/>
          <w:szCs w:val="24"/>
          <w:lang w:eastAsia="lt-LT"/>
        </w:rPr>
        <w:t xml:space="preserve"> </w:t>
      </w:r>
      <w:r w:rsidR="00D0603A" w:rsidRPr="00D0603A">
        <w:rPr>
          <w:color w:val="595959" w:themeColor="text1" w:themeTint="A6"/>
          <w:szCs w:val="24"/>
          <w:lang w:eastAsia="lt-LT"/>
        </w:rPr>
        <w:t xml:space="preserve">Šiuo metu Veiksmų programos keitimas dėl </w:t>
      </w:r>
      <w:proofErr w:type="spellStart"/>
      <w:r w:rsidR="00D0603A" w:rsidRPr="00D0603A">
        <w:rPr>
          <w:color w:val="595959" w:themeColor="text1" w:themeTint="A6"/>
          <w:szCs w:val="24"/>
          <w:lang w:eastAsia="lt-LT"/>
        </w:rPr>
        <w:t>React-EU</w:t>
      </w:r>
      <w:proofErr w:type="spellEnd"/>
      <w:r w:rsidR="00D0603A" w:rsidRPr="00D0603A">
        <w:rPr>
          <w:color w:val="595959" w:themeColor="text1" w:themeTint="A6"/>
          <w:szCs w:val="24"/>
          <w:lang w:eastAsia="lt-LT"/>
        </w:rPr>
        <w:t xml:space="preserve"> lėšų išsiųstas neformaliai derinti su EK. Iki oficialaus </w:t>
      </w:r>
      <w:proofErr w:type="spellStart"/>
      <w:r w:rsidR="00D0603A" w:rsidRPr="00D0603A">
        <w:rPr>
          <w:color w:val="595959" w:themeColor="text1" w:themeTint="A6"/>
          <w:szCs w:val="24"/>
          <w:lang w:eastAsia="lt-LT"/>
        </w:rPr>
        <w:t>React</w:t>
      </w:r>
      <w:proofErr w:type="gramStart"/>
      <w:r w:rsidR="00D0603A" w:rsidRPr="00D0603A">
        <w:rPr>
          <w:color w:val="595959" w:themeColor="text1" w:themeTint="A6"/>
          <w:szCs w:val="24"/>
          <w:lang w:eastAsia="lt-LT"/>
        </w:rPr>
        <w:t>-</w:t>
      </w:r>
      <w:proofErr w:type="gramEnd"/>
      <w:r w:rsidR="00D0603A" w:rsidRPr="00D0603A">
        <w:rPr>
          <w:color w:val="595959" w:themeColor="text1" w:themeTint="A6"/>
          <w:szCs w:val="24"/>
          <w:lang w:eastAsia="lt-LT"/>
        </w:rPr>
        <w:t>EU</w:t>
      </w:r>
      <w:proofErr w:type="spellEnd"/>
      <w:r w:rsidR="00D0603A" w:rsidRPr="00D0603A">
        <w:rPr>
          <w:color w:val="595959" w:themeColor="text1" w:themeTint="A6"/>
          <w:szCs w:val="24"/>
          <w:lang w:eastAsia="lt-LT"/>
        </w:rPr>
        <w:t xml:space="preserve"> lėšų patvirtinimo, šių veiklų finansavimui Veiksmų programos priede yra sudaryta </w:t>
      </w:r>
      <w:proofErr w:type="spellStart"/>
      <w:r w:rsidR="00D0603A" w:rsidRPr="00D0603A">
        <w:rPr>
          <w:color w:val="595959" w:themeColor="text1" w:themeTint="A6"/>
          <w:szCs w:val="24"/>
          <w:lang w:eastAsia="lt-LT"/>
        </w:rPr>
        <w:t>virškontraktavimo</w:t>
      </w:r>
      <w:proofErr w:type="spellEnd"/>
      <w:r w:rsidR="00D0603A" w:rsidRPr="00D0603A">
        <w:rPr>
          <w:color w:val="595959" w:themeColor="text1" w:themeTint="A6"/>
          <w:szCs w:val="24"/>
          <w:lang w:eastAsia="lt-LT"/>
        </w:rPr>
        <w:t xml:space="preserve"> galimybė.</w:t>
      </w:r>
    </w:p>
    <w:p w:rsidR="00C92FA0" w:rsidRPr="005D3468" w:rsidRDefault="00291BD6" w:rsidP="002F324B">
      <w:pPr>
        <w:autoSpaceDE w:val="0"/>
        <w:autoSpaceDN w:val="0"/>
        <w:adjustRightInd w:val="0"/>
        <w:ind w:firstLine="426"/>
        <w:jc w:val="both"/>
        <w:rPr>
          <w:color w:val="595959" w:themeColor="text1" w:themeTint="A6"/>
          <w:szCs w:val="24"/>
          <w:lang w:eastAsia="lt-LT"/>
        </w:rPr>
      </w:pPr>
      <w:r w:rsidRPr="005D3468">
        <w:rPr>
          <w:color w:val="595959" w:themeColor="text1" w:themeTint="A6"/>
          <w:szCs w:val="24"/>
          <w:lang w:eastAsia="lt-LT"/>
        </w:rPr>
        <w:t>Š.m. I</w:t>
      </w:r>
      <w:proofErr w:type="gramStart"/>
      <w:r w:rsidRPr="005D3468">
        <w:rPr>
          <w:color w:val="595959" w:themeColor="text1" w:themeTint="A6"/>
          <w:szCs w:val="24"/>
          <w:lang w:eastAsia="lt-LT"/>
        </w:rPr>
        <w:t>-</w:t>
      </w:r>
      <w:proofErr w:type="gramEnd"/>
      <w:r w:rsidRPr="005D3468">
        <w:rPr>
          <w:color w:val="595959" w:themeColor="text1" w:themeTint="A6"/>
          <w:szCs w:val="24"/>
          <w:lang w:eastAsia="lt-LT"/>
        </w:rPr>
        <w:t xml:space="preserve">III ketvirtį jaunimo užimtumo skatinimo projektų vykdymui buvo panaudota 44,26 proc. skirtų lėšų. Per karantiną dalis niekur nedirbančio ir nesimokančio (NEET) jaunimo nedalyvavo projekto veiklose, skirtose tobulinti kvalifikaciją. Šiuo metu projekte dalyvauja 368 dalyviai, kurie patiria pajamų nepriteklių, kompleksinius sunkumus šeimose, turi ilgalaikės bedarbystės patirtį. Šį rudenį planuojama į projektą įtraukti papildomai 350 NEET jaunuolių ir projektą pratęsti dar 10 mėnesių </w:t>
      </w:r>
      <w:proofErr w:type="gramStart"/>
      <w:r w:rsidRPr="005D3468">
        <w:rPr>
          <w:color w:val="595959" w:themeColor="text1" w:themeTint="A6"/>
          <w:szCs w:val="24"/>
          <w:lang w:eastAsia="lt-LT"/>
        </w:rPr>
        <w:t>(</w:t>
      </w:r>
      <w:proofErr w:type="gramEnd"/>
      <w:r w:rsidRPr="005D3468">
        <w:rPr>
          <w:color w:val="595959" w:themeColor="text1" w:themeTint="A6"/>
          <w:szCs w:val="24"/>
          <w:lang w:eastAsia="lt-LT"/>
        </w:rPr>
        <w:t>iki 2021 m. rugsėjo mėn.), tam skiriant papildomą 450 tūkst. eurų finansavimą.</w:t>
      </w:r>
    </w:p>
    <w:p w:rsidR="00C92FA0" w:rsidRPr="005D3468" w:rsidRDefault="00C92FA0" w:rsidP="004610C5">
      <w:pPr>
        <w:jc w:val="both"/>
        <w:rPr>
          <w:color w:val="595959" w:themeColor="text1" w:themeTint="A6"/>
          <w:szCs w:val="24"/>
          <w:lang w:eastAsia="lt-LT"/>
        </w:rPr>
      </w:pPr>
    </w:p>
    <w:p w:rsidR="00C92FA0" w:rsidRDefault="006E0F29" w:rsidP="004610C5">
      <w:pPr>
        <w:jc w:val="both"/>
        <w:rPr>
          <w:color w:val="595959" w:themeColor="text1" w:themeTint="A6"/>
          <w:szCs w:val="24"/>
          <w:lang w:eastAsia="lt-LT"/>
        </w:rPr>
      </w:pPr>
      <w:r>
        <w:rPr>
          <w:noProof/>
          <w:lang w:eastAsia="lt-LT"/>
        </w:rPr>
        <w:drawing>
          <wp:inline distT="0" distB="0" distL="0" distR="0" wp14:anchorId="246C27A3" wp14:editId="64396F81">
            <wp:extent cx="6120130" cy="512383"/>
            <wp:effectExtent l="0" t="0" r="13970" b="21590"/>
            <wp:docPr id="394" name="Diagrama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92FA0" w:rsidRPr="0034618A" w:rsidRDefault="00C92FA0" w:rsidP="004610C5">
      <w:pPr>
        <w:jc w:val="both"/>
        <w:rPr>
          <w:color w:val="595959" w:themeColor="text1" w:themeTint="A6"/>
          <w:szCs w:val="24"/>
          <w:lang w:eastAsia="lt-LT"/>
        </w:rPr>
      </w:pPr>
    </w:p>
    <w:p w:rsidR="002F324B" w:rsidRDefault="0014483E" w:rsidP="002F324B">
      <w:pPr>
        <w:ind w:firstLine="426"/>
        <w:jc w:val="both"/>
        <w:rPr>
          <w:color w:val="595959" w:themeColor="text1" w:themeTint="A6"/>
          <w:szCs w:val="24"/>
          <w:lang w:eastAsia="lt-LT"/>
        </w:rPr>
      </w:pPr>
      <w:r w:rsidRPr="0034618A">
        <w:rPr>
          <w:color w:val="595959" w:themeColor="text1" w:themeTint="A6"/>
          <w:szCs w:val="24"/>
          <w:lang w:eastAsia="lt-LT"/>
        </w:rPr>
        <w:t>Vidaus reikalų ministerijos 7 prioriteto ERPF lėšomis finansuojamų priemonių pasirašytų sutarčių dalis (88 proc.) ir lėšų investavimas (52 proc.) atsilieka nuo Veiksmų programos vidurkio.</w:t>
      </w:r>
    </w:p>
    <w:p w:rsidR="0014483E" w:rsidRPr="0034618A" w:rsidRDefault="006E0F29" w:rsidP="002F324B">
      <w:pPr>
        <w:ind w:firstLine="426"/>
        <w:jc w:val="both"/>
        <w:rPr>
          <w:color w:val="595959" w:themeColor="text1" w:themeTint="A6"/>
          <w:szCs w:val="24"/>
          <w:lang w:eastAsia="lt-LT"/>
        </w:rPr>
      </w:pPr>
      <w:r>
        <w:rPr>
          <w:color w:val="595959" w:themeColor="text1" w:themeTint="A6"/>
          <w:szCs w:val="24"/>
          <w:lang w:eastAsia="lt-LT"/>
        </w:rPr>
        <w:t>Ataskaitiniu laikotarpiu naujai</w:t>
      </w:r>
      <w:r w:rsidR="0014483E" w:rsidRPr="0034618A">
        <w:rPr>
          <w:color w:val="595959" w:themeColor="text1" w:themeTint="A6"/>
          <w:szCs w:val="24"/>
          <w:lang w:eastAsia="lt-LT"/>
        </w:rPr>
        <w:t xml:space="preserve"> regio</w:t>
      </w:r>
      <w:r>
        <w:rPr>
          <w:color w:val="595959" w:themeColor="text1" w:themeTint="A6"/>
          <w:szCs w:val="24"/>
          <w:lang w:eastAsia="lt-LT"/>
        </w:rPr>
        <w:t>nų finansavimo modelio bandomajai iniciatyvai</w:t>
      </w:r>
      <w:r w:rsidR="0014483E" w:rsidRPr="0034618A">
        <w:rPr>
          <w:color w:val="595959" w:themeColor="text1" w:themeTint="A6"/>
          <w:szCs w:val="24"/>
          <w:lang w:eastAsia="lt-LT"/>
        </w:rPr>
        <w:t xml:space="preserve"> įgyvendinti </w:t>
      </w:r>
      <w:r>
        <w:rPr>
          <w:color w:val="595959" w:themeColor="text1" w:themeTint="A6"/>
          <w:szCs w:val="24"/>
          <w:lang w:eastAsia="lt-LT"/>
        </w:rPr>
        <w:t>skirta</w:t>
      </w:r>
      <w:r w:rsidRPr="0034618A">
        <w:rPr>
          <w:color w:val="595959" w:themeColor="text1" w:themeTint="A6"/>
          <w:szCs w:val="24"/>
          <w:lang w:eastAsia="lt-LT"/>
        </w:rPr>
        <w:t xml:space="preserve"> 9,4 mln. eurų ERPF lėšų</w:t>
      </w:r>
      <w:r>
        <w:rPr>
          <w:color w:val="595959" w:themeColor="text1" w:themeTint="A6"/>
          <w:szCs w:val="24"/>
          <w:lang w:eastAsia="lt-LT"/>
        </w:rPr>
        <w:t>. Ši iniciatyva</w:t>
      </w:r>
      <w:r w:rsidRPr="0034618A">
        <w:rPr>
          <w:color w:val="595959" w:themeColor="text1" w:themeTint="A6"/>
          <w:szCs w:val="24"/>
          <w:lang w:eastAsia="lt-LT"/>
        </w:rPr>
        <w:t xml:space="preserve"> </w:t>
      </w:r>
      <w:r>
        <w:rPr>
          <w:color w:val="595959" w:themeColor="text1" w:themeTint="A6"/>
          <w:szCs w:val="24"/>
          <w:lang w:eastAsia="lt-LT"/>
        </w:rPr>
        <w:t>suplanuota</w:t>
      </w:r>
      <w:r w:rsidR="0014483E" w:rsidRPr="0034618A">
        <w:rPr>
          <w:color w:val="595959" w:themeColor="text1" w:themeTint="A6"/>
          <w:szCs w:val="24"/>
          <w:lang w:eastAsia="lt-LT"/>
        </w:rPr>
        <w:t xml:space="preserve"> jungtinei priemonei „Funkcinių zonų vystymas“, kurios įgyvendinimas dėl šiuo metu keičiamo teisinio re</w:t>
      </w:r>
      <w:r>
        <w:rPr>
          <w:color w:val="595959" w:themeColor="text1" w:themeTint="A6"/>
          <w:szCs w:val="24"/>
          <w:lang w:eastAsia="lt-LT"/>
        </w:rPr>
        <w:t>glamentavimo kol kas nepradėtas</w:t>
      </w:r>
      <w:r w:rsidR="0014483E" w:rsidRPr="0034618A">
        <w:rPr>
          <w:color w:val="595959" w:themeColor="text1" w:themeTint="A6"/>
          <w:szCs w:val="24"/>
          <w:lang w:eastAsia="lt-LT"/>
        </w:rPr>
        <w:t>.</w:t>
      </w:r>
    </w:p>
    <w:p w:rsidR="0014483E" w:rsidRPr="0034618A" w:rsidRDefault="006E0F29" w:rsidP="002F324B">
      <w:pPr>
        <w:ind w:firstLine="426"/>
        <w:jc w:val="both"/>
        <w:rPr>
          <w:color w:val="595959" w:themeColor="text1" w:themeTint="A6"/>
          <w:szCs w:val="24"/>
          <w:lang w:eastAsia="lt-LT"/>
        </w:rPr>
      </w:pPr>
      <w:r>
        <w:rPr>
          <w:color w:val="595959" w:themeColor="text1" w:themeTint="A6"/>
          <w:szCs w:val="24"/>
          <w:lang w:eastAsia="lt-LT"/>
        </w:rPr>
        <w:t xml:space="preserve">Pažymėtina, kad </w:t>
      </w:r>
      <w:r w:rsidR="0014483E" w:rsidRPr="0034618A">
        <w:rPr>
          <w:color w:val="595959" w:themeColor="text1" w:themeTint="A6"/>
          <w:szCs w:val="24"/>
          <w:lang w:eastAsia="lt-LT"/>
        </w:rPr>
        <w:t>Vidaus reikalų ministerija tinkamai įvertino projektų sutarčių sudarymo iki 2020 m. gruodžio 31 d. galimybes bei atitinkamai perskirstė 7 prioriteto lėšas tarp atskirų priemonių, taip sutarčių iki nustatyto termino nesudarymo r</w:t>
      </w:r>
      <w:r w:rsidR="002F324B">
        <w:rPr>
          <w:color w:val="595959" w:themeColor="text1" w:themeTint="A6"/>
          <w:szCs w:val="24"/>
          <w:lang w:eastAsia="lt-LT"/>
        </w:rPr>
        <w:t>iziką sumažindama iki minimumo.</w:t>
      </w:r>
    </w:p>
    <w:p w:rsidR="0014483E" w:rsidRPr="0034618A" w:rsidRDefault="006E0F29" w:rsidP="002F324B">
      <w:pPr>
        <w:ind w:firstLine="426"/>
        <w:jc w:val="both"/>
        <w:rPr>
          <w:color w:val="595959" w:themeColor="text1" w:themeTint="A6"/>
          <w:szCs w:val="24"/>
          <w:lang w:eastAsia="lt-LT"/>
        </w:rPr>
      </w:pPr>
      <w:r>
        <w:rPr>
          <w:color w:val="595959" w:themeColor="text1" w:themeTint="A6"/>
          <w:szCs w:val="24"/>
          <w:lang w:eastAsia="lt-LT"/>
        </w:rPr>
        <w:t xml:space="preserve">Taip pat, </w:t>
      </w:r>
      <w:r w:rsidR="0014483E" w:rsidRPr="0034618A">
        <w:rPr>
          <w:color w:val="595959" w:themeColor="text1" w:themeTint="A6"/>
          <w:szCs w:val="24"/>
          <w:lang w:eastAsia="lt-LT"/>
        </w:rPr>
        <w:t xml:space="preserve">Vidaus reikalų ministerija, siekdama spartinti </w:t>
      </w:r>
      <w:r>
        <w:rPr>
          <w:color w:val="595959" w:themeColor="text1" w:themeTint="A6"/>
          <w:szCs w:val="24"/>
          <w:lang w:eastAsia="lt-LT"/>
        </w:rPr>
        <w:t>šio</w:t>
      </w:r>
      <w:r w:rsidR="0014483E" w:rsidRPr="0034618A">
        <w:rPr>
          <w:color w:val="595959" w:themeColor="text1" w:themeTint="A6"/>
          <w:szCs w:val="24"/>
          <w:lang w:eastAsia="lt-LT"/>
        </w:rPr>
        <w:t xml:space="preserve"> prioriteto projektų įgyvendinimą, kartu su CPVA išanalizavo visų projektų įgyvendinimo eigą ir komunikavo su lėčiausiai įgyvendinamų projektų vykdytojais (Vilkaviškio rajono, Kėdainių rajono ir Šilutės savivaldybių administracijomis), kad pastarieji imtųsi atitinkamų priemonių spartinti lėšų investavimą.</w:t>
      </w:r>
    </w:p>
    <w:p w:rsidR="00C92FA0" w:rsidRDefault="006E0F29" w:rsidP="002F324B">
      <w:pPr>
        <w:ind w:firstLine="426"/>
        <w:jc w:val="both"/>
        <w:rPr>
          <w:color w:val="595959" w:themeColor="text1" w:themeTint="A6"/>
          <w:szCs w:val="24"/>
          <w:lang w:eastAsia="lt-LT"/>
        </w:rPr>
      </w:pPr>
      <w:r>
        <w:rPr>
          <w:color w:val="595959" w:themeColor="text1" w:themeTint="A6"/>
          <w:szCs w:val="24"/>
          <w:lang w:eastAsia="lt-LT"/>
        </w:rPr>
        <w:t>Atsilieka m</w:t>
      </w:r>
      <w:r w:rsidR="0014483E" w:rsidRPr="0034618A">
        <w:rPr>
          <w:color w:val="595959" w:themeColor="text1" w:themeTint="A6"/>
          <w:szCs w:val="24"/>
          <w:lang w:eastAsia="lt-LT"/>
        </w:rPr>
        <w:t xml:space="preserve">iesto inžinerinės infrastruktūros, svarbios verslui, atnaujinimo ir plėtros priemonės įgyvendinimas, tačiau </w:t>
      </w:r>
      <w:r w:rsidRPr="0034618A">
        <w:rPr>
          <w:color w:val="595959" w:themeColor="text1" w:themeTint="A6"/>
          <w:szCs w:val="24"/>
          <w:lang w:eastAsia="lt-LT"/>
        </w:rPr>
        <w:t>Vidaus reikalų ministerija</w:t>
      </w:r>
      <w:r>
        <w:rPr>
          <w:color w:val="595959" w:themeColor="text1" w:themeTint="A6"/>
          <w:szCs w:val="24"/>
          <w:lang w:eastAsia="lt-LT"/>
        </w:rPr>
        <w:t>,</w:t>
      </w:r>
      <w:r w:rsidRPr="0034618A">
        <w:rPr>
          <w:color w:val="595959" w:themeColor="text1" w:themeTint="A6"/>
          <w:szCs w:val="24"/>
          <w:lang w:eastAsia="lt-LT"/>
        </w:rPr>
        <w:t xml:space="preserve"> </w:t>
      </w:r>
      <w:r w:rsidR="0014483E" w:rsidRPr="0034618A">
        <w:rPr>
          <w:color w:val="595959" w:themeColor="text1" w:themeTint="A6"/>
          <w:szCs w:val="24"/>
          <w:lang w:eastAsia="lt-LT"/>
        </w:rPr>
        <w:t xml:space="preserve">įgyvendindama 2019 m. IV ketv. LRV ataskaitoje teiktą rekomendaciją užtikrinti, kad būtų sudaryti valstybės projektų sąrašai pagal priemonės „Miesto inžinerinės infrastruktūros, svarbios verslui, atnaujinimas ir plėtra“ projektų finansavimo sąlygų aprašą Nr. 2 ir suvaldyta galimo sutarčių nesudarymo laiku (iki 2020 m. pabaigos) rizika, suplanavo 86,3 proc. priemonei skirtų lėšų. </w:t>
      </w:r>
      <w:r>
        <w:rPr>
          <w:color w:val="595959" w:themeColor="text1" w:themeTint="A6"/>
          <w:szCs w:val="24"/>
          <w:lang w:eastAsia="lt-LT"/>
        </w:rPr>
        <w:t>M</w:t>
      </w:r>
      <w:r w:rsidR="00FE7FC4" w:rsidRPr="0034618A">
        <w:rPr>
          <w:color w:val="595959" w:themeColor="text1" w:themeTint="A6"/>
          <w:szCs w:val="24"/>
          <w:lang w:eastAsia="lt-LT"/>
        </w:rPr>
        <w:t>inisterija vertina paskutinį</w:t>
      </w:r>
      <w:r w:rsidR="0014483E" w:rsidRPr="0034618A">
        <w:rPr>
          <w:color w:val="595959" w:themeColor="text1" w:themeTint="A6"/>
          <w:szCs w:val="24"/>
          <w:lang w:eastAsia="lt-LT"/>
        </w:rPr>
        <w:t xml:space="preserve"> Panevėžio miesto savivaldybės administracijos projekto „Susisiekimo su Panevėžio LEZ gerinimas, modernizuojant J. </w:t>
      </w:r>
      <w:r w:rsidR="0014483E" w:rsidRPr="00F478F9">
        <w:rPr>
          <w:color w:val="595959" w:themeColor="text1" w:themeTint="A6"/>
          <w:szCs w:val="24"/>
          <w:lang w:eastAsia="lt-LT"/>
        </w:rPr>
        <w:t>Janonio g. – Vakarinės g. – P</w:t>
      </w:r>
      <w:r w:rsidRPr="00F478F9">
        <w:rPr>
          <w:color w:val="595959" w:themeColor="text1" w:themeTint="A6"/>
          <w:szCs w:val="24"/>
          <w:lang w:eastAsia="lt-LT"/>
        </w:rPr>
        <w:t>ramonės g. sankryžą“ projektinį pasiūlymą</w:t>
      </w:r>
      <w:r w:rsidR="0014483E" w:rsidRPr="00F478F9">
        <w:rPr>
          <w:color w:val="595959" w:themeColor="text1" w:themeTint="A6"/>
          <w:szCs w:val="24"/>
          <w:lang w:eastAsia="lt-LT"/>
        </w:rPr>
        <w:t xml:space="preserve"> su investicijų projektu, kurį planuojama </w:t>
      </w:r>
      <w:r w:rsidR="00F478F9" w:rsidRPr="00F478F9">
        <w:rPr>
          <w:color w:val="595959" w:themeColor="text1" w:themeTint="A6"/>
          <w:szCs w:val="24"/>
          <w:lang w:eastAsia="lt-LT"/>
        </w:rPr>
        <w:t xml:space="preserve">įtraukti į valstybės projektų sąrašą </w:t>
      </w:r>
      <w:r w:rsidR="00FE7FC4" w:rsidRPr="00F478F9">
        <w:rPr>
          <w:color w:val="595959" w:themeColor="text1" w:themeTint="A6"/>
          <w:szCs w:val="24"/>
          <w:lang w:eastAsia="lt-LT"/>
        </w:rPr>
        <w:t xml:space="preserve">iki 2020 m. spalio 16 d. </w:t>
      </w:r>
      <w:r w:rsidR="00F478F9" w:rsidRPr="00F478F9">
        <w:rPr>
          <w:color w:val="595959" w:themeColor="text1" w:themeTint="A6"/>
          <w:szCs w:val="24"/>
          <w:lang w:eastAsia="lt-LT"/>
        </w:rPr>
        <w:t>A</w:t>
      </w:r>
      <w:r w:rsidR="00FE7FC4" w:rsidRPr="00F478F9">
        <w:rPr>
          <w:color w:val="595959" w:themeColor="text1" w:themeTint="A6"/>
          <w:szCs w:val="24"/>
          <w:lang w:eastAsia="lt-LT"/>
        </w:rPr>
        <w:t xml:space="preserve">tsižvelgdama į CPVA siūlymą, </w:t>
      </w:r>
      <w:r w:rsidR="00F478F9" w:rsidRPr="00F478F9">
        <w:rPr>
          <w:color w:val="595959" w:themeColor="text1" w:themeTint="A6"/>
          <w:szCs w:val="24"/>
          <w:lang w:eastAsia="lt-LT"/>
        </w:rPr>
        <w:t>Vidaus reikalų ministerija kreipėsi</w:t>
      </w:r>
      <w:r w:rsidR="00FE7FC4" w:rsidRPr="00F478F9">
        <w:rPr>
          <w:rStyle w:val="Puslapioinaosnuoroda"/>
          <w:color w:val="595959" w:themeColor="text1" w:themeTint="A6"/>
          <w:szCs w:val="24"/>
          <w:lang w:eastAsia="lt-LT"/>
        </w:rPr>
        <w:footnoteReference w:id="5"/>
      </w:r>
      <w:r w:rsidR="00FE7FC4" w:rsidRPr="00F478F9">
        <w:rPr>
          <w:color w:val="595959" w:themeColor="text1" w:themeTint="A6"/>
          <w:szCs w:val="24"/>
          <w:lang w:eastAsia="lt-LT"/>
        </w:rPr>
        <w:t xml:space="preserve"> į Finansų ministeriją </w:t>
      </w:r>
      <w:r w:rsidR="00F478F9" w:rsidRPr="00F478F9">
        <w:rPr>
          <w:color w:val="595959" w:themeColor="text1" w:themeTint="A6"/>
          <w:szCs w:val="24"/>
          <w:lang w:eastAsia="lt-LT"/>
        </w:rPr>
        <w:t>prašydama</w:t>
      </w:r>
      <w:r w:rsidR="00FE7FC4" w:rsidRPr="00F478F9">
        <w:rPr>
          <w:color w:val="595959" w:themeColor="text1" w:themeTint="A6"/>
          <w:szCs w:val="24"/>
          <w:lang w:eastAsia="lt-LT"/>
        </w:rPr>
        <w:t xml:space="preserve"> pratęsti projektų sutarčių sudarymo terminą iki 2021 m. kovo 31 d.</w:t>
      </w:r>
    </w:p>
    <w:p w:rsidR="007A0CEE" w:rsidRPr="0034618A" w:rsidRDefault="007A0CEE" w:rsidP="007A0CEE">
      <w:pPr>
        <w:jc w:val="both"/>
        <w:rPr>
          <w:color w:val="595959" w:themeColor="text1" w:themeTint="A6"/>
          <w:szCs w:val="24"/>
          <w:lang w:eastAsia="lt-LT"/>
        </w:rPr>
      </w:pPr>
      <w:r>
        <w:rPr>
          <w:color w:val="595959" w:themeColor="text1" w:themeTint="A6"/>
          <w:szCs w:val="24"/>
          <w:lang w:eastAsia="lt-LT"/>
        </w:rPr>
        <w:t xml:space="preserve">Atkreiptinas dėmesys, kad </w:t>
      </w:r>
      <w:r w:rsidRPr="00B6728B">
        <w:rPr>
          <w:color w:val="595959" w:themeColor="text1" w:themeTint="A6"/>
          <w:szCs w:val="24"/>
          <w:lang w:eastAsia="lt-LT"/>
        </w:rPr>
        <w:t>priemonės „Didžiųjų miestų kompleksinė plėtra“</w:t>
      </w:r>
      <w:r>
        <w:rPr>
          <w:color w:val="595959" w:themeColor="text1" w:themeTint="A6"/>
          <w:szCs w:val="24"/>
          <w:lang w:eastAsia="lt-LT"/>
        </w:rPr>
        <w:t xml:space="preserve"> įgyvendinimas išlieka probleminiu. Tarp lėčiausiai įgyvendinamų projektų </w:t>
      </w:r>
      <w:r w:rsidRPr="00B6728B">
        <w:rPr>
          <w:color w:val="595959" w:themeColor="text1" w:themeTint="A6"/>
          <w:szCs w:val="24"/>
          <w:lang w:eastAsia="lt-LT"/>
        </w:rPr>
        <w:t xml:space="preserve">identifikuoti </w:t>
      </w:r>
      <w:r>
        <w:rPr>
          <w:color w:val="595959" w:themeColor="text1" w:themeTint="A6"/>
          <w:szCs w:val="24"/>
          <w:lang w:eastAsia="lt-LT"/>
        </w:rPr>
        <w:t>5</w:t>
      </w:r>
      <w:r w:rsidRPr="00B6728B">
        <w:rPr>
          <w:color w:val="595959" w:themeColor="text1" w:themeTint="A6"/>
          <w:szCs w:val="24"/>
          <w:lang w:eastAsia="lt-LT"/>
        </w:rPr>
        <w:t xml:space="preserve"> projektai, kurių finansavimui pagal 2017 m. ir 2018 m. pasirašytas sutartis skirta </w:t>
      </w:r>
      <w:r>
        <w:rPr>
          <w:color w:val="595959" w:themeColor="text1" w:themeTint="A6"/>
          <w:szCs w:val="24"/>
          <w:lang w:eastAsia="lt-LT"/>
        </w:rPr>
        <w:t>9,5</w:t>
      </w:r>
      <w:r w:rsidRPr="00B6728B">
        <w:rPr>
          <w:color w:val="595959" w:themeColor="text1" w:themeTint="A6"/>
          <w:szCs w:val="24"/>
          <w:lang w:eastAsia="lt-LT"/>
        </w:rPr>
        <w:t xml:space="preserve"> mln. eurų, </w:t>
      </w:r>
      <w:r>
        <w:rPr>
          <w:color w:val="595959" w:themeColor="text1" w:themeTint="A6"/>
          <w:szCs w:val="24"/>
          <w:lang w:eastAsia="lt-LT"/>
        </w:rPr>
        <w:t>tačiau</w:t>
      </w:r>
      <w:r w:rsidRPr="00B6728B">
        <w:rPr>
          <w:color w:val="595959" w:themeColor="text1" w:themeTint="A6"/>
          <w:szCs w:val="24"/>
          <w:lang w:eastAsia="lt-LT"/>
        </w:rPr>
        <w:t xml:space="preserve"> išmokėta tik 1,</w:t>
      </w:r>
      <w:r>
        <w:rPr>
          <w:color w:val="595959" w:themeColor="text1" w:themeTint="A6"/>
          <w:szCs w:val="24"/>
          <w:lang w:eastAsia="lt-LT"/>
        </w:rPr>
        <w:t>1</w:t>
      </w:r>
      <w:r w:rsidRPr="00B6728B">
        <w:rPr>
          <w:color w:val="595959" w:themeColor="text1" w:themeTint="A6"/>
          <w:szCs w:val="24"/>
          <w:lang w:eastAsia="lt-LT"/>
        </w:rPr>
        <w:t xml:space="preserve"> mln. eurų,</w:t>
      </w:r>
      <w:r>
        <w:rPr>
          <w:color w:val="595959" w:themeColor="text1" w:themeTint="A6"/>
          <w:szCs w:val="24"/>
          <w:lang w:eastAsia="lt-LT"/>
        </w:rPr>
        <w:t xml:space="preserve"> t. y. per dvejus metus išmokėta </w:t>
      </w:r>
      <w:r w:rsidRPr="00B6728B">
        <w:rPr>
          <w:color w:val="595959" w:themeColor="text1" w:themeTint="A6"/>
          <w:szCs w:val="24"/>
          <w:lang w:eastAsia="lt-LT"/>
        </w:rPr>
        <w:t>1</w:t>
      </w:r>
      <w:r>
        <w:rPr>
          <w:color w:val="595959" w:themeColor="text1" w:themeTint="A6"/>
          <w:szCs w:val="24"/>
          <w:lang w:eastAsia="lt-LT"/>
        </w:rPr>
        <w:t>2</w:t>
      </w:r>
      <w:r w:rsidRPr="00B6728B">
        <w:rPr>
          <w:color w:val="595959" w:themeColor="text1" w:themeTint="A6"/>
          <w:szCs w:val="24"/>
          <w:lang w:eastAsia="lt-LT"/>
        </w:rPr>
        <w:t xml:space="preserve"> proc.,</w:t>
      </w:r>
      <w:r>
        <w:rPr>
          <w:color w:val="595959" w:themeColor="text1" w:themeTint="A6"/>
          <w:szCs w:val="24"/>
          <w:lang w:eastAsia="lt-LT"/>
        </w:rPr>
        <w:t xml:space="preserve"> Tačiau, atsižvelgiant į tai, kad Vidaus reikalų ministerija, įgyvendindama </w:t>
      </w:r>
      <w:r w:rsidRPr="008D3507">
        <w:rPr>
          <w:color w:val="595959" w:themeColor="text1" w:themeTint="A6"/>
          <w:szCs w:val="24"/>
          <w:lang w:eastAsia="lt-LT"/>
        </w:rPr>
        <w:t xml:space="preserve">2020 m. I </w:t>
      </w:r>
      <w:proofErr w:type="spellStart"/>
      <w:r w:rsidRPr="008D3507">
        <w:rPr>
          <w:color w:val="595959" w:themeColor="text1" w:themeTint="A6"/>
          <w:szCs w:val="24"/>
          <w:lang w:eastAsia="lt-LT"/>
        </w:rPr>
        <w:t>ketv</w:t>
      </w:r>
      <w:proofErr w:type="spellEnd"/>
      <w:r w:rsidRPr="008D3507">
        <w:rPr>
          <w:color w:val="595959" w:themeColor="text1" w:themeTint="A6"/>
          <w:szCs w:val="24"/>
          <w:lang w:eastAsia="lt-LT"/>
        </w:rPr>
        <w:t xml:space="preserve">. ataskaitoje </w:t>
      </w:r>
      <w:r>
        <w:rPr>
          <w:color w:val="595959" w:themeColor="text1" w:themeTint="A6"/>
          <w:szCs w:val="24"/>
          <w:lang w:eastAsia="lt-LT"/>
        </w:rPr>
        <w:t>teiktą siūlymą</w:t>
      </w:r>
      <w:r w:rsidRPr="008D3507">
        <w:rPr>
          <w:color w:val="595959" w:themeColor="text1" w:themeTint="A6"/>
          <w:szCs w:val="24"/>
          <w:lang w:eastAsia="lt-LT"/>
        </w:rPr>
        <w:t xml:space="preserve"> kartu su CPVA atlikti priemonės „Didžiųjų miestų kompleksinė plėtra“ lėšomis įgyvendinamų projektų, kuriuose per dvejus įgyvendinimo metus išmokėtų lėšų suma nesiekia 30 proc. tolesnio finansavimo tikslingumo analizę ir </w:t>
      </w:r>
      <w:r>
        <w:rPr>
          <w:color w:val="595959" w:themeColor="text1" w:themeTint="A6"/>
          <w:szCs w:val="24"/>
          <w:lang w:eastAsia="lt-LT"/>
        </w:rPr>
        <w:t>parengti reikiamus</w:t>
      </w:r>
      <w:r w:rsidRPr="008D3507">
        <w:rPr>
          <w:color w:val="595959" w:themeColor="text1" w:themeTint="A6"/>
          <w:szCs w:val="24"/>
          <w:lang w:eastAsia="lt-LT"/>
        </w:rPr>
        <w:t xml:space="preserve"> siūlymus</w:t>
      </w:r>
      <w:r>
        <w:rPr>
          <w:color w:val="595959" w:themeColor="text1" w:themeTint="A6"/>
          <w:szCs w:val="24"/>
          <w:lang w:eastAsia="lt-LT"/>
        </w:rPr>
        <w:t xml:space="preserve">, š. m. II ketvirtį </w:t>
      </w:r>
      <w:r w:rsidRPr="00C20946">
        <w:rPr>
          <w:color w:val="595959" w:themeColor="text1" w:themeTint="A6"/>
          <w:szCs w:val="24"/>
          <w:lang w:eastAsia="lt-LT"/>
        </w:rPr>
        <w:t>perskirst</w:t>
      </w:r>
      <w:r>
        <w:rPr>
          <w:color w:val="595959" w:themeColor="text1" w:themeTint="A6"/>
          <w:szCs w:val="24"/>
          <w:lang w:eastAsia="lt-LT"/>
        </w:rPr>
        <w:t>ė lėšas tarp projektų</w:t>
      </w:r>
      <w:r w:rsidRPr="00C20946">
        <w:rPr>
          <w:color w:val="595959" w:themeColor="text1" w:themeTint="A6"/>
          <w:szCs w:val="24"/>
          <w:lang w:eastAsia="lt-LT"/>
        </w:rPr>
        <w:t xml:space="preserve"> </w:t>
      </w:r>
      <w:r>
        <w:rPr>
          <w:color w:val="595959" w:themeColor="text1" w:themeTint="A6"/>
          <w:szCs w:val="24"/>
          <w:lang w:eastAsia="lt-LT"/>
        </w:rPr>
        <w:t xml:space="preserve">ir </w:t>
      </w:r>
      <w:r w:rsidRPr="00C20946">
        <w:rPr>
          <w:color w:val="595959" w:themeColor="text1" w:themeTint="A6"/>
          <w:szCs w:val="24"/>
          <w:lang w:eastAsia="lt-LT"/>
        </w:rPr>
        <w:t>atsisak</w:t>
      </w:r>
      <w:r>
        <w:rPr>
          <w:color w:val="595959" w:themeColor="text1" w:themeTint="A6"/>
          <w:szCs w:val="24"/>
          <w:lang w:eastAsia="lt-LT"/>
        </w:rPr>
        <w:t>ė</w:t>
      </w:r>
      <w:r w:rsidRPr="00C20946">
        <w:rPr>
          <w:color w:val="595959" w:themeColor="text1" w:themeTint="A6"/>
          <w:szCs w:val="24"/>
          <w:lang w:eastAsia="lt-LT"/>
        </w:rPr>
        <w:t xml:space="preserve"> keturių</w:t>
      </w:r>
      <w:r>
        <w:rPr>
          <w:color w:val="595959" w:themeColor="text1" w:themeTint="A6"/>
          <w:szCs w:val="24"/>
          <w:lang w:eastAsia="lt-LT"/>
        </w:rPr>
        <w:t xml:space="preserve"> rizikingų projektų įgyvendinimo bei įvertinus tai, kad šioje priemonėje projektų sutarčių pasirašyta už 19 mln. eurų didesnę lėšų sumą, nei skirtas finansavimas </w:t>
      </w:r>
      <w:r w:rsidRPr="008D3507">
        <w:rPr>
          <w:color w:val="595959" w:themeColor="text1" w:themeTint="A6"/>
          <w:szCs w:val="24"/>
          <w:lang w:eastAsia="lt-LT"/>
        </w:rPr>
        <w:t>bei visuose projektuose atlikti rangos darbų pirkimai</w:t>
      </w:r>
      <w:r>
        <w:rPr>
          <w:color w:val="595959" w:themeColor="text1" w:themeTint="A6"/>
          <w:szCs w:val="24"/>
          <w:lang w:eastAsia="lt-LT"/>
        </w:rPr>
        <w:t>, šioje ataskaitoje siūlymai Vidaus reikalų ministerijai neteikiami.</w:t>
      </w:r>
    </w:p>
    <w:p w:rsidR="00B6728B" w:rsidRPr="00F478F9" w:rsidRDefault="00B6728B" w:rsidP="002F324B">
      <w:pPr>
        <w:ind w:firstLine="426"/>
        <w:jc w:val="both"/>
        <w:rPr>
          <w:color w:val="595959" w:themeColor="text1" w:themeTint="A6"/>
          <w:szCs w:val="24"/>
          <w:lang w:eastAsia="lt-LT"/>
        </w:rPr>
      </w:pPr>
    </w:p>
    <w:p w:rsidR="000305AE" w:rsidRPr="00943B0C" w:rsidRDefault="000305AE" w:rsidP="0052455B">
      <w:pPr>
        <w:pStyle w:val="antrat3zz"/>
        <w:spacing w:before="0" w:after="0"/>
        <w:rPr>
          <w:rFonts w:ascii="Times New Roman" w:hAnsi="Times New Roman" w:cs="Times New Roman"/>
        </w:rPr>
      </w:pPr>
      <w:bookmarkStart w:id="27" w:name="_Toc54258638"/>
      <w:r w:rsidRPr="00943B0C">
        <w:rPr>
          <w:rFonts w:ascii="Times New Roman" w:hAnsi="Times New Roman" w:cs="Times New Roman"/>
        </w:rPr>
        <w:t>8 prioritetas. Socialinės įtraukties didinimas ir kova su skurdu</w:t>
      </w:r>
      <w:bookmarkEnd w:id="25"/>
      <w:bookmarkEnd w:id="26"/>
      <w:bookmarkEnd w:id="27"/>
      <w:r w:rsidRPr="00943B0C">
        <w:rPr>
          <w:rFonts w:ascii="Times New Roman" w:hAnsi="Times New Roman" w:cs="Times New Roman"/>
        </w:rPr>
        <w:t xml:space="preserve"> </w:t>
      </w:r>
    </w:p>
    <w:p w:rsidR="00B3224A" w:rsidRDefault="00B3224A" w:rsidP="00B3224A">
      <w:pPr>
        <w:jc w:val="both"/>
        <w:rPr>
          <w:color w:val="595959" w:themeColor="text1" w:themeTint="A6"/>
          <w:szCs w:val="24"/>
          <w:lang w:eastAsia="lt-LT"/>
        </w:rPr>
      </w:pPr>
      <w:bookmarkStart w:id="28" w:name="_Toc10104960"/>
    </w:p>
    <w:p w:rsidR="00C92FA0" w:rsidRDefault="00C92FA0" w:rsidP="00B3224A">
      <w:pPr>
        <w:jc w:val="both"/>
        <w:rPr>
          <w:color w:val="595959" w:themeColor="text1" w:themeTint="A6"/>
          <w:szCs w:val="24"/>
          <w:lang w:eastAsia="lt-LT"/>
        </w:rPr>
      </w:pPr>
      <w:r>
        <w:rPr>
          <w:noProof/>
          <w:lang w:eastAsia="lt-LT"/>
        </w:rPr>
        <w:drawing>
          <wp:inline distT="0" distB="0" distL="0" distR="0" wp14:anchorId="49C348F8" wp14:editId="1B408BA7">
            <wp:extent cx="6120130" cy="776859"/>
            <wp:effectExtent l="0" t="0" r="13970" b="23495"/>
            <wp:docPr id="29" name="Diagrama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D663D" w:rsidRDefault="002D663D" w:rsidP="00B3224A">
      <w:pPr>
        <w:jc w:val="both"/>
        <w:rPr>
          <w:color w:val="595959" w:themeColor="text1" w:themeTint="A6"/>
          <w:szCs w:val="24"/>
          <w:lang w:eastAsia="lt-LT"/>
        </w:rPr>
      </w:pPr>
    </w:p>
    <w:p w:rsidR="002D663D" w:rsidRDefault="002D663D" w:rsidP="002D663D">
      <w:pPr>
        <w:autoSpaceDE w:val="0"/>
        <w:autoSpaceDN w:val="0"/>
        <w:adjustRightInd w:val="0"/>
        <w:ind w:firstLine="426"/>
        <w:jc w:val="both"/>
        <w:rPr>
          <w:color w:val="595959" w:themeColor="text1" w:themeTint="A6"/>
          <w:szCs w:val="24"/>
          <w:lang w:eastAsia="lt-LT"/>
        </w:rPr>
      </w:pPr>
      <w:r>
        <w:rPr>
          <w:color w:val="595959" w:themeColor="text1" w:themeTint="A6"/>
          <w:szCs w:val="24"/>
          <w:lang w:eastAsia="lt-LT"/>
        </w:rPr>
        <w:t>Socialinės apsaugos ir darbo ministerijos 8 prioriteto ESF lėšomis finansuojamų priemonių įgyvendinimo rodikliai viršija Veiksmų programos vidurkį: sudaryta sutarčių 99 proc., o išmokėta projektų vykdytojams 69 proc. skirtų lėšų. ERPF lėšomis finansuojamų priemonių įgyvendinimas atsilieka: sutarčių sudaryta 70 proc., išmokėta – 48 proc. skirtų lėšų.</w:t>
      </w:r>
    </w:p>
    <w:p w:rsidR="00750AE5" w:rsidRPr="002D663D" w:rsidRDefault="00750AE5" w:rsidP="002D663D">
      <w:pPr>
        <w:autoSpaceDE w:val="0"/>
        <w:autoSpaceDN w:val="0"/>
        <w:adjustRightInd w:val="0"/>
        <w:ind w:firstLine="426"/>
        <w:jc w:val="both"/>
        <w:rPr>
          <w:color w:val="595959" w:themeColor="text1" w:themeTint="A6"/>
          <w:szCs w:val="24"/>
          <w:lang w:eastAsia="lt-LT"/>
        </w:rPr>
      </w:pPr>
      <w:r w:rsidRPr="002D663D">
        <w:rPr>
          <w:color w:val="595959" w:themeColor="text1" w:themeTint="A6"/>
          <w:szCs w:val="24"/>
          <w:lang w:eastAsia="lt-LT"/>
        </w:rPr>
        <w:t xml:space="preserve">Ministerija tęsia institucinės globos pertvarkai vykdyti skirtų veiklų planavimą ir finansavimą. Pasirašytos 65 sutartys su savivaldybėmis dėl vaikų globos pertvarkai reikalingos infrastruktūros bendruomenėse (13 mln. eurų). Tačiau dar nepradėti įgyvendinti projektai, skirti neįgaliųjų institucinės globos pertvarkai už 35,7 mln. eurų. Projektų sutartys turi būti pasirašytos iki 2020 m. pabaigos, kitaip kyla rizika nespėti įgyvendinti šių infrastruktūros projektų (projektai turi būti baigti iki 2023 m. spalio 1 dienos). </w:t>
      </w:r>
      <w:r w:rsidR="002D663D">
        <w:rPr>
          <w:color w:val="595959" w:themeColor="text1" w:themeTint="A6"/>
          <w:szCs w:val="24"/>
          <w:lang w:eastAsia="lt-LT"/>
        </w:rPr>
        <w:t>Esant būtinybei</w:t>
      </w:r>
      <w:r w:rsidRPr="002D663D">
        <w:rPr>
          <w:color w:val="595959" w:themeColor="text1" w:themeTint="A6"/>
          <w:szCs w:val="24"/>
          <w:lang w:eastAsia="lt-LT"/>
        </w:rPr>
        <w:t xml:space="preserve"> Socialinės apsaugos ir darbo ministerija išspręsti susijusius projektų išlaidų tinkamumo klausimus, </w:t>
      </w:r>
      <w:r w:rsidR="00827E28">
        <w:rPr>
          <w:color w:val="595959" w:themeColor="text1" w:themeTint="A6"/>
          <w:szCs w:val="24"/>
          <w:lang w:eastAsia="lt-LT"/>
        </w:rPr>
        <w:t>šie</w:t>
      </w:r>
      <w:r w:rsidRPr="002D663D">
        <w:rPr>
          <w:color w:val="595959" w:themeColor="text1" w:themeTint="A6"/>
          <w:szCs w:val="24"/>
          <w:lang w:eastAsia="lt-LT"/>
        </w:rPr>
        <w:t xml:space="preserve"> turi būti sprendžiami nedelsiant arba ieškoma alternatyvių būdų neužtęsti projektų įgyvendinimo pradžios.</w:t>
      </w:r>
    </w:p>
    <w:p w:rsidR="00750AE5" w:rsidRPr="002D663D" w:rsidRDefault="00827E28" w:rsidP="00827E28">
      <w:pPr>
        <w:ind w:firstLine="426"/>
        <w:jc w:val="both"/>
        <w:rPr>
          <w:color w:val="595959" w:themeColor="text1" w:themeTint="A6"/>
          <w:szCs w:val="24"/>
          <w:lang w:eastAsia="lt-LT"/>
        </w:rPr>
      </w:pPr>
      <w:r>
        <w:rPr>
          <w:color w:val="595959" w:themeColor="text1" w:themeTint="A6"/>
          <w:szCs w:val="24"/>
          <w:lang w:eastAsia="lt-LT"/>
        </w:rPr>
        <w:t>Taip pat yra v</w:t>
      </w:r>
      <w:r w:rsidR="00750AE5" w:rsidRPr="002D663D">
        <w:rPr>
          <w:color w:val="595959" w:themeColor="text1" w:themeTint="A6"/>
          <w:szCs w:val="24"/>
          <w:lang w:eastAsia="lt-LT"/>
        </w:rPr>
        <w:t xml:space="preserve">ertinami projektai, </w:t>
      </w:r>
      <w:r>
        <w:rPr>
          <w:color w:val="595959" w:themeColor="text1" w:themeTint="A6"/>
          <w:szCs w:val="24"/>
          <w:lang w:eastAsia="lt-LT"/>
        </w:rPr>
        <w:t>skirti</w:t>
      </w:r>
      <w:r w:rsidR="00750AE5" w:rsidRPr="002D663D">
        <w:rPr>
          <w:color w:val="595959" w:themeColor="text1" w:themeTint="A6"/>
          <w:szCs w:val="24"/>
          <w:lang w:eastAsia="lt-LT"/>
        </w:rPr>
        <w:t xml:space="preserve"> infrastruktūros</w:t>
      </w:r>
      <w:r>
        <w:rPr>
          <w:color w:val="595959" w:themeColor="text1" w:themeTint="A6"/>
          <w:szCs w:val="24"/>
          <w:lang w:eastAsia="lt-LT"/>
        </w:rPr>
        <w:t>,</w:t>
      </w:r>
      <w:r w:rsidR="00750AE5" w:rsidRPr="002D663D">
        <w:rPr>
          <w:color w:val="595959" w:themeColor="text1" w:themeTint="A6"/>
          <w:szCs w:val="24"/>
          <w:lang w:eastAsia="lt-LT"/>
        </w:rPr>
        <w:t xml:space="preserve"> </w:t>
      </w:r>
      <w:r>
        <w:rPr>
          <w:color w:val="595959" w:themeColor="text1" w:themeTint="A6"/>
          <w:szCs w:val="24"/>
          <w:lang w:eastAsia="lt-LT"/>
        </w:rPr>
        <w:t>pritaikytos</w:t>
      </w:r>
      <w:r w:rsidR="00750AE5" w:rsidRPr="002D663D">
        <w:rPr>
          <w:color w:val="595959" w:themeColor="text1" w:themeTint="A6"/>
          <w:szCs w:val="24"/>
          <w:lang w:eastAsia="lt-LT"/>
        </w:rPr>
        <w:t xml:space="preserve"> vaikams su negalia, vaikams, kurie dėl sveikatos būklės ar raidos sutrikimų turi specialiųjų poreikių ir jų šeimų nariams</w:t>
      </w:r>
      <w:r>
        <w:rPr>
          <w:color w:val="595959" w:themeColor="text1" w:themeTint="A6"/>
          <w:szCs w:val="24"/>
          <w:lang w:eastAsia="lt-LT"/>
        </w:rPr>
        <w:t>,</w:t>
      </w:r>
      <w:r w:rsidR="00750AE5" w:rsidRPr="002D663D">
        <w:rPr>
          <w:color w:val="595959" w:themeColor="text1" w:themeTint="A6"/>
          <w:szCs w:val="24"/>
          <w:lang w:eastAsia="lt-LT"/>
        </w:rPr>
        <w:t xml:space="preserve"> </w:t>
      </w:r>
      <w:r>
        <w:rPr>
          <w:color w:val="595959" w:themeColor="text1" w:themeTint="A6"/>
          <w:szCs w:val="24"/>
          <w:lang w:eastAsia="lt-LT"/>
        </w:rPr>
        <w:t>plėtrai. Gautų paraiškų vertė kvietimui skirtą sumą (14,11 mln. eurų) viršija 26,87 mln. eurų.</w:t>
      </w:r>
      <w:r w:rsidRPr="002D663D">
        <w:rPr>
          <w:color w:val="595959" w:themeColor="text1" w:themeTint="A6"/>
          <w:szCs w:val="24"/>
          <w:lang w:eastAsia="lt-LT"/>
        </w:rPr>
        <w:t xml:space="preserve"> </w:t>
      </w:r>
      <w:r w:rsidR="00750AE5" w:rsidRPr="002D663D">
        <w:rPr>
          <w:color w:val="595959" w:themeColor="text1" w:themeTint="A6"/>
          <w:szCs w:val="24"/>
          <w:lang w:eastAsia="lt-LT"/>
        </w:rPr>
        <w:t xml:space="preserve">Šio kvietimo projektų sutartys taip pat turi būti </w:t>
      </w:r>
      <w:r>
        <w:rPr>
          <w:color w:val="595959" w:themeColor="text1" w:themeTint="A6"/>
          <w:szCs w:val="24"/>
          <w:lang w:eastAsia="lt-LT"/>
        </w:rPr>
        <w:t>pasirašytos iki š. m. pabaigos.</w:t>
      </w:r>
    </w:p>
    <w:p w:rsidR="00750AE5" w:rsidRPr="002D663D" w:rsidRDefault="00750AE5" w:rsidP="00750AE5">
      <w:pPr>
        <w:ind w:firstLine="709"/>
        <w:jc w:val="both"/>
        <w:rPr>
          <w:color w:val="595959" w:themeColor="text1" w:themeTint="A6"/>
          <w:szCs w:val="24"/>
          <w:lang w:eastAsia="lt-LT"/>
        </w:rPr>
      </w:pPr>
      <w:r w:rsidRPr="002D663D">
        <w:rPr>
          <w:color w:val="595959" w:themeColor="text1" w:themeTint="A6"/>
          <w:szCs w:val="24"/>
          <w:lang w:eastAsia="lt-LT"/>
        </w:rPr>
        <w:t xml:space="preserve">Reaguodama į poreikį prisitaikyti prie </w:t>
      </w:r>
      <w:r w:rsidR="00827E28">
        <w:rPr>
          <w:color w:val="595959" w:themeColor="text1" w:themeTint="A6"/>
          <w:szCs w:val="24"/>
          <w:lang w:eastAsia="lt-LT"/>
        </w:rPr>
        <w:t xml:space="preserve">dėl </w:t>
      </w:r>
      <w:proofErr w:type="spellStart"/>
      <w:r w:rsidR="00827E28">
        <w:rPr>
          <w:color w:val="595959" w:themeColor="text1" w:themeTint="A6"/>
          <w:szCs w:val="24"/>
          <w:lang w:eastAsia="lt-LT"/>
        </w:rPr>
        <w:t>Covid-19</w:t>
      </w:r>
      <w:proofErr w:type="spellEnd"/>
      <w:r w:rsidRPr="002D663D">
        <w:rPr>
          <w:color w:val="595959" w:themeColor="text1" w:themeTint="A6"/>
          <w:szCs w:val="24"/>
          <w:lang w:eastAsia="lt-LT"/>
        </w:rPr>
        <w:t xml:space="preserve"> infekcijos įvedamų </w:t>
      </w:r>
      <w:r w:rsidR="00827E28">
        <w:rPr>
          <w:color w:val="595959" w:themeColor="text1" w:themeTint="A6"/>
          <w:szCs w:val="24"/>
          <w:lang w:eastAsia="lt-LT"/>
        </w:rPr>
        <w:t>apribojimų, iš sutaupytų lėšų, m</w:t>
      </w:r>
      <w:r w:rsidRPr="002D663D">
        <w:rPr>
          <w:color w:val="595959" w:themeColor="text1" w:themeTint="A6"/>
          <w:szCs w:val="24"/>
          <w:lang w:eastAsia="lt-LT"/>
        </w:rPr>
        <w:t xml:space="preserve">inisterija planuoja skirti papildomai 1 mln. eurų paslaugoms, kurios bus teikiamos šeimoms (asmenims) karantino, riboto karantino ar ekstremaliosios situacijos metu, kai visoje šalyje, tam tikrose jos teritorijose ir </w:t>
      </w:r>
      <w:proofErr w:type="gramStart"/>
      <w:r w:rsidRPr="002D663D">
        <w:rPr>
          <w:color w:val="595959" w:themeColor="text1" w:themeTint="A6"/>
          <w:szCs w:val="24"/>
          <w:lang w:eastAsia="lt-LT"/>
        </w:rPr>
        <w:t>(</w:t>
      </w:r>
      <w:proofErr w:type="gramEnd"/>
      <w:r w:rsidRPr="002D663D">
        <w:rPr>
          <w:color w:val="595959" w:themeColor="text1" w:themeTint="A6"/>
          <w:szCs w:val="24"/>
          <w:lang w:eastAsia="lt-LT"/>
        </w:rPr>
        <w:t>ar) objektuose taikomos visuomenės sveikatos saugos priemonės riboja įprastą viešųjų paslaugų teikimą ir socialiai pažeidžiamiems asmenims sukelia nenumatytus kasdienio gyvenimo sunkumus. Paslaugomis bus siekiama užtikrinti būtinuosius šeimų (asmenų) poreikius (maisto produktų, medikamentų, higienos ir (ar) kitų būtinų prekių nupirkimo ir (ar) pristatymo paslauga, pagalba sumokant mokesčius ir kt.).</w:t>
      </w:r>
    </w:p>
    <w:p w:rsidR="00750AE5" w:rsidRPr="009A5C20" w:rsidRDefault="00750AE5" w:rsidP="00750AE5">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750AE5" w:rsidRPr="0040787A" w:rsidTr="00291BD6">
        <w:tc>
          <w:tcPr>
            <w:tcW w:w="9638" w:type="dxa"/>
            <w:tcBorders>
              <w:top w:val="nil"/>
              <w:left w:val="nil"/>
              <w:bottom w:val="nil"/>
              <w:right w:val="nil"/>
            </w:tcBorders>
            <w:shd w:val="clear" w:color="auto" w:fill="D9D9D9" w:themeFill="background1" w:themeFillShade="D9"/>
          </w:tcPr>
          <w:p w:rsidR="00750AE5" w:rsidRDefault="00750AE5" w:rsidP="00750AE5">
            <w:pPr>
              <w:jc w:val="both"/>
              <w:rPr>
                <w:b/>
                <w:color w:val="365F91" w:themeColor="accent1" w:themeShade="BF"/>
              </w:rPr>
            </w:pPr>
            <w:r w:rsidRPr="004B3417">
              <w:rPr>
                <w:b/>
                <w:color w:val="365F91" w:themeColor="accent1" w:themeShade="BF"/>
              </w:rPr>
              <w:t>Siūlymas Socialinės apsaugos ir darbo ministerijai:</w:t>
            </w:r>
          </w:p>
          <w:p w:rsidR="00750AE5" w:rsidRPr="00827E28" w:rsidRDefault="00750AE5" w:rsidP="00827E28">
            <w:pPr>
              <w:jc w:val="both"/>
              <w:rPr>
                <w:color w:val="365F91" w:themeColor="accent1" w:themeShade="BF"/>
                <w:szCs w:val="24"/>
              </w:rPr>
            </w:pPr>
            <w:r w:rsidRPr="00827E28">
              <w:rPr>
                <w:color w:val="365F91" w:themeColor="accent1" w:themeShade="BF"/>
              </w:rPr>
              <w:t>- kartu su Centrine projektų valdymo agentūra imtis veiksmų, kad sutartys pagal priemones „Institucinės globos pertvarka: investicijos į infrastruktūrą“ ir „Paslaugų centrai vaikams“ būtų sudarytos iki 2020 m. pabaigos. Iki 2020 m. gruodžio 15 d. Finansų ministerijai pateikti informaciją apie šių priemonių paraiškų vertinimo eigą (už kokią sumą sudaryta ir už kokią sumą dar planuojama sudaryti sutarčių iki š. m. pabaigos pagal kiekvieną priemonę).</w:t>
            </w:r>
          </w:p>
        </w:tc>
      </w:tr>
    </w:tbl>
    <w:p w:rsidR="00C92FA0" w:rsidRDefault="00C92FA0" w:rsidP="00B3224A">
      <w:pPr>
        <w:jc w:val="both"/>
        <w:rPr>
          <w:color w:val="595959" w:themeColor="text1" w:themeTint="A6"/>
          <w:szCs w:val="24"/>
          <w:lang w:eastAsia="lt-LT"/>
        </w:rPr>
      </w:pPr>
    </w:p>
    <w:p w:rsidR="009856C4" w:rsidRDefault="009856C4" w:rsidP="00B3224A">
      <w:pPr>
        <w:jc w:val="both"/>
        <w:rPr>
          <w:color w:val="595959" w:themeColor="text1" w:themeTint="A6"/>
          <w:szCs w:val="24"/>
          <w:lang w:eastAsia="lt-LT"/>
        </w:rPr>
      </w:pPr>
    </w:p>
    <w:p w:rsidR="00C92FA0" w:rsidRDefault="00C92FA0" w:rsidP="00B3224A">
      <w:pPr>
        <w:jc w:val="both"/>
        <w:rPr>
          <w:color w:val="595959" w:themeColor="text1" w:themeTint="A6"/>
          <w:szCs w:val="24"/>
          <w:lang w:eastAsia="lt-LT"/>
        </w:rPr>
      </w:pPr>
      <w:r>
        <w:rPr>
          <w:noProof/>
          <w:lang w:eastAsia="lt-LT"/>
        </w:rPr>
        <w:drawing>
          <wp:inline distT="0" distB="0" distL="0" distR="0" wp14:anchorId="43B7105C" wp14:editId="2656C25C">
            <wp:extent cx="6120130" cy="776859"/>
            <wp:effectExtent l="0" t="0" r="13970" b="23495"/>
            <wp:docPr id="30" name="Diagra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92FA0" w:rsidRDefault="00C92FA0" w:rsidP="00B3224A">
      <w:pPr>
        <w:jc w:val="both"/>
        <w:rPr>
          <w:color w:val="595959" w:themeColor="text1" w:themeTint="A6"/>
          <w:szCs w:val="24"/>
          <w:lang w:eastAsia="lt-LT"/>
        </w:rPr>
      </w:pPr>
    </w:p>
    <w:p w:rsidR="00280AA8" w:rsidRDefault="00280AA8" w:rsidP="00280AA8">
      <w:pPr>
        <w:ind w:firstLine="426"/>
        <w:jc w:val="both"/>
        <w:rPr>
          <w:color w:val="595959" w:themeColor="text1" w:themeTint="A6"/>
          <w:szCs w:val="24"/>
          <w:lang w:eastAsia="lt-LT"/>
        </w:rPr>
      </w:pPr>
      <w:r>
        <w:rPr>
          <w:color w:val="595959" w:themeColor="text1" w:themeTint="A6"/>
          <w:szCs w:val="24"/>
          <w:lang w:eastAsia="lt-LT"/>
        </w:rPr>
        <w:t xml:space="preserve">Sveikatos apsaugos ministerija įgyvendindama projektus per III ketv. padarė pažangą: sudarytų sutarčių dalis siekia 93 proc. skirtų ERPF lėšų bei 97 proc. skirtų ESF lėšų. Taip pat, papildomai ministerijai yra numatyta 24 mln. eurų ERPF lėšų ir 6,8 mln. eurų ESF lėšų </w:t>
      </w:r>
      <w:proofErr w:type="spellStart"/>
      <w:r>
        <w:rPr>
          <w:color w:val="595959" w:themeColor="text1" w:themeTint="A6"/>
          <w:szCs w:val="24"/>
          <w:lang w:eastAsia="lt-LT"/>
        </w:rPr>
        <w:t>virškontraktavimo</w:t>
      </w:r>
      <w:proofErr w:type="spellEnd"/>
      <w:r>
        <w:rPr>
          <w:color w:val="595959" w:themeColor="text1" w:themeTint="A6"/>
          <w:szCs w:val="24"/>
          <w:lang w:eastAsia="lt-LT"/>
        </w:rPr>
        <w:t xml:space="preserve"> galimybė. </w:t>
      </w:r>
      <w:r w:rsidR="00144B35">
        <w:rPr>
          <w:color w:val="595959" w:themeColor="text1" w:themeTint="A6"/>
          <w:szCs w:val="24"/>
          <w:lang w:eastAsia="lt-LT"/>
        </w:rPr>
        <w:t>Lėšų investavimo tempas išlieka nepakankamas, ypač ESF – investuota 29 proc.</w:t>
      </w:r>
    </w:p>
    <w:p w:rsidR="00213EB0" w:rsidRPr="00213EB0" w:rsidRDefault="00213EB0" w:rsidP="00280AA8">
      <w:pPr>
        <w:ind w:firstLine="426"/>
        <w:jc w:val="both"/>
        <w:rPr>
          <w:color w:val="595959" w:themeColor="text1" w:themeTint="A6"/>
          <w:szCs w:val="24"/>
          <w:lang w:eastAsia="lt-LT"/>
        </w:rPr>
      </w:pPr>
      <w:r w:rsidRPr="00213EB0">
        <w:rPr>
          <w:color w:val="595959" w:themeColor="text1" w:themeTint="A6"/>
          <w:szCs w:val="24"/>
          <w:lang w:eastAsia="lt-LT"/>
        </w:rPr>
        <w:t>Per III ketvirtį suplanuoti nauji projektai už beveik 8 mln. eur</w:t>
      </w:r>
      <w:r w:rsidR="00144B35">
        <w:rPr>
          <w:color w:val="595959" w:themeColor="text1" w:themeTint="A6"/>
          <w:szCs w:val="24"/>
          <w:lang w:eastAsia="lt-LT"/>
        </w:rPr>
        <w:t>ų</w:t>
      </w:r>
      <w:r w:rsidRPr="00213EB0">
        <w:rPr>
          <w:color w:val="595959" w:themeColor="text1" w:themeTint="A6"/>
          <w:szCs w:val="24"/>
          <w:lang w:eastAsia="lt-LT"/>
        </w:rPr>
        <w:t xml:space="preserve">, kurie </w:t>
      </w:r>
      <w:r w:rsidR="00144B35">
        <w:rPr>
          <w:color w:val="595959" w:themeColor="text1" w:themeTint="A6"/>
          <w:szCs w:val="24"/>
          <w:lang w:eastAsia="lt-LT"/>
        </w:rPr>
        <w:t>skirti</w:t>
      </w:r>
      <w:r w:rsidRPr="00213EB0">
        <w:rPr>
          <w:color w:val="595959" w:themeColor="text1" w:themeTint="A6"/>
          <w:szCs w:val="24"/>
          <w:lang w:eastAsia="lt-LT"/>
        </w:rPr>
        <w:t xml:space="preserve"> efektyvaus pacientų srautų valdymo modelio, užtikrinančio, kad sveikatos priežiūros paslaugos asmenims, kuriems pirmą kartą įtarta onkologinė liga, būtų suteiktos laiku </w:t>
      </w:r>
      <w:r w:rsidR="00144B35">
        <w:rPr>
          <w:color w:val="595959" w:themeColor="text1" w:themeTint="A6"/>
          <w:szCs w:val="24"/>
          <w:lang w:eastAsia="lt-LT"/>
        </w:rPr>
        <w:t>(žaliasis koridorius), parengimui ir įdiegimui</w:t>
      </w:r>
      <w:r w:rsidRPr="00213EB0">
        <w:rPr>
          <w:color w:val="595959" w:themeColor="text1" w:themeTint="A6"/>
          <w:szCs w:val="24"/>
          <w:lang w:eastAsia="lt-LT"/>
        </w:rPr>
        <w:t>, efektyvių ambulat</w:t>
      </w:r>
      <w:r w:rsidR="00144B35">
        <w:rPr>
          <w:color w:val="595959" w:themeColor="text1" w:themeTint="A6"/>
          <w:szCs w:val="24"/>
          <w:lang w:eastAsia="lt-LT"/>
        </w:rPr>
        <w:t>orinės slaugos modelių plėtojimui</w:t>
      </w:r>
      <w:r w:rsidRPr="00213EB0">
        <w:rPr>
          <w:color w:val="595959" w:themeColor="text1" w:themeTint="A6"/>
          <w:szCs w:val="24"/>
          <w:lang w:eastAsia="lt-LT"/>
        </w:rPr>
        <w:t xml:space="preserve"> siekiant pasirengti integruotos ilgalaikės priežiūros vystymu</w:t>
      </w:r>
      <w:r w:rsidR="00144B35">
        <w:rPr>
          <w:color w:val="595959" w:themeColor="text1" w:themeTint="A6"/>
          <w:szCs w:val="24"/>
          <w:lang w:eastAsia="lt-LT"/>
        </w:rPr>
        <w:t>i, paslaugų prieinamumo gerinimui</w:t>
      </w:r>
      <w:r w:rsidRPr="00213EB0">
        <w:rPr>
          <w:color w:val="595959" w:themeColor="text1" w:themeTint="A6"/>
          <w:szCs w:val="24"/>
          <w:lang w:eastAsia="lt-LT"/>
        </w:rPr>
        <w:t xml:space="preserve"> asmenims, sergantiems širdies nepakankamumu (gydytojo kardiologo ir slaugytojo konsultacijos, paciento mokymas), telemedicinos skubi</w:t>
      </w:r>
      <w:r w:rsidR="00144B35">
        <w:rPr>
          <w:color w:val="595959" w:themeColor="text1" w:themeTint="A6"/>
          <w:szCs w:val="24"/>
          <w:lang w:eastAsia="lt-LT"/>
        </w:rPr>
        <w:t>osios pagalbos srityje plėtojimui</w:t>
      </w:r>
      <w:r w:rsidRPr="00213EB0">
        <w:rPr>
          <w:color w:val="595959" w:themeColor="text1" w:themeTint="A6"/>
          <w:szCs w:val="24"/>
          <w:lang w:eastAsia="lt-LT"/>
        </w:rPr>
        <w:t xml:space="preserve">. Taip pat pasirašyta 10 projektų sutarčių už 6,8 mln. eurų inovatyvių paslaugų teikimo modelių </w:t>
      </w:r>
      <w:proofErr w:type="spellStart"/>
      <w:r w:rsidRPr="00213EB0">
        <w:rPr>
          <w:color w:val="595959" w:themeColor="text1" w:themeTint="A6"/>
          <w:szCs w:val="24"/>
          <w:lang w:eastAsia="lt-LT"/>
        </w:rPr>
        <w:t>poliligotiems</w:t>
      </w:r>
      <w:proofErr w:type="spellEnd"/>
      <w:r w:rsidRPr="00213EB0">
        <w:rPr>
          <w:color w:val="595959" w:themeColor="text1" w:themeTint="A6"/>
          <w:szCs w:val="24"/>
          <w:lang w:eastAsia="lt-LT"/>
        </w:rPr>
        <w:t xml:space="preserve"> pacientams išbandymui pirminės sveikatos priežiūros grandyje.</w:t>
      </w:r>
    </w:p>
    <w:p w:rsidR="00213EB0" w:rsidRPr="00213EB0" w:rsidRDefault="00213EB0" w:rsidP="00280AA8">
      <w:pPr>
        <w:ind w:firstLine="426"/>
        <w:jc w:val="both"/>
        <w:rPr>
          <w:color w:val="595959" w:themeColor="text1" w:themeTint="A6"/>
          <w:szCs w:val="24"/>
          <w:lang w:eastAsia="lt-LT"/>
        </w:rPr>
      </w:pPr>
      <w:r w:rsidRPr="00213EB0">
        <w:rPr>
          <w:color w:val="595959" w:themeColor="text1" w:themeTint="A6"/>
          <w:szCs w:val="24"/>
          <w:lang w:eastAsia="lt-LT"/>
        </w:rPr>
        <w:t xml:space="preserve">Vis dėlto vėluoja projekto, </w:t>
      </w:r>
      <w:r w:rsidR="00144B35">
        <w:rPr>
          <w:color w:val="595959" w:themeColor="text1" w:themeTint="A6"/>
          <w:szCs w:val="24"/>
          <w:lang w:eastAsia="lt-LT"/>
        </w:rPr>
        <w:t>skirto</w:t>
      </w:r>
      <w:r w:rsidRPr="00213EB0">
        <w:rPr>
          <w:color w:val="595959" w:themeColor="text1" w:themeTint="A6"/>
          <w:szCs w:val="24"/>
          <w:lang w:eastAsia="lt-LT"/>
        </w:rPr>
        <w:t xml:space="preserve"> atrankinės patikros dėl onkologinių ligų programų koordinavimo</w:t>
      </w:r>
      <w:r w:rsidR="00144B35">
        <w:rPr>
          <w:color w:val="595959" w:themeColor="text1" w:themeTint="A6"/>
          <w:szCs w:val="24"/>
          <w:lang w:eastAsia="lt-LT"/>
        </w:rPr>
        <w:t xml:space="preserve"> centrų infrastruktūros sukūrimui</w:t>
      </w:r>
      <w:r w:rsidRPr="00213EB0">
        <w:rPr>
          <w:color w:val="595959" w:themeColor="text1" w:themeTint="A6"/>
          <w:szCs w:val="24"/>
          <w:lang w:eastAsia="lt-LT"/>
        </w:rPr>
        <w:t>, planavimas (ver</w:t>
      </w:r>
      <w:r w:rsidR="00144B35">
        <w:rPr>
          <w:color w:val="595959" w:themeColor="text1" w:themeTint="A6"/>
          <w:szCs w:val="24"/>
          <w:lang w:eastAsia="lt-LT"/>
        </w:rPr>
        <w:t>tė - 1,6 mln. eurų). Atkreiptinas dėmesys</w:t>
      </w:r>
      <w:r w:rsidRPr="00213EB0">
        <w:rPr>
          <w:color w:val="595959" w:themeColor="text1" w:themeTint="A6"/>
          <w:szCs w:val="24"/>
          <w:lang w:eastAsia="lt-LT"/>
        </w:rPr>
        <w:t>, kad infrastruktūriniai projektai yra imlūs laikui, taip pat galimos įvairios viešųjų pirkimo vykdymo, rangos ir projekto įgyvendinimo rizikos. Todėl Sveikatos apsaugos ministerija turi imtis aktyvių veiksmų, kad projekto sutartis būtų pasirašyta laiku, t. y. iki 2020 m. pabaigos.</w:t>
      </w:r>
    </w:p>
    <w:p w:rsidR="00213EB0" w:rsidRDefault="00144B35" w:rsidP="00280AA8">
      <w:pPr>
        <w:ind w:firstLine="426"/>
        <w:jc w:val="both"/>
        <w:rPr>
          <w:color w:val="595959" w:themeColor="text1" w:themeTint="A6"/>
          <w:szCs w:val="24"/>
          <w:lang w:eastAsia="lt-LT"/>
        </w:rPr>
      </w:pPr>
      <w:r>
        <w:rPr>
          <w:color w:val="595959" w:themeColor="text1" w:themeTint="A6"/>
          <w:szCs w:val="24"/>
          <w:lang w:eastAsia="lt-LT"/>
        </w:rPr>
        <w:t>Taip pat, pažymėtina</w:t>
      </w:r>
      <w:r w:rsidR="00213EB0" w:rsidRPr="00213EB0">
        <w:rPr>
          <w:color w:val="595959" w:themeColor="text1" w:themeTint="A6"/>
          <w:szCs w:val="24"/>
          <w:lang w:eastAsia="lt-LT"/>
        </w:rPr>
        <w:t>, kad dalis Ateities ekonomikos DNR plano projektų bus įgyvendinti pagal 2014</w:t>
      </w:r>
      <w:proofErr w:type="gramStart"/>
      <w:r w:rsidR="00213EB0" w:rsidRPr="00213EB0">
        <w:rPr>
          <w:color w:val="595959" w:themeColor="text1" w:themeTint="A6"/>
          <w:szCs w:val="24"/>
          <w:lang w:eastAsia="lt-LT"/>
        </w:rPr>
        <w:t>-</w:t>
      </w:r>
      <w:proofErr w:type="gramEnd"/>
      <w:r w:rsidR="00213EB0" w:rsidRPr="00213EB0">
        <w:rPr>
          <w:color w:val="595959" w:themeColor="text1" w:themeTint="A6"/>
          <w:szCs w:val="24"/>
          <w:lang w:eastAsia="lt-LT"/>
        </w:rPr>
        <w:t>2020 m. veiksmų</w:t>
      </w:r>
      <w:r>
        <w:rPr>
          <w:color w:val="595959" w:themeColor="text1" w:themeTint="A6"/>
          <w:szCs w:val="24"/>
          <w:lang w:eastAsia="lt-LT"/>
        </w:rPr>
        <w:t xml:space="preserve"> programą ir finansuojami React-</w:t>
      </w:r>
      <w:r w:rsidR="00213EB0" w:rsidRPr="00213EB0">
        <w:rPr>
          <w:color w:val="595959" w:themeColor="text1" w:themeTint="A6"/>
          <w:szCs w:val="24"/>
          <w:lang w:eastAsia="lt-LT"/>
        </w:rPr>
        <w:t>EU instrumento lėšomis. Tikėtina, kad šių projektų sutarčių sudarymas bus nukeltas į 2021 m. I ketvirtį (vertė - 28,25mln. eurų). Labai svarbu, kad Sveikatos apsaugos ministerija užtikrintų šių infrastruktūros projektų įgyvendinimą iki finansavimo laikotarp</w:t>
      </w:r>
      <w:r w:rsidR="00280AA8">
        <w:rPr>
          <w:color w:val="595959" w:themeColor="text1" w:themeTint="A6"/>
          <w:szCs w:val="24"/>
          <w:lang w:eastAsia="lt-LT"/>
        </w:rPr>
        <w:t>io pabaigos (2023 m. pabaigos).</w:t>
      </w:r>
    </w:p>
    <w:p w:rsidR="00280AA8" w:rsidRPr="00213EB0" w:rsidRDefault="00280AA8" w:rsidP="00213EB0">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827E28" w:rsidRPr="0040787A" w:rsidTr="00C4777B">
        <w:tc>
          <w:tcPr>
            <w:tcW w:w="9638" w:type="dxa"/>
            <w:tcBorders>
              <w:top w:val="nil"/>
              <w:left w:val="nil"/>
              <w:bottom w:val="nil"/>
              <w:right w:val="nil"/>
            </w:tcBorders>
            <w:shd w:val="clear" w:color="auto" w:fill="D9D9D9" w:themeFill="background1" w:themeFillShade="D9"/>
          </w:tcPr>
          <w:p w:rsidR="00827E28" w:rsidRDefault="00827E28" w:rsidP="00C4777B">
            <w:pPr>
              <w:jc w:val="both"/>
              <w:rPr>
                <w:b/>
                <w:color w:val="365F91" w:themeColor="accent1" w:themeShade="BF"/>
              </w:rPr>
            </w:pPr>
            <w:r w:rsidRPr="004B3417">
              <w:rPr>
                <w:b/>
                <w:color w:val="365F91" w:themeColor="accent1" w:themeShade="BF"/>
              </w:rPr>
              <w:t xml:space="preserve">Siūlymas </w:t>
            </w:r>
            <w:r>
              <w:rPr>
                <w:b/>
                <w:color w:val="365F91" w:themeColor="accent1" w:themeShade="BF"/>
              </w:rPr>
              <w:t>Sveikatos</w:t>
            </w:r>
            <w:r w:rsidRPr="004B3417">
              <w:rPr>
                <w:b/>
                <w:color w:val="365F91" w:themeColor="accent1" w:themeShade="BF"/>
              </w:rPr>
              <w:t xml:space="preserve"> </w:t>
            </w:r>
            <w:r>
              <w:rPr>
                <w:b/>
                <w:color w:val="365F91" w:themeColor="accent1" w:themeShade="BF"/>
              </w:rPr>
              <w:t xml:space="preserve">apsaugos </w:t>
            </w:r>
            <w:r w:rsidRPr="004B3417">
              <w:rPr>
                <w:b/>
                <w:color w:val="365F91" w:themeColor="accent1" w:themeShade="BF"/>
              </w:rPr>
              <w:t>ministerijai:</w:t>
            </w:r>
          </w:p>
          <w:p w:rsidR="00A37C3E" w:rsidRPr="00280AA8" w:rsidRDefault="009C1170" w:rsidP="00C4777B">
            <w:pPr>
              <w:jc w:val="both"/>
              <w:rPr>
                <w:color w:val="365F91" w:themeColor="accent1" w:themeShade="BF"/>
                <w:szCs w:val="24"/>
              </w:rPr>
            </w:pPr>
            <w:r>
              <w:rPr>
                <w:color w:val="365F91" w:themeColor="accent1" w:themeShade="BF"/>
                <w:szCs w:val="24"/>
              </w:rPr>
              <w:t xml:space="preserve">- </w:t>
            </w:r>
            <w:r w:rsidR="00A37C3E" w:rsidRPr="00A37C3E">
              <w:rPr>
                <w:color w:val="365F91" w:themeColor="accent1" w:themeShade="BF"/>
                <w:szCs w:val="24"/>
              </w:rPr>
              <w:t>iki 2020 m. pabaigos sudaryti projektų sutartis už 6 mln. eurų ES lėšų onkologijos, slaugos, telemedicinos ir kraujotakos sistemos ligų srityse.</w:t>
            </w:r>
          </w:p>
        </w:tc>
      </w:tr>
    </w:tbl>
    <w:p w:rsidR="00C92FA0" w:rsidRDefault="00C92FA0" w:rsidP="00B3224A">
      <w:pPr>
        <w:jc w:val="both"/>
        <w:rPr>
          <w:color w:val="595959" w:themeColor="text1" w:themeTint="A6"/>
          <w:szCs w:val="24"/>
          <w:lang w:eastAsia="lt-LT"/>
        </w:rPr>
      </w:pPr>
    </w:p>
    <w:p w:rsidR="00C92FA0" w:rsidRDefault="00C92FA0" w:rsidP="00B3224A">
      <w:pPr>
        <w:jc w:val="both"/>
        <w:rPr>
          <w:color w:val="595959" w:themeColor="text1" w:themeTint="A6"/>
          <w:szCs w:val="24"/>
          <w:lang w:eastAsia="lt-LT"/>
        </w:rPr>
      </w:pPr>
      <w:r>
        <w:rPr>
          <w:noProof/>
          <w:lang w:eastAsia="lt-LT"/>
        </w:rPr>
        <w:drawing>
          <wp:inline distT="0" distB="0" distL="0" distR="0" wp14:anchorId="0043CEC3" wp14:editId="165C8768">
            <wp:extent cx="6120130" cy="748437"/>
            <wp:effectExtent l="0" t="0" r="13970" b="13970"/>
            <wp:docPr id="384" name="Diagrama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44B35" w:rsidRPr="00C4777B" w:rsidRDefault="00144B35" w:rsidP="00B3224A">
      <w:pPr>
        <w:jc w:val="both"/>
        <w:rPr>
          <w:color w:val="595959" w:themeColor="text1" w:themeTint="A6"/>
          <w:szCs w:val="24"/>
          <w:lang w:eastAsia="lt-LT"/>
        </w:rPr>
      </w:pPr>
    </w:p>
    <w:p w:rsidR="005302BF" w:rsidRPr="00C4777B" w:rsidRDefault="005302BF" w:rsidP="00594336">
      <w:pPr>
        <w:ind w:firstLine="426"/>
        <w:jc w:val="both"/>
        <w:rPr>
          <w:color w:val="595959" w:themeColor="text1" w:themeTint="A6"/>
          <w:szCs w:val="24"/>
          <w:lang w:eastAsia="lt-LT"/>
        </w:rPr>
      </w:pPr>
      <w:r w:rsidRPr="00C4777B">
        <w:rPr>
          <w:color w:val="595959" w:themeColor="text1" w:themeTint="A6"/>
          <w:szCs w:val="24"/>
          <w:lang w:eastAsia="lt-LT"/>
        </w:rPr>
        <w:t xml:space="preserve">Vidaus reikalų ministerijos 8 prioriteto ERPF lėšomis finansuojamų priemonių įgyvendinimo sparta yra pakankama. Tačiau ESF lėšomis finansuojamų veiklų įgyvendinimas atsilieka – 17 proc. </w:t>
      </w:r>
      <w:r w:rsidR="00594336" w:rsidRPr="00C4777B">
        <w:rPr>
          <w:color w:val="595959" w:themeColor="text1" w:themeTint="A6"/>
          <w:szCs w:val="24"/>
          <w:lang w:eastAsia="lt-LT"/>
        </w:rPr>
        <w:t>ES lėšų dar vis nepaskirstyta projektams</w:t>
      </w:r>
      <w:r w:rsidRPr="00C4777B">
        <w:rPr>
          <w:color w:val="595959" w:themeColor="text1" w:themeTint="A6"/>
          <w:szCs w:val="24"/>
          <w:lang w:eastAsia="lt-LT"/>
        </w:rPr>
        <w:t>.</w:t>
      </w:r>
    </w:p>
    <w:p w:rsidR="008379C9" w:rsidRPr="00C4777B" w:rsidRDefault="008379C9" w:rsidP="008379C9">
      <w:pPr>
        <w:ind w:firstLine="426"/>
        <w:jc w:val="both"/>
        <w:rPr>
          <w:color w:val="595959" w:themeColor="text1" w:themeTint="A6"/>
          <w:szCs w:val="24"/>
          <w:lang w:eastAsia="lt-LT"/>
        </w:rPr>
      </w:pPr>
      <w:r w:rsidRPr="00C4777B">
        <w:rPr>
          <w:color w:val="595959" w:themeColor="text1" w:themeTint="A6"/>
          <w:szCs w:val="24"/>
          <w:lang w:eastAsia="lt-LT"/>
        </w:rPr>
        <w:t xml:space="preserve">Bendruomenės yra pradėjusios įgyvendinti projektų už 14,22 mln. eurų, </w:t>
      </w:r>
      <w:r w:rsidR="00594336" w:rsidRPr="00C4777B">
        <w:rPr>
          <w:color w:val="595959" w:themeColor="text1" w:themeTint="A6"/>
          <w:szCs w:val="24"/>
          <w:lang w:eastAsia="lt-LT"/>
        </w:rPr>
        <w:t xml:space="preserve">taip pat </w:t>
      </w:r>
      <w:r w:rsidRPr="00C4777B">
        <w:rPr>
          <w:color w:val="595959" w:themeColor="text1" w:themeTint="A6"/>
          <w:szCs w:val="24"/>
          <w:lang w:eastAsia="lt-LT"/>
        </w:rPr>
        <w:t>šiuo metu vertinama paraiškų už 7,14 mln. eurų (</w:t>
      </w:r>
      <w:r w:rsidR="00594336" w:rsidRPr="00C4777B">
        <w:rPr>
          <w:color w:val="595959" w:themeColor="text1" w:themeTint="A6"/>
          <w:szCs w:val="24"/>
          <w:lang w:eastAsia="lt-LT"/>
        </w:rPr>
        <w:t xml:space="preserve">papildomai </w:t>
      </w:r>
      <w:r w:rsidRPr="00C4777B">
        <w:rPr>
          <w:color w:val="595959" w:themeColor="text1" w:themeTint="A6"/>
          <w:szCs w:val="24"/>
          <w:lang w:eastAsia="lt-LT"/>
        </w:rPr>
        <w:t xml:space="preserve">šiam uždaviniui </w:t>
      </w:r>
      <w:r w:rsidR="00594336" w:rsidRPr="00C4777B">
        <w:rPr>
          <w:color w:val="595959" w:themeColor="text1" w:themeTint="A6"/>
          <w:szCs w:val="24"/>
          <w:lang w:eastAsia="lt-LT"/>
        </w:rPr>
        <w:t xml:space="preserve">sudaryta 4,6 mln. eurų </w:t>
      </w:r>
      <w:proofErr w:type="spellStart"/>
      <w:r w:rsidR="00594336" w:rsidRPr="00C4777B">
        <w:rPr>
          <w:color w:val="595959" w:themeColor="text1" w:themeTint="A6"/>
          <w:szCs w:val="24"/>
          <w:lang w:eastAsia="lt-LT"/>
        </w:rPr>
        <w:t>virškontraktavimo</w:t>
      </w:r>
      <w:proofErr w:type="spellEnd"/>
      <w:r w:rsidR="00594336" w:rsidRPr="00C4777B">
        <w:rPr>
          <w:color w:val="595959" w:themeColor="text1" w:themeTint="A6"/>
          <w:szCs w:val="24"/>
          <w:lang w:eastAsia="lt-LT"/>
        </w:rPr>
        <w:t xml:space="preserve"> galimybė</w:t>
      </w:r>
      <w:r w:rsidRPr="00C4777B">
        <w:rPr>
          <w:color w:val="595959" w:themeColor="text1" w:themeTint="A6"/>
          <w:szCs w:val="24"/>
          <w:lang w:eastAsia="lt-LT"/>
        </w:rPr>
        <w:t>), tad rizika nespėti pasirašyti finansavimo sutarčių iki š.</w:t>
      </w:r>
      <w:r w:rsidR="00594336" w:rsidRPr="00C4777B">
        <w:rPr>
          <w:color w:val="595959" w:themeColor="text1" w:themeTint="A6"/>
          <w:szCs w:val="24"/>
          <w:lang w:eastAsia="lt-LT"/>
        </w:rPr>
        <w:t xml:space="preserve"> </w:t>
      </w:r>
      <w:r w:rsidRPr="00C4777B">
        <w:rPr>
          <w:color w:val="595959" w:themeColor="text1" w:themeTint="A6"/>
          <w:szCs w:val="24"/>
          <w:lang w:eastAsia="lt-LT"/>
        </w:rPr>
        <w:t>m. gruodžio 31 d. minimali.</w:t>
      </w:r>
    </w:p>
    <w:p w:rsidR="008379C9" w:rsidRPr="00C4777B" w:rsidRDefault="008379C9" w:rsidP="008379C9">
      <w:pPr>
        <w:ind w:firstLine="426"/>
        <w:jc w:val="both"/>
        <w:rPr>
          <w:color w:val="595959" w:themeColor="text1" w:themeTint="A6"/>
          <w:szCs w:val="24"/>
          <w:lang w:eastAsia="lt-LT"/>
        </w:rPr>
      </w:pPr>
      <w:r w:rsidRPr="00C4777B">
        <w:rPr>
          <w:color w:val="595959" w:themeColor="text1" w:themeTint="A6"/>
          <w:szCs w:val="24"/>
          <w:lang w:eastAsia="lt-LT"/>
        </w:rPr>
        <w:t xml:space="preserve">Tačiau atsižvelgiant į </w:t>
      </w:r>
      <w:r w:rsidR="00594336" w:rsidRPr="00C4777B">
        <w:rPr>
          <w:color w:val="595959" w:themeColor="text1" w:themeTint="A6"/>
          <w:szCs w:val="24"/>
          <w:lang w:eastAsia="lt-LT"/>
        </w:rPr>
        <w:t>Vidaus reikalų ministerijos</w:t>
      </w:r>
      <w:r w:rsidRPr="00C4777B">
        <w:rPr>
          <w:color w:val="595959" w:themeColor="text1" w:themeTint="A6"/>
          <w:szCs w:val="24"/>
          <w:lang w:eastAsia="lt-LT"/>
        </w:rPr>
        <w:t xml:space="preserve"> sprendimą papildomai leisti bendruomenėms teikti projektų paraiškas iki 2020 m. lapkričio 5 d., yra rizika nespėti pasirašyti dalies sutarčių iki metų galo, todėl ministerija inicijavusi papildomą paraiškų teikimą, turėtų užtikrinti, kad ir pagal papildomai pateiktas paraiškas projektų sutartys būtų sudarytos iki metų pabaigos, </w:t>
      </w:r>
      <w:r w:rsidR="00594336" w:rsidRPr="00C4777B">
        <w:rPr>
          <w:color w:val="595959" w:themeColor="text1" w:themeTint="A6"/>
          <w:szCs w:val="24"/>
          <w:lang w:eastAsia="lt-LT"/>
        </w:rPr>
        <w:t>arba kitaip valdyti šią riziką.</w:t>
      </w: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8379C9" w:rsidRPr="0040787A" w:rsidTr="00FD081A">
        <w:tc>
          <w:tcPr>
            <w:tcW w:w="9638" w:type="dxa"/>
            <w:tcBorders>
              <w:top w:val="nil"/>
              <w:left w:val="nil"/>
              <w:bottom w:val="nil"/>
              <w:right w:val="nil"/>
            </w:tcBorders>
            <w:shd w:val="clear" w:color="auto" w:fill="D9D9D9" w:themeFill="background1" w:themeFillShade="D9"/>
          </w:tcPr>
          <w:p w:rsidR="008379C9" w:rsidRPr="002F587E" w:rsidRDefault="008379C9" w:rsidP="00FD081A">
            <w:pPr>
              <w:jc w:val="both"/>
              <w:rPr>
                <w:b/>
                <w:color w:val="365F91" w:themeColor="accent1" w:themeShade="BF"/>
              </w:rPr>
            </w:pPr>
            <w:r w:rsidRPr="0040787A">
              <w:rPr>
                <w:b/>
                <w:color w:val="365F91" w:themeColor="accent1" w:themeShade="BF"/>
              </w:rPr>
              <w:t xml:space="preserve">Siūlymas </w:t>
            </w:r>
            <w:r>
              <w:rPr>
                <w:b/>
                <w:color w:val="365F91" w:themeColor="accent1" w:themeShade="BF"/>
              </w:rPr>
              <w:t>Vidaus reikalų ministerijai:</w:t>
            </w:r>
          </w:p>
          <w:p w:rsidR="008379C9" w:rsidRPr="00144B35" w:rsidRDefault="00604311" w:rsidP="00604311">
            <w:pPr>
              <w:jc w:val="both"/>
              <w:rPr>
                <w:color w:val="365F91" w:themeColor="accent1" w:themeShade="BF"/>
              </w:rPr>
            </w:pPr>
            <w:r>
              <w:rPr>
                <w:color w:val="365F91" w:themeColor="accent1" w:themeShade="BF"/>
              </w:rPr>
              <w:t xml:space="preserve">- </w:t>
            </w:r>
            <w:r w:rsidRPr="00144B35">
              <w:rPr>
                <w:color w:val="365F91" w:themeColor="accent1" w:themeShade="BF"/>
              </w:rPr>
              <w:t>iki 2020-12-</w:t>
            </w:r>
            <w:r>
              <w:rPr>
                <w:color w:val="365F91" w:themeColor="accent1" w:themeShade="BF"/>
              </w:rPr>
              <w:t>31 pasirašyti</w:t>
            </w:r>
            <w:r w:rsidRPr="00144B35">
              <w:rPr>
                <w:color w:val="365F91" w:themeColor="accent1" w:themeShade="BF"/>
              </w:rPr>
              <w:t xml:space="preserve"> projektų sutar</w:t>
            </w:r>
            <w:r>
              <w:rPr>
                <w:color w:val="365F91" w:themeColor="accent1" w:themeShade="BF"/>
              </w:rPr>
              <w:t>čių už 6 mln. eurų ES lėšų</w:t>
            </w:r>
            <w:r w:rsidRPr="00144B35">
              <w:rPr>
                <w:color w:val="365F91" w:themeColor="accent1" w:themeShade="BF"/>
              </w:rPr>
              <w:t>, skirt</w:t>
            </w:r>
            <w:r>
              <w:rPr>
                <w:color w:val="365F91" w:themeColor="accent1" w:themeShade="BF"/>
              </w:rPr>
              <w:t>ų</w:t>
            </w:r>
            <w:r w:rsidRPr="00144B35">
              <w:rPr>
                <w:color w:val="365F91" w:themeColor="accent1" w:themeShade="BF"/>
              </w:rPr>
              <w:t xml:space="preserve"> įgyvendinti</w:t>
            </w:r>
            <w:proofErr w:type="gramStart"/>
            <w:r w:rsidRPr="00144B35">
              <w:rPr>
                <w:color w:val="365F91" w:themeColor="accent1" w:themeShade="BF"/>
              </w:rPr>
              <w:t xml:space="preserve"> </w:t>
            </w:r>
            <w:r w:rsidR="006240EF">
              <w:t xml:space="preserve"> </w:t>
            </w:r>
            <w:proofErr w:type="gramEnd"/>
            <w:r w:rsidR="006240EF" w:rsidRPr="006240EF">
              <w:rPr>
                <w:color w:val="365F91" w:themeColor="accent1" w:themeShade="BF"/>
              </w:rPr>
              <w:t>veiksmų programos 8.6.1 uždavinį</w:t>
            </w:r>
            <w:r w:rsidRPr="00144B35">
              <w:rPr>
                <w:color w:val="365F91" w:themeColor="accent1" w:themeShade="BF"/>
              </w:rPr>
              <w:t xml:space="preserve">. </w:t>
            </w:r>
          </w:p>
        </w:tc>
      </w:tr>
    </w:tbl>
    <w:p w:rsidR="00C92FA0" w:rsidRDefault="00C92FA0" w:rsidP="00B3224A">
      <w:pPr>
        <w:jc w:val="both"/>
        <w:rPr>
          <w:color w:val="595959" w:themeColor="text1" w:themeTint="A6"/>
          <w:szCs w:val="24"/>
          <w:lang w:eastAsia="lt-LT"/>
        </w:rPr>
      </w:pPr>
    </w:p>
    <w:p w:rsidR="000305AE" w:rsidRPr="005F274B" w:rsidRDefault="000305AE" w:rsidP="00882088">
      <w:pPr>
        <w:pStyle w:val="antrat3zz"/>
        <w:spacing w:before="0" w:after="0"/>
        <w:rPr>
          <w:rFonts w:ascii="Times New Roman" w:hAnsi="Times New Roman" w:cs="Times New Roman"/>
        </w:rPr>
      </w:pPr>
      <w:bookmarkStart w:id="29" w:name="_Toc54258639"/>
      <w:r w:rsidRPr="005F274B">
        <w:rPr>
          <w:rFonts w:ascii="Times New Roman" w:hAnsi="Times New Roman" w:cs="Times New Roman"/>
        </w:rPr>
        <w:t>9 prioritetas. Visuomenės švietimas ir žmogiškųjų išteklių potencialo didinimas</w:t>
      </w:r>
      <w:bookmarkEnd w:id="28"/>
      <w:bookmarkEnd w:id="29"/>
    </w:p>
    <w:p w:rsidR="008510B0" w:rsidRDefault="008510B0" w:rsidP="008510B0">
      <w:pPr>
        <w:pStyle w:val="tekstas"/>
        <w:ind w:firstLine="0"/>
        <w:rPr>
          <w:rFonts w:ascii="Times New Roman" w:hAnsi="Times New Roman"/>
          <w:color w:val="7F7F7F" w:themeColor="text1" w:themeTint="80"/>
          <w:lang w:eastAsia="lt-LT"/>
        </w:rPr>
      </w:pPr>
      <w:bookmarkStart w:id="30" w:name="_Toc10104961"/>
    </w:p>
    <w:p w:rsidR="00C92FA0" w:rsidRDefault="00C92FA0" w:rsidP="008510B0">
      <w:pPr>
        <w:pStyle w:val="tekstas"/>
        <w:ind w:firstLine="0"/>
        <w:rPr>
          <w:rFonts w:ascii="Times New Roman" w:hAnsi="Times New Roman"/>
          <w:color w:val="7F7F7F" w:themeColor="text1" w:themeTint="80"/>
          <w:lang w:eastAsia="lt-LT"/>
        </w:rPr>
      </w:pPr>
      <w:r>
        <w:rPr>
          <w:noProof/>
          <w:lang w:eastAsia="lt-LT"/>
        </w:rPr>
        <w:drawing>
          <wp:inline distT="0" distB="0" distL="0" distR="0" wp14:anchorId="656AE665" wp14:editId="51158F8D">
            <wp:extent cx="6120130" cy="786332"/>
            <wp:effectExtent l="0" t="0" r="13970" b="13970"/>
            <wp:docPr id="385" name="Diagrama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92FA0" w:rsidRPr="00C4777B" w:rsidRDefault="00C92FA0" w:rsidP="008510B0">
      <w:pPr>
        <w:pStyle w:val="tekstas"/>
        <w:ind w:firstLine="0"/>
        <w:rPr>
          <w:rFonts w:ascii="Times New Roman" w:hAnsi="Times New Roman"/>
          <w:color w:val="595959" w:themeColor="text1" w:themeTint="A6"/>
          <w:lang w:eastAsia="lt-LT"/>
        </w:rPr>
      </w:pPr>
    </w:p>
    <w:p w:rsidR="00C251E2" w:rsidRPr="00C4777B" w:rsidRDefault="00C251E2" w:rsidP="000F746B">
      <w:pPr>
        <w:ind w:firstLine="426"/>
        <w:jc w:val="both"/>
        <w:rPr>
          <w:color w:val="595959" w:themeColor="text1" w:themeTint="A6"/>
        </w:rPr>
      </w:pPr>
      <w:r w:rsidRPr="00C4777B">
        <w:rPr>
          <w:color w:val="595959" w:themeColor="text1" w:themeTint="A6"/>
        </w:rPr>
        <w:t xml:space="preserve">Švietimo, mokslo ir sporto ministerija jau sudarė visas (100 proc.) ERPF priemonių sutartis ir 99 proc. ESF priemonių sutarčių. </w:t>
      </w:r>
      <w:r w:rsidR="000F746B" w:rsidRPr="00C4777B">
        <w:rPr>
          <w:color w:val="595959" w:themeColor="text1" w:themeTint="A6"/>
        </w:rPr>
        <w:t xml:space="preserve">Papildomai ministerijai yra numatyta 32,7 mln. eurų ERPF lėšų ir 37,4 mln. eurų ESF lėšų </w:t>
      </w:r>
      <w:proofErr w:type="spellStart"/>
      <w:r w:rsidR="000F746B" w:rsidRPr="00C4777B">
        <w:rPr>
          <w:color w:val="595959" w:themeColor="text1" w:themeTint="A6"/>
        </w:rPr>
        <w:t>virškontraktavimo</w:t>
      </w:r>
      <w:proofErr w:type="spellEnd"/>
      <w:r w:rsidR="000F746B" w:rsidRPr="00C4777B">
        <w:rPr>
          <w:color w:val="595959" w:themeColor="text1" w:themeTint="A6"/>
        </w:rPr>
        <w:t xml:space="preserve"> galimybė. Investavimo tempas</w:t>
      </w:r>
      <w:r w:rsidRPr="00C4777B">
        <w:rPr>
          <w:color w:val="595959" w:themeColor="text1" w:themeTint="A6"/>
        </w:rPr>
        <w:t xml:space="preserve"> pagal sudarytas sutartis atitinka bendrąjį Veiksmų programos </w:t>
      </w:r>
      <w:r w:rsidR="000F746B" w:rsidRPr="00C4777B">
        <w:rPr>
          <w:color w:val="595959" w:themeColor="text1" w:themeTint="A6"/>
        </w:rPr>
        <w:t>vidurkį.</w:t>
      </w:r>
    </w:p>
    <w:p w:rsidR="000F746B" w:rsidRPr="00C4777B" w:rsidRDefault="000F746B" w:rsidP="000F746B">
      <w:pPr>
        <w:ind w:firstLine="426"/>
        <w:jc w:val="both"/>
        <w:rPr>
          <w:color w:val="595959" w:themeColor="text1" w:themeTint="A6"/>
        </w:rPr>
      </w:pPr>
      <w:r w:rsidRPr="00C4777B">
        <w:rPr>
          <w:color w:val="595959" w:themeColor="text1" w:themeTint="A6"/>
        </w:rPr>
        <w:t>Per ataskaitinį laikotarpį Švietimo, mokslo ir sporto ministerija skyrė beveik 1 mln. eurų skatinti pameistrystę – finansavimą gavo 6 profesinio mokymo centrai Vilniuje, Marijampolėje, Kėdainiuose, Elektrėnuose ir Klaipėdoje.</w:t>
      </w:r>
    </w:p>
    <w:p w:rsidR="00C251E2" w:rsidRPr="00C4777B" w:rsidRDefault="000F746B" w:rsidP="000F746B">
      <w:pPr>
        <w:ind w:firstLine="426"/>
        <w:jc w:val="both"/>
        <w:rPr>
          <w:color w:val="595959" w:themeColor="text1" w:themeTint="A6"/>
        </w:rPr>
      </w:pPr>
      <w:r w:rsidRPr="00C4777B">
        <w:rPr>
          <w:color w:val="595959" w:themeColor="text1" w:themeTint="A6"/>
        </w:rPr>
        <w:t>Taip pat</w:t>
      </w:r>
      <w:r w:rsidR="00C251E2" w:rsidRPr="00C4777B">
        <w:rPr>
          <w:color w:val="595959" w:themeColor="text1" w:themeTint="A6"/>
        </w:rPr>
        <w:t xml:space="preserve"> </w:t>
      </w:r>
      <w:r w:rsidRPr="00C4777B">
        <w:rPr>
          <w:color w:val="595959" w:themeColor="text1" w:themeTint="A6"/>
        </w:rPr>
        <w:t>už 1,4 mln. eurų m</w:t>
      </w:r>
      <w:r w:rsidR="00C251E2" w:rsidRPr="00C4777B">
        <w:rPr>
          <w:color w:val="595959" w:themeColor="text1" w:themeTint="A6"/>
        </w:rPr>
        <w:t xml:space="preserve">odernizuotos ikimokyklinio ir priešmokyklinio ugdymo įstaigos Biržų, Lazdijų, Panevėžio rajonų savivaldybėse, </w:t>
      </w:r>
      <w:r w:rsidRPr="00C4777B">
        <w:rPr>
          <w:color w:val="595959" w:themeColor="text1" w:themeTint="A6"/>
        </w:rPr>
        <w:t>papildomai investuota į bendrojo ugdymo įstaigų, jų aplinkos ir edukacinių erdvių modernizavimą Akmenės, Tauragės, Ukmergės bei Vilniaus rajonų savivaldybėse bei</w:t>
      </w:r>
      <w:r w:rsidR="00C251E2" w:rsidRPr="00C4777B">
        <w:rPr>
          <w:color w:val="595959" w:themeColor="text1" w:themeTint="A6"/>
        </w:rPr>
        <w:t xml:space="preserve"> sudarytos geresnės sąlygos vykti neformaliojo švietimo užsiėmimams Pakruojo, Šiaulių, Varėnos, Joniškio, Mažeikių bei Ukmergės rajonų savivaldybėse.</w:t>
      </w:r>
    </w:p>
    <w:p w:rsidR="00C251E2" w:rsidRPr="00C4777B" w:rsidRDefault="00CD5898" w:rsidP="000F746B">
      <w:pPr>
        <w:ind w:firstLine="426"/>
        <w:jc w:val="both"/>
        <w:rPr>
          <w:color w:val="595959" w:themeColor="text1" w:themeTint="A6"/>
        </w:rPr>
      </w:pPr>
      <w:r w:rsidRPr="00C4777B">
        <w:rPr>
          <w:color w:val="595959" w:themeColor="text1" w:themeTint="A6"/>
        </w:rPr>
        <w:t>Pažymėtina, kad v</w:t>
      </w:r>
      <w:r w:rsidR="00C251E2" w:rsidRPr="00C4777B">
        <w:rPr>
          <w:color w:val="595959" w:themeColor="text1" w:themeTint="A6"/>
        </w:rPr>
        <w:t xml:space="preserve">is dar </w:t>
      </w:r>
      <w:r w:rsidRPr="00C4777B">
        <w:rPr>
          <w:color w:val="595959" w:themeColor="text1" w:themeTint="A6"/>
        </w:rPr>
        <w:t xml:space="preserve">išlieka </w:t>
      </w:r>
      <w:r w:rsidR="00C251E2" w:rsidRPr="00C4777B">
        <w:rPr>
          <w:color w:val="595959" w:themeColor="text1" w:themeTint="A6"/>
        </w:rPr>
        <w:t>neišspręsta problema dėl Lietuvos muzikos ir teatro akademijos įgyvendinamo projekto „Lietuvos muzikos ir teatro akademijos studijų miestelio Olandų g. 21A, Vilniuje sukūrimas“, nerasti sprendimai dėl tolesnės projekto ateities, jo papildomo finansavimo.</w:t>
      </w:r>
    </w:p>
    <w:p w:rsidR="00C251E2" w:rsidRPr="00C4777B" w:rsidRDefault="00C251E2" w:rsidP="008510B0">
      <w:pPr>
        <w:pStyle w:val="tekstas"/>
        <w:ind w:firstLine="0"/>
        <w:rPr>
          <w:rFonts w:ascii="Times New Roman" w:hAnsi="Times New Roman"/>
          <w:color w:val="595959" w:themeColor="text1" w:themeTint="A6"/>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C251E2" w:rsidRPr="0040787A" w:rsidTr="00291BD6">
        <w:tc>
          <w:tcPr>
            <w:tcW w:w="9638" w:type="dxa"/>
            <w:tcBorders>
              <w:top w:val="nil"/>
              <w:left w:val="nil"/>
              <w:bottom w:val="nil"/>
              <w:right w:val="nil"/>
            </w:tcBorders>
            <w:shd w:val="clear" w:color="auto" w:fill="D9D9D9" w:themeFill="background1" w:themeFillShade="D9"/>
          </w:tcPr>
          <w:p w:rsidR="00C251E2" w:rsidRDefault="00C251E2" w:rsidP="00291BD6">
            <w:pPr>
              <w:jc w:val="both"/>
              <w:rPr>
                <w:b/>
                <w:color w:val="365F91" w:themeColor="accent1" w:themeShade="BF"/>
              </w:rPr>
            </w:pPr>
            <w:r w:rsidRPr="0040787A">
              <w:rPr>
                <w:b/>
                <w:color w:val="365F91" w:themeColor="accent1" w:themeShade="BF"/>
              </w:rPr>
              <w:t xml:space="preserve">Siūlymas </w:t>
            </w:r>
            <w:r w:rsidRPr="00637A08">
              <w:rPr>
                <w:b/>
                <w:color w:val="365F91" w:themeColor="accent1" w:themeShade="BF"/>
              </w:rPr>
              <w:t>Švietimo</w:t>
            </w:r>
            <w:r>
              <w:rPr>
                <w:b/>
                <w:color w:val="365F91" w:themeColor="accent1" w:themeShade="BF"/>
              </w:rPr>
              <w:t xml:space="preserve">, mokslo ir sporto </w:t>
            </w:r>
            <w:r w:rsidRPr="0040787A">
              <w:rPr>
                <w:b/>
                <w:color w:val="365F91" w:themeColor="accent1" w:themeShade="BF"/>
              </w:rPr>
              <w:t>ministerijai:</w:t>
            </w:r>
          </w:p>
          <w:p w:rsidR="00C251E2" w:rsidRPr="0040787A" w:rsidRDefault="00C251E2" w:rsidP="00291BD6">
            <w:pPr>
              <w:jc w:val="both"/>
              <w:rPr>
                <w:b/>
                <w:color w:val="365F91" w:themeColor="accent1" w:themeShade="BF"/>
              </w:rPr>
            </w:pPr>
            <w:r w:rsidRPr="00B64D25">
              <w:rPr>
                <w:color w:val="365F91" w:themeColor="accent1" w:themeShade="BF"/>
              </w:rPr>
              <w:t xml:space="preserve"> - iki 2020 m. </w:t>
            </w:r>
            <w:r>
              <w:rPr>
                <w:color w:val="365F91" w:themeColor="accent1" w:themeShade="BF"/>
              </w:rPr>
              <w:t>lapkričio 30</w:t>
            </w:r>
            <w:r w:rsidRPr="00B64D25">
              <w:rPr>
                <w:color w:val="365F91" w:themeColor="accent1" w:themeShade="BF"/>
              </w:rPr>
              <w:t xml:space="preserve"> d. kartu su CPVA ir LMTA </w:t>
            </w:r>
            <w:r>
              <w:rPr>
                <w:color w:val="365F91" w:themeColor="accent1" w:themeShade="BF"/>
              </w:rPr>
              <w:t>papildomai įvertinti projekto</w:t>
            </w:r>
            <w:r w:rsidRPr="00B64D25">
              <w:rPr>
                <w:color w:val="365F91" w:themeColor="accent1" w:themeShade="BF"/>
              </w:rPr>
              <w:t xml:space="preserve"> „LMTA studijų miestelio Olandų g. 21A, Vilniuje sukūrimas“, įgyvendinimo galimybes ir apie tai informuoti Finansų ministeriją.</w:t>
            </w:r>
          </w:p>
        </w:tc>
      </w:tr>
    </w:tbl>
    <w:p w:rsidR="00C251E2" w:rsidRDefault="00C251E2" w:rsidP="008510B0">
      <w:pPr>
        <w:pStyle w:val="tekstas"/>
        <w:ind w:firstLine="0"/>
        <w:rPr>
          <w:rFonts w:ascii="Times New Roman" w:hAnsi="Times New Roman"/>
          <w:color w:val="7F7F7F" w:themeColor="text1" w:themeTint="80"/>
          <w:lang w:eastAsia="lt-LT"/>
        </w:rPr>
      </w:pPr>
    </w:p>
    <w:p w:rsidR="00C92FA0" w:rsidRDefault="00C92FA0" w:rsidP="008510B0">
      <w:pPr>
        <w:pStyle w:val="tekstas"/>
        <w:ind w:firstLine="0"/>
        <w:rPr>
          <w:rFonts w:ascii="Times New Roman" w:hAnsi="Times New Roman"/>
          <w:color w:val="7F7F7F" w:themeColor="text1" w:themeTint="80"/>
          <w:lang w:eastAsia="lt-LT"/>
        </w:rPr>
      </w:pPr>
      <w:r>
        <w:rPr>
          <w:noProof/>
          <w:lang w:eastAsia="lt-LT"/>
        </w:rPr>
        <w:drawing>
          <wp:inline distT="0" distB="0" distL="0" distR="0" wp14:anchorId="4330EC6A" wp14:editId="46EA7054">
            <wp:extent cx="6120130" cy="558959"/>
            <wp:effectExtent l="0" t="0" r="13970" b="12700"/>
            <wp:docPr id="386" name="Diagrama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92FA0" w:rsidRPr="00C4777B" w:rsidRDefault="00C92FA0" w:rsidP="008510B0">
      <w:pPr>
        <w:pStyle w:val="tekstas"/>
        <w:ind w:firstLine="0"/>
        <w:rPr>
          <w:rFonts w:ascii="Times New Roman" w:hAnsi="Times New Roman"/>
          <w:color w:val="595959" w:themeColor="text1" w:themeTint="A6"/>
          <w:lang w:eastAsia="lt-LT"/>
        </w:rPr>
      </w:pPr>
    </w:p>
    <w:p w:rsidR="00CD5898" w:rsidRPr="00C4777B" w:rsidRDefault="00CD5898" w:rsidP="00CD5898">
      <w:pPr>
        <w:pStyle w:val="tekstas"/>
        <w:rPr>
          <w:rFonts w:ascii="Times New Roman" w:hAnsi="Times New Roman"/>
          <w:color w:val="595959" w:themeColor="text1" w:themeTint="A6"/>
          <w:lang w:eastAsia="lt-LT"/>
        </w:rPr>
      </w:pPr>
      <w:r w:rsidRPr="00C4777B">
        <w:rPr>
          <w:rFonts w:ascii="Times New Roman" w:hAnsi="Times New Roman"/>
          <w:color w:val="595959" w:themeColor="text1" w:themeTint="A6"/>
          <w:lang w:eastAsia="lt-LT"/>
        </w:rPr>
        <w:t>Ekonomikos ir inovacijų ministerijos administruojamų 9 prioriteto priemonių sudarytų sutarčių procentas atitinka Veiksmų programos vidurkį, tačiau žymiai atsilieka investavimas – išmokėta mažiau nei pusė (43 proc.) skirtų lėšų. Mažiausios investicijos - „Kompetencijų vaučeris“ (27 proc.) ir „Žmogiškųjų išteklių stebėsenos, prognozavimo ir plėtros mechanizmai“ (15 proc.) priemonėse.</w:t>
      </w:r>
      <w:r w:rsidR="006E3FA6">
        <w:rPr>
          <w:rFonts w:ascii="Times New Roman" w:hAnsi="Times New Roman"/>
          <w:color w:val="595959" w:themeColor="text1" w:themeTint="A6"/>
          <w:lang w:eastAsia="lt-LT"/>
        </w:rPr>
        <w:t xml:space="preserve"> Priemonės „</w:t>
      </w:r>
      <w:r w:rsidR="00D27120">
        <w:rPr>
          <w:rFonts w:ascii="Times New Roman" w:hAnsi="Times New Roman"/>
          <w:color w:val="595959" w:themeColor="text1" w:themeTint="A6"/>
          <w:lang w:eastAsia="lt-LT"/>
        </w:rPr>
        <w:t>Kompetencijų vaučeris“</w:t>
      </w:r>
      <w:r w:rsidR="006E3FA6">
        <w:rPr>
          <w:rFonts w:ascii="Times New Roman" w:hAnsi="Times New Roman"/>
          <w:color w:val="595959" w:themeColor="text1" w:themeTint="A6"/>
          <w:lang w:eastAsia="lt-LT"/>
        </w:rPr>
        <w:t xml:space="preserve"> </w:t>
      </w:r>
      <w:r w:rsidR="00D27120">
        <w:rPr>
          <w:rFonts w:ascii="Times New Roman" w:hAnsi="Times New Roman"/>
          <w:color w:val="595959" w:themeColor="text1" w:themeTint="A6"/>
          <w:lang w:eastAsia="lt-LT"/>
        </w:rPr>
        <w:t xml:space="preserve">investicijų spartą sąlygojo mokymų proceso sustojimas dėl </w:t>
      </w:r>
      <w:proofErr w:type="spellStart"/>
      <w:r w:rsidR="006E3FA6">
        <w:rPr>
          <w:rFonts w:ascii="Times New Roman" w:hAnsi="Times New Roman"/>
          <w:color w:val="595959" w:themeColor="text1" w:themeTint="A6"/>
          <w:lang w:eastAsia="lt-LT"/>
        </w:rPr>
        <w:t>Covid-19</w:t>
      </w:r>
      <w:r w:rsidR="00D27120">
        <w:rPr>
          <w:rFonts w:ascii="Times New Roman" w:hAnsi="Times New Roman"/>
          <w:color w:val="595959" w:themeColor="text1" w:themeTint="A6"/>
          <w:lang w:eastAsia="lt-LT"/>
        </w:rPr>
        <w:t>.</w:t>
      </w:r>
      <w:proofErr w:type="spellEnd"/>
      <w:r w:rsidR="00D27120">
        <w:rPr>
          <w:rFonts w:ascii="Times New Roman" w:hAnsi="Times New Roman"/>
          <w:color w:val="595959" w:themeColor="text1" w:themeTint="A6"/>
          <w:lang w:eastAsia="lt-LT"/>
        </w:rPr>
        <w:t xml:space="preserve"> Susiduriama ne tik su veiklų vykdymo apribojimais</w:t>
      </w:r>
      <w:r w:rsidR="006E3FA6">
        <w:rPr>
          <w:rFonts w:ascii="Times New Roman" w:hAnsi="Times New Roman"/>
          <w:color w:val="595959" w:themeColor="text1" w:themeTint="A6"/>
          <w:lang w:eastAsia="lt-LT"/>
        </w:rPr>
        <w:t>,</w:t>
      </w:r>
      <w:r w:rsidR="00D27120">
        <w:rPr>
          <w:rFonts w:ascii="Times New Roman" w:hAnsi="Times New Roman"/>
          <w:color w:val="595959" w:themeColor="text1" w:themeTint="A6"/>
          <w:lang w:eastAsia="lt-LT"/>
        </w:rPr>
        <w:t xml:space="preserve"> bet ir su įmonių resursų persiskirstymais – įmonės didesnį dėmesį skiria veiklos išsaugojimui, o ne darbuotojų mokymams. Atsižvelgiant į tai, kad priemonės </w:t>
      </w:r>
      <w:r w:rsidR="00D27120" w:rsidRPr="00C4777B">
        <w:rPr>
          <w:rFonts w:ascii="Times New Roman" w:hAnsi="Times New Roman"/>
          <w:color w:val="595959" w:themeColor="text1" w:themeTint="A6"/>
          <w:lang w:eastAsia="lt-LT"/>
        </w:rPr>
        <w:t>„Žmogiškųjų išteklių stebėsenos, prognozavimo ir plėtros mechanizmai“</w:t>
      </w:r>
      <w:r w:rsidR="00D27120">
        <w:rPr>
          <w:rFonts w:ascii="Times New Roman" w:hAnsi="Times New Roman"/>
          <w:color w:val="595959" w:themeColor="text1" w:themeTint="A6"/>
          <w:lang w:eastAsia="lt-LT"/>
        </w:rPr>
        <w:t xml:space="preserve"> 2 iš 5 projektų sutartys pasirašytos tik 2020 m. antroje pusėje, rekomendacijos dėl šios priemonės neteikiamos. </w:t>
      </w:r>
    </w:p>
    <w:p w:rsidR="00637A08" w:rsidRDefault="00637A08" w:rsidP="007475E3">
      <w:pPr>
        <w:tabs>
          <w:tab w:val="left" w:pos="426"/>
        </w:tabs>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6E16A7" w:rsidRPr="0040787A" w:rsidTr="006C4F73">
        <w:tc>
          <w:tcPr>
            <w:tcW w:w="9638" w:type="dxa"/>
            <w:tcBorders>
              <w:top w:val="nil"/>
              <w:left w:val="nil"/>
              <w:bottom w:val="nil"/>
              <w:right w:val="nil"/>
            </w:tcBorders>
            <w:shd w:val="clear" w:color="auto" w:fill="D9D9D9" w:themeFill="background1" w:themeFillShade="D9"/>
          </w:tcPr>
          <w:p w:rsidR="006E16A7" w:rsidRDefault="006E16A7" w:rsidP="006C4F73">
            <w:pPr>
              <w:jc w:val="both"/>
              <w:rPr>
                <w:b/>
                <w:color w:val="365F91" w:themeColor="accent1" w:themeShade="BF"/>
              </w:rPr>
            </w:pPr>
            <w:r w:rsidRPr="0040787A">
              <w:rPr>
                <w:b/>
                <w:color w:val="365F91" w:themeColor="accent1" w:themeShade="BF"/>
              </w:rPr>
              <w:t xml:space="preserve">Siūlymas </w:t>
            </w:r>
            <w:r>
              <w:rPr>
                <w:b/>
                <w:color w:val="365F91" w:themeColor="accent1" w:themeShade="BF"/>
              </w:rPr>
              <w:t xml:space="preserve">Ekonomikos ir inovacijų </w:t>
            </w:r>
            <w:r w:rsidRPr="0040787A">
              <w:rPr>
                <w:b/>
                <w:color w:val="365F91" w:themeColor="accent1" w:themeShade="BF"/>
              </w:rPr>
              <w:t>ministerijai:</w:t>
            </w:r>
          </w:p>
          <w:p w:rsidR="006E16A7" w:rsidRPr="0040787A" w:rsidRDefault="006E16A7" w:rsidP="006C4F73">
            <w:pPr>
              <w:jc w:val="both"/>
              <w:rPr>
                <w:b/>
                <w:color w:val="365F91" w:themeColor="accent1" w:themeShade="BF"/>
              </w:rPr>
            </w:pPr>
            <w:r w:rsidRPr="00B64D25">
              <w:rPr>
                <w:color w:val="365F91" w:themeColor="accent1" w:themeShade="BF"/>
              </w:rPr>
              <w:t xml:space="preserve"> - </w:t>
            </w:r>
            <w:r>
              <w:rPr>
                <w:color w:val="365F91" w:themeColor="accent1" w:themeShade="BF"/>
              </w:rPr>
              <w:t>kartu su ESFA ir INVEGA nusimatyti lėšų išmokėjimų spartos stebėsenos mechanizmą ir pastebėjus priemonėse esminius mokėjimų atsilikimus imtis rizikos valdymų priemonių.</w:t>
            </w:r>
          </w:p>
        </w:tc>
      </w:tr>
    </w:tbl>
    <w:p w:rsidR="000305AE" w:rsidRPr="00C4777B" w:rsidRDefault="000305AE" w:rsidP="00C4777B">
      <w:pPr>
        <w:pStyle w:val="antrat3zz"/>
        <w:spacing w:before="0" w:after="0"/>
        <w:rPr>
          <w:rFonts w:ascii="Times New Roman" w:hAnsi="Times New Roman" w:cs="Times New Roman"/>
        </w:rPr>
      </w:pPr>
      <w:bookmarkStart w:id="31" w:name="_Toc54258640"/>
      <w:r w:rsidRPr="00C4777B">
        <w:rPr>
          <w:rStyle w:val="antrat2ZZDiagrama"/>
          <w:rFonts w:ascii="Times New Roman" w:hAnsi="Times New Roman" w:cs="Times New Roman"/>
          <w:b/>
          <w:bCs/>
          <w:color w:val="595959" w:themeColor="text1" w:themeTint="A6"/>
          <w:sz w:val="24"/>
          <w:szCs w:val="24"/>
        </w:rPr>
        <w:t>10 prioritetas. Visuomenės</w:t>
      </w:r>
      <w:r w:rsidRPr="00C4777B">
        <w:rPr>
          <w:rFonts w:ascii="Times New Roman" w:hAnsi="Times New Roman" w:cs="Times New Roman"/>
        </w:rPr>
        <w:t xml:space="preserve"> poreikius atitinkantis ir pažangus viešasis valdymas</w:t>
      </w:r>
      <w:bookmarkEnd w:id="30"/>
      <w:bookmarkEnd w:id="31"/>
    </w:p>
    <w:p w:rsidR="007475E3" w:rsidRDefault="007475E3" w:rsidP="008510B0">
      <w:pPr>
        <w:pStyle w:val="tekstas"/>
        <w:ind w:firstLine="0"/>
        <w:rPr>
          <w:rFonts w:ascii="Times New Roman" w:hAnsi="Times New Roman"/>
          <w:color w:val="595959" w:themeColor="text1" w:themeTint="A6"/>
          <w:lang w:eastAsia="lt-LT"/>
        </w:rPr>
      </w:pPr>
      <w:bookmarkStart w:id="32" w:name="_Toc473644133"/>
    </w:p>
    <w:p w:rsidR="00C92FA0" w:rsidRDefault="00C92FA0" w:rsidP="008510B0">
      <w:pPr>
        <w:pStyle w:val="tekstas"/>
        <w:ind w:firstLine="0"/>
        <w:rPr>
          <w:rFonts w:ascii="Times New Roman" w:hAnsi="Times New Roman"/>
          <w:color w:val="595959" w:themeColor="text1" w:themeTint="A6"/>
          <w:lang w:eastAsia="lt-LT"/>
        </w:rPr>
      </w:pPr>
      <w:r>
        <w:rPr>
          <w:noProof/>
          <w:lang w:eastAsia="lt-LT"/>
        </w:rPr>
        <w:drawing>
          <wp:inline distT="0" distB="0" distL="0" distR="0" wp14:anchorId="2AD8B115" wp14:editId="42B202F1">
            <wp:extent cx="6120130" cy="568433"/>
            <wp:effectExtent l="0" t="0" r="13970" b="22225"/>
            <wp:docPr id="389" name="Diagrama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308C6" w:rsidRPr="00C4777B" w:rsidRDefault="005308C6" w:rsidP="008379C9">
      <w:pPr>
        <w:pStyle w:val="tekstas"/>
        <w:rPr>
          <w:rFonts w:ascii="Times New Roman" w:hAnsi="Times New Roman"/>
          <w:color w:val="595959" w:themeColor="text1" w:themeTint="A6"/>
          <w:lang w:eastAsia="lt-LT"/>
        </w:rPr>
      </w:pPr>
    </w:p>
    <w:p w:rsidR="008379C9" w:rsidRPr="00C4777B" w:rsidRDefault="008379C9" w:rsidP="008379C9">
      <w:pPr>
        <w:pStyle w:val="tekstas"/>
        <w:rPr>
          <w:rFonts w:ascii="Times New Roman" w:hAnsi="Times New Roman"/>
          <w:color w:val="595959" w:themeColor="text1" w:themeTint="A6"/>
          <w:lang w:eastAsia="lt-LT"/>
        </w:rPr>
      </w:pPr>
      <w:r w:rsidRPr="00C4777B">
        <w:rPr>
          <w:rFonts w:ascii="Times New Roman" w:hAnsi="Times New Roman"/>
          <w:color w:val="595959" w:themeColor="text1" w:themeTint="A6"/>
          <w:lang w:eastAsia="lt-LT"/>
        </w:rPr>
        <w:t xml:space="preserve">2020 m. III ketv. pabaigoje Vidaus reikalų ministerijos administruojamame 10 prioritete suplanuotos visos lėšos, </w:t>
      </w:r>
      <w:r w:rsidR="005308C6" w:rsidRPr="00C4777B">
        <w:rPr>
          <w:rFonts w:ascii="Times New Roman" w:hAnsi="Times New Roman"/>
          <w:color w:val="595959" w:themeColor="text1" w:themeTint="A6"/>
          <w:lang w:eastAsia="lt-LT"/>
        </w:rPr>
        <w:t>tačiau</w:t>
      </w:r>
      <w:r w:rsidRPr="00C4777B">
        <w:rPr>
          <w:rFonts w:ascii="Times New Roman" w:hAnsi="Times New Roman"/>
          <w:color w:val="595959" w:themeColor="text1" w:themeTint="A6"/>
          <w:lang w:eastAsia="lt-LT"/>
        </w:rPr>
        <w:t xml:space="preserve"> </w:t>
      </w:r>
      <w:r w:rsidR="005308C6" w:rsidRPr="00C4777B">
        <w:rPr>
          <w:rFonts w:ascii="Times New Roman" w:hAnsi="Times New Roman"/>
          <w:color w:val="595959" w:themeColor="text1" w:themeTint="A6"/>
          <w:lang w:eastAsia="lt-LT"/>
        </w:rPr>
        <w:t xml:space="preserve">kol kas </w:t>
      </w:r>
      <w:r w:rsidRPr="00C4777B">
        <w:rPr>
          <w:rFonts w:ascii="Times New Roman" w:hAnsi="Times New Roman"/>
          <w:color w:val="595959" w:themeColor="text1" w:themeTint="A6"/>
          <w:lang w:eastAsia="lt-LT"/>
        </w:rPr>
        <w:t xml:space="preserve">investuota </w:t>
      </w:r>
      <w:r w:rsidR="005308C6" w:rsidRPr="00C4777B">
        <w:rPr>
          <w:rFonts w:ascii="Times New Roman" w:hAnsi="Times New Roman"/>
          <w:color w:val="595959" w:themeColor="text1" w:themeTint="A6"/>
          <w:lang w:eastAsia="lt-LT"/>
        </w:rPr>
        <w:t>mažiau nei pusė (</w:t>
      </w:r>
      <w:r w:rsidRPr="00C4777B">
        <w:rPr>
          <w:rFonts w:ascii="Times New Roman" w:hAnsi="Times New Roman"/>
          <w:color w:val="595959" w:themeColor="text1" w:themeTint="A6"/>
          <w:lang w:eastAsia="lt-LT"/>
        </w:rPr>
        <w:t>41 proc.</w:t>
      </w:r>
      <w:r w:rsidR="005308C6" w:rsidRPr="00C4777B">
        <w:rPr>
          <w:rFonts w:ascii="Times New Roman" w:hAnsi="Times New Roman"/>
          <w:color w:val="595959" w:themeColor="text1" w:themeTint="A6"/>
          <w:lang w:eastAsia="lt-LT"/>
        </w:rPr>
        <w:t>) skirtų</w:t>
      </w:r>
      <w:r w:rsidRPr="00C4777B">
        <w:rPr>
          <w:rFonts w:ascii="Times New Roman" w:hAnsi="Times New Roman"/>
          <w:color w:val="595959" w:themeColor="text1" w:themeTint="A6"/>
          <w:lang w:eastAsia="lt-LT"/>
        </w:rPr>
        <w:t xml:space="preserve"> lėšų. </w:t>
      </w:r>
    </w:p>
    <w:p w:rsidR="005308C6" w:rsidRPr="00C4777B" w:rsidRDefault="008379C9" w:rsidP="008379C9">
      <w:pPr>
        <w:ind w:firstLine="426"/>
        <w:jc w:val="both"/>
        <w:rPr>
          <w:color w:val="595959" w:themeColor="text1" w:themeTint="A6"/>
          <w:szCs w:val="24"/>
          <w:lang w:eastAsia="lt-LT"/>
        </w:rPr>
      </w:pPr>
      <w:r w:rsidRPr="00C4777B">
        <w:rPr>
          <w:color w:val="595959" w:themeColor="text1" w:themeTint="A6"/>
          <w:szCs w:val="24"/>
          <w:lang w:eastAsia="lt-LT"/>
        </w:rPr>
        <w:t xml:space="preserve">Vidaus reikalų ministerija šiuo metu yra įtraukusi į finansuotinų projektų sąrašus visus projektus įskaitant ir iš 10 prioritetui leidžiamo </w:t>
      </w:r>
      <w:proofErr w:type="spellStart"/>
      <w:r w:rsidRPr="00C4777B">
        <w:rPr>
          <w:color w:val="595959" w:themeColor="text1" w:themeTint="A6"/>
          <w:szCs w:val="24"/>
          <w:lang w:eastAsia="lt-LT"/>
        </w:rPr>
        <w:t>virškontraktavimo</w:t>
      </w:r>
      <w:proofErr w:type="spellEnd"/>
      <w:r w:rsidRPr="00C4777B">
        <w:rPr>
          <w:color w:val="595959" w:themeColor="text1" w:themeTint="A6"/>
          <w:szCs w:val="24"/>
          <w:lang w:eastAsia="lt-LT"/>
        </w:rPr>
        <w:t xml:space="preserve"> lėšų. Pažymėtina, kad iki šiol nepasirašyta sutarčių už 8,9 mln. eurų, tačiau rizika nespėti pasirašyti sutarčių yra minimali, nes vis</w:t>
      </w:r>
      <w:r w:rsidR="005308C6" w:rsidRPr="00C4777B">
        <w:rPr>
          <w:color w:val="595959" w:themeColor="text1" w:themeTint="A6"/>
          <w:szCs w:val="24"/>
          <w:lang w:eastAsia="lt-LT"/>
        </w:rPr>
        <w:t>i likę projektai yra vertinami.</w:t>
      </w:r>
    </w:p>
    <w:p w:rsidR="008379C9" w:rsidRPr="00C4777B" w:rsidRDefault="008379C9" w:rsidP="008379C9">
      <w:pPr>
        <w:ind w:firstLine="426"/>
        <w:jc w:val="both"/>
        <w:rPr>
          <w:color w:val="595959" w:themeColor="text1" w:themeTint="A6"/>
          <w:szCs w:val="24"/>
          <w:lang w:eastAsia="lt-LT"/>
        </w:rPr>
      </w:pPr>
      <w:r w:rsidRPr="00C4777B">
        <w:rPr>
          <w:color w:val="595959" w:themeColor="text1" w:themeTint="A6"/>
          <w:szCs w:val="24"/>
          <w:lang w:eastAsia="lt-LT"/>
        </w:rPr>
        <w:t>Atkreiptinas dėmesys, jog investavimas projektuose pernelyg lėtas, t.y. per vieną kalendorinį ketvirtį išmokėjimai padidėjo tik 3 proc. nuo skirto finansavimo, todėl Vidaus reikalų ministerija kartu su įgyvendinančiosiomis institucijomis turėtų įvertinti investavimo vėlavimo priežastis projektuose ir imtis veiksmų spartinti investicijas arba valdyti riziką tinkamai užbaigti projektus. Ypač atkreiptinas dėmesys į 10.1.5 uždavinio „Pagerinti žmogiškųjų išteklių valdymą valstybinėje tarnyboje“ projektams skirtų lėšų išmokėjimo spartą, kadangi išmokėta tik 15 proc. uždaviniui skirto finansavimo, taip pat 10.1.1 uždavinio priemonę, kuria įgyvendinamas valstybės institucijų ir įstaigų vidaus administravimo tobulinimas (išmokėta 12 proc. priemonei skirto finansavimo).</w:t>
      </w:r>
    </w:p>
    <w:p w:rsidR="007475E3" w:rsidRPr="00C4777B" w:rsidRDefault="007475E3" w:rsidP="008510B0">
      <w:pPr>
        <w:pStyle w:val="tekstas"/>
        <w:ind w:firstLine="0"/>
        <w:rPr>
          <w:rFonts w:ascii="Times New Roman" w:hAnsi="Times New Roman"/>
          <w:color w:val="595959" w:themeColor="text1" w:themeTint="A6"/>
          <w:lang w:eastAsia="lt-LT"/>
        </w:rPr>
      </w:pPr>
    </w:p>
    <w:p w:rsidR="00F57009" w:rsidRPr="00F57009" w:rsidRDefault="007475E3" w:rsidP="00C92FA0">
      <w:pPr>
        <w:pStyle w:val="Antrat1"/>
        <w:spacing w:before="0" w:after="0"/>
        <w:ind w:left="426"/>
        <w:rPr>
          <w:rFonts w:ascii="Times New Roman" w:hAnsi="Times New Roman" w:cs="Times New Roman"/>
        </w:rPr>
      </w:pPr>
      <w:bookmarkStart w:id="33" w:name="_Toc54258641"/>
      <w:r>
        <w:rPr>
          <w:rFonts w:ascii="Times New Roman" w:hAnsi="Times New Roman" w:cs="Times New Roman"/>
        </w:rPr>
        <w:t>Valstybės kontrolė</w:t>
      </w:r>
      <w:r w:rsidR="005308C6">
        <w:rPr>
          <w:rFonts w:ascii="Times New Roman" w:hAnsi="Times New Roman" w:cs="Times New Roman"/>
        </w:rPr>
        <w:t>s pastebėjimai</w:t>
      </w:r>
      <w:bookmarkEnd w:id="33"/>
    </w:p>
    <w:p w:rsidR="00F57009" w:rsidRPr="00C4777B" w:rsidRDefault="00F57009" w:rsidP="008510B0">
      <w:pPr>
        <w:pStyle w:val="tekstas"/>
        <w:ind w:firstLine="0"/>
        <w:rPr>
          <w:rFonts w:ascii="Times New Roman" w:hAnsi="Times New Roman"/>
          <w:color w:val="595959" w:themeColor="text1" w:themeTint="A6"/>
          <w:lang w:eastAsia="lt-LT"/>
        </w:rPr>
      </w:pPr>
    </w:p>
    <w:p w:rsidR="00076A27" w:rsidRDefault="00076A27" w:rsidP="00076A27">
      <w:pPr>
        <w:autoSpaceDE w:val="0"/>
        <w:autoSpaceDN w:val="0"/>
        <w:adjustRightInd w:val="0"/>
        <w:ind w:firstLine="426"/>
        <w:jc w:val="both"/>
        <w:rPr>
          <w:color w:val="595959" w:themeColor="text1" w:themeTint="A6"/>
          <w:szCs w:val="24"/>
          <w:lang w:eastAsia="lt-LT"/>
        </w:rPr>
      </w:pPr>
      <w:r w:rsidRPr="00076A27">
        <w:rPr>
          <w:color w:val="595959" w:themeColor="text1" w:themeTint="A6"/>
          <w:szCs w:val="24"/>
          <w:lang w:eastAsia="lt-LT"/>
        </w:rPr>
        <w:t xml:space="preserve">Atlikusi procesų ir procedūrų vertinimą Valstybės kontrolė 2020 m. spalio 13 dieną Vidaus reikalų ministerijai pateikė tarpinius sistemų audito rezultatus, kurių metu ministerijai pateikti 7 pastebėjimai. Vidaus reikalų ministerijos vidaus kontrolės sistema įvertinta 3, kas reiškia, kad sistema veikia iš dalies, ją reikia iš esmės tobulinti. Pastebėjimai, </w:t>
      </w:r>
      <w:r>
        <w:rPr>
          <w:color w:val="595959" w:themeColor="text1" w:themeTint="A6"/>
          <w:szCs w:val="24"/>
          <w:lang w:eastAsia="lt-LT"/>
        </w:rPr>
        <w:t>turėję didžiausią įtaką vertinimui</w:t>
      </w:r>
      <w:r w:rsidRPr="00076A27">
        <w:rPr>
          <w:color w:val="595959" w:themeColor="text1" w:themeTint="A6"/>
          <w:szCs w:val="24"/>
          <w:lang w:eastAsia="lt-LT"/>
        </w:rPr>
        <w:t xml:space="preserve">, susiję su integruotų teritorijų programų vystymo ir vietos veiklos grupių įgyvendinimo priežiūros, stebėsenos ir pažangos vertinimo netinkamu vykdymu. </w:t>
      </w:r>
    </w:p>
    <w:p w:rsidR="00076A27" w:rsidRPr="00076A27" w:rsidRDefault="00076A27" w:rsidP="00076A27">
      <w:pPr>
        <w:autoSpaceDE w:val="0"/>
        <w:autoSpaceDN w:val="0"/>
        <w:adjustRightInd w:val="0"/>
        <w:ind w:firstLine="426"/>
        <w:jc w:val="both"/>
        <w:rPr>
          <w:color w:val="595959" w:themeColor="text1" w:themeTint="A6"/>
          <w:szCs w:val="24"/>
          <w:lang w:eastAsia="lt-LT"/>
        </w:rPr>
      </w:pPr>
      <w:r w:rsidRPr="00076A27">
        <w:rPr>
          <w:color w:val="595959" w:themeColor="text1" w:themeTint="A6"/>
          <w:szCs w:val="24"/>
          <w:lang w:eastAsia="lt-LT"/>
        </w:rPr>
        <w:t xml:space="preserve">Teisės aktuose Vidaus reikalų ministerijai nustatyta atsakomybė pagal kompetenciją prižiūrėti, kad ES struktūrinių fondų lėšos regionų projektams būtų planuojamos taip, kad jos nebūtų prarastos. T.y. ministerija turi atlikti vietos plėtros strategijų ir integruotų teritorijų vystymo programų įgyvendinimo priežiūrą, stebėseną, teikti veiklos grupėms pasiūlymus dėl strategijų ir programų įgyvendinimo. Tokia įgyvendinimo priežiūra nebuvo atliekama tinamai. Valstybės kontrolė nustatė, kad pakankamos priemonės, užtikrinančios priežiūros ir pažangos vertinimą nenusimatytos ir procedūrų vadovuose. </w:t>
      </w:r>
    </w:p>
    <w:p w:rsidR="00076A27" w:rsidRPr="00076A27" w:rsidRDefault="00076A27" w:rsidP="00076A27">
      <w:pPr>
        <w:autoSpaceDE w:val="0"/>
        <w:autoSpaceDN w:val="0"/>
        <w:adjustRightInd w:val="0"/>
        <w:ind w:firstLine="426"/>
        <w:jc w:val="both"/>
        <w:rPr>
          <w:color w:val="595959" w:themeColor="text1" w:themeTint="A6"/>
          <w:szCs w:val="24"/>
          <w:lang w:eastAsia="lt-LT"/>
        </w:rPr>
      </w:pPr>
      <w:r w:rsidRPr="00076A27">
        <w:rPr>
          <w:color w:val="595959" w:themeColor="text1" w:themeTint="A6"/>
          <w:szCs w:val="24"/>
          <w:lang w:eastAsia="lt-LT"/>
        </w:rPr>
        <w:t xml:space="preserve">Svarbu pažymėti tai, kad Vidaus reikalų ministerija 2016 </w:t>
      </w:r>
      <w:proofErr w:type="gramStart"/>
      <w:r w:rsidRPr="00076A27">
        <w:rPr>
          <w:color w:val="595959" w:themeColor="text1" w:themeTint="A6"/>
          <w:szCs w:val="24"/>
          <w:lang w:eastAsia="lt-LT"/>
        </w:rPr>
        <w:t>-</w:t>
      </w:r>
      <w:proofErr w:type="gramEnd"/>
      <w:r w:rsidRPr="00076A27">
        <w:rPr>
          <w:color w:val="595959" w:themeColor="text1" w:themeTint="A6"/>
          <w:szCs w:val="24"/>
          <w:lang w:eastAsia="lt-LT"/>
        </w:rPr>
        <w:t xml:space="preserve"> 2017 metų audito metu dėl netinkamo integruotų teritorinių investicijų planavimo ir panaudojimo koordinavimo, bei negalėjimo įsitikinti 5 didžiųjų miestų savivaldybių tikslinių teritorijų ir su jomis susietų teritorijų, kuriose bus remiami miestų tvarios plėtros veiksmai, tinkamumo vertinimo atlikimu</w:t>
      </w:r>
      <w:r>
        <w:rPr>
          <w:color w:val="595959" w:themeColor="text1" w:themeTint="A6"/>
          <w:szCs w:val="24"/>
          <w:lang w:eastAsia="lt-LT"/>
        </w:rPr>
        <w:t xml:space="preserve"> jau buvo gavusi įvertinimą- 3.</w:t>
      </w:r>
    </w:p>
    <w:p w:rsidR="00610794" w:rsidRPr="00C4777B" w:rsidRDefault="00076A27" w:rsidP="00076A27">
      <w:pPr>
        <w:autoSpaceDE w:val="0"/>
        <w:autoSpaceDN w:val="0"/>
        <w:adjustRightInd w:val="0"/>
        <w:ind w:firstLine="426"/>
        <w:jc w:val="both"/>
        <w:rPr>
          <w:color w:val="595959" w:themeColor="text1" w:themeTint="A6"/>
          <w:szCs w:val="24"/>
          <w:lang w:eastAsia="lt-LT"/>
        </w:rPr>
      </w:pPr>
      <w:r w:rsidRPr="00076A27">
        <w:rPr>
          <w:color w:val="595959" w:themeColor="text1" w:themeTint="A6"/>
          <w:szCs w:val="24"/>
          <w:lang w:eastAsia="lt-LT"/>
        </w:rPr>
        <w:t>Atkreiptinas dėmesys, kad Europos Parlamento ir Tarybos Reglamento (ES) Nr. 1303/2013 142 straipsnis numato, kad Komisija gali sustabdyti visus tarpinius mokėjimus arba jų dalį, jei veiksmų programos valdymo ir kontrolės sistemoje esama didelių veiksmingo veikimo trūkumų.</w:t>
      </w:r>
    </w:p>
    <w:p w:rsidR="007475E3" w:rsidRPr="00C4777B" w:rsidRDefault="007475E3" w:rsidP="009D6F0B">
      <w:pPr>
        <w:jc w:val="both"/>
        <w:rPr>
          <w:color w:val="595959" w:themeColor="text1" w:themeTint="A6"/>
          <w:szCs w:val="24"/>
          <w:lang w:eastAsia="lt-LT"/>
        </w:rPr>
      </w:pPr>
    </w:p>
    <w:tbl>
      <w:tblPr>
        <w:tblStyle w:val="Lentelstinklelis"/>
        <w:tblpPr w:leftFromText="180" w:rightFromText="180" w:vertAnchor="text" w:horzAnchor="margin" w:tblpY="15"/>
        <w:tblW w:w="0" w:type="auto"/>
        <w:shd w:val="clear" w:color="auto" w:fill="D9D9D9" w:themeFill="background1" w:themeFillShade="D9"/>
        <w:tblLook w:val="04A0" w:firstRow="1" w:lastRow="0" w:firstColumn="1" w:lastColumn="0" w:noHBand="0" w:noVBand="1"/>
      </w:tblPr>
      <w:tblGrid>
        <w:gridCol w:w="9638"/>
      </w:tblGrid>
      <w:tr w:rsidR="00610794" w:rsidRPr="0040787A" w:rsidTr="00D1715B">
        <w:tc>
          <w:tcPr>
            <w:tcW w:w="9638" w:type="dxa"/>
            <w:tcBorders>
              <w:top w:val="nil"/>
              <w:left w:val="nil"/>
              <w:bottom w:val="nil"/>
              <w:right w:val="nil"/>
            </w:tcBorders>
            <w:shd w:val="clear" w:color="auto" w:fill="D9D9D9" w:themeFill="background1" w:themeFillShade="D9"/>
          </w:tcPr>
          <w:p w:rsidR="00610794" w:rsidRPr="00207261" w:rsidRDefault="00610794" w:rsidP="00D1715B">
            <w:pPr>
              <w:jc w:val="both"/>
              <w:rPr>
                <w:b/>
                <w:color w:val="1F497D" w:themeColor="text2"/>
              </w:rPr>
            </w:pPr>
            <w:r w:rsidRPr="00207261">
              <w:rPr>
                <w:b/>
                <w:color w:val="1F497D" w:themeColor="text2"/>
              </w:rPr>
              <w:t xml:space="preserve">Siūlymai </w:t>
            </w:r>
            <w:r w:rsidR="00207261" w:rsidRPr="00207261">
              <w:rPr>
                <w:b/>
                <w:color w:val="1F497D" w:themeColor="text2"/>
              </w:rPr>
              <w:t>Vidaus reikalų</w:t>
            </w:r>
            <w:r w:rsidRPr="00207261">
              <w:rPr>
                <w:b/>
                <w:color w:val="1F497D" w:themeColor="text2"/>
              </w:rPr>
              <w:t xml:space="preserve"> ministerijai:</w:t>
            </w:r>
          </w:p>
          <w:p w:rsidR="00610794" w:rsidRPr="006E16A7" w:rsidRDefault="00610794" w:rsidP="00D1715B">
            <w:pPr>
              <w:jc w:val="both"/>
              <w:rPr>
                <w:rFonts w:eastAsiaTheme="minorHAnsi"/>
                <w:color w:val="004080"/>
                <w:szCs w:val="24"/>
              </w:rPr>
            </w:pPr>
            <w:r w:rsidRPr="00207261">
              <w:rPr>
                <w:color w:val="1F497D" w:themeColor="text2"/>
              </w:rPr>
              <w:t xml:space="preserve">- </w:t>
            </w:r>
            <w:r w:rsidR="0078024F">
              <w:rPr>
                <w:rFonts w:eastAsiaTheme="minorHAnsi"/>
                <w:color w:val="004080"/>
                <w:szCs w:val="24"/>
              </w:rPr>
              <w:t>užtikrinti, kad iki 2020 metų pabaigos būtų pasirašytos vietos plėtros strategijų ir integruotų teritorijų vystymo programų sutartys ir taip užkirstas kelias galimam lėšų praradimui.</w:t>
            </w:r>
          </w:p>
        </w:tc>
      </w:tr>
    </w:tbl>
    <w:p w:rsidR="007475E3" w:rsidRDefault="007475E3" w:rsidP="009D6F0B">
      <w:pPr>
        <w:jc w:val="both"/>
        <w:rPr>
          <w:color w:val="595959" w:themeColor="text1" w:themeTint="A6"/>
          <w:szCs w:val="24"/>
          <w:lang w:eastAsia="lt-LT"/>
        </w:rPr>
      </w:pPr>
    </w:p>
    <w:p w:rsidR="009856C4" w:rsidRPr="001730A6" w:rsidRDefault="009856C4" w:rsidP="009D6F0B">
      <w:pPr>
        <w:jc w:val="both"/>
        <w:rPr>
          <w:color w:val="595959" w:themeColor="text1" w:themeTint="A6"/>
          <w:szCs w:val="24"/>
          <w:lang w:eastAsia="lt-LT"/>
        </w:rPr>
      </w:pPr>
    </w:p>
    <w:p w:rsidR="004F7027" w:rsidRDefault="00135619" w:rsidP="00207261">
      <w:pPr>
        <w:pStyle w:val="Antrat1"/>
        <w:spacing w:before="0" w:after="0"/>
        <w:ind w:left="426" w:hanging="284"/>
        <w:rPr>
          <w:rFonts w:ascii="Times New Roman" w:hAnsi="Times New Roman" w:cs="Times New Roman"/>
        </w:rPr>
      </w:pPr>
      <w:bookmarkStart w:id="34" w:name="_Toc54258642"/>
      <w:r w:rsidRPr="00DF3F93">
        <w:rPr>
          <w:rFonts w:ascii="Times New Roman" w:hAnsi="Times New Roman" w:cs="Times New Roman"/>
        </w:rPr>
        <w:t>Pasirengimas 2021–</w:t>
      </w:r>
      <w:r w:rsidR="002760BA" w:rsidRPr="00DF3F93">
        <w:rPr>
          <w:rFonts w:ascii="Times New Roman" w:hAnsi="Times New Roman" w:cs="Times New Roman"/>
        </w:rPr>
        <w:t>2027 m. periodui</w:t>
      </w:r>
      <w:bookmarkEnd w:id="34"/>
    </w:p>
    <w:p w:rsidR="008510B0" w:rsidRPr="00C4777B" w:rsidRDefault="008510B0" w:rsidP="00C92FA0">
      <w:pPr>
        <w:jc w:val="both"/>
        <w:rPr>
          <w:color w:val="595959" w:themeColor="text1" w:themeTint="A6"/>
          <w:szCs w:val="24"/>
          <w:lang w:eastAsia="lt-LT"/>
        </w:rPr>
      </w:pPr>
    </w:p>
    <w:p w:rsidR="00632CDD" w:rsidRPr="00C4777B" w:rsidRDefault="00632CDD" w:rsidP="00632CDD">
      <w:pPr>
        <w:ind w:firstLine="426"/>
        <w:jc w:val="both"/>
        <w:rPr>
          <w:color w:val="595959" w:themeColor="text1" w:themeTint="A6"/>
          <w:szCs w:val="24"/>
          <w:lang w:eastAsia="lt-LT"/>
        </w:rPr>
      </w:pPr>
      <w:r w:rsidRPr="00C4777B">
        <w:rPr>
          <w:color w:val="595959" w:themeColor="text1" w:themeTint="A6"/>
          <w:szCs w:val="24"/>
          <w:lang w:eastAsia="lt-LT"/>
        </w:rPr>
        <w:t xml:space="preserve">ES Tarybai pirmininkaujanti Vokietija yra užsibrėžusi tikslą iki 2020 m. pabaigos pasiekti sutarimą dėl visų Sanglaudos politikos reglamentų. Reglamentams įsigaliojus, Investicijų programą bus galima oficialiai teikti EK, kuri per 6 mėn. turės priimti tvirtinamąjį sprendimą. Atsižvelgiant į tai, prognozuojama </w:t>
      </w:r>
      <w:r w:rsidR="00C4777B" w:rsidRPr="00C4777B">
        <w:rPr>
          <w:color w:val="595959" w:themeColor="text1" w:themeTint="A6"/>
          <w:szCs w:val="24"/>
          <w:lang w:eastAsia="lt-LT"/>
        </w:rPr>
        <w:t>Investicijų p</w:t>
      </w:r>
      <w:r w:rsidRPr="00C4777B">
        <w:rPr>
          <w:color w:val="595959" w:themeColor="text1" w:themeTint="A6"/>
          <w:szCs w:val="24"/>
          <w:lang w:eastAsia="lt-LT"/>
        </w:rPr>
        <w:t xml:space="preserve">rogramos patvirtinimo data – 2021 m. birželio mėn. </w:t>
      </w:r>
      <w:r w:rsidR="00C4777B" w:rsidRPr="00C4777B">
        <w:rPr>
          <w:color w:val="595959" w:themeColor="text1" w:themeTint="A6"/>
          <w:szCs w:val="24"/>
          <w:lang w:eastAsia="lt-LT"/>
        </w:rPr>
        <w:t>P</w:t>
      </w:r>
      <w:r w:rsidR="001E2D7D" w:rsidRPr="00C4777B">
        <w:rPr>
          <w:color w:val="595959" w:themeColor="text1" w:themeTint="A6"/>
          <w:szCs w:val="24"/>
          <w:lang w:eastAsia="lt-LT"/>
        </w:rPr>
        <w:t>ažymėtina, kad</w:t>
      </w:r>
      <w:r w:rsidRPr="00C4777B">
        <w:rPr>
          <w:color w:val="595959" w:themeColor="text1" w:themeTint="A6"/>
          <w:szCs w:val="24"/>
          <w:lang w:eastAsia="lt-LT"/>
        </w:rPr>
        <w:t xml:space="preserve"> tinkamos finansuoti </w:t>
      </w:r>
      <w:r w:rsidR="00C4777B" w:rsidRPr="00C4777B">
        <w:rPr>
          <w:color w:val="595959" w:themeColor="text1" w:themeTint="A6"/>
          <w:szCs w:val="24"/>
          <w:lang w:eastAsia="lt-LT"/>
        </w:rPr>
        <w:t>Investicijų p</w:t>
      </w:r>
      <w:r w:rsidRPr="00C4777B">
        <w:rPr>
          <w:color w:val="595959" w:themeColor="text1" w:themeTint="A6"/>
          <w:szCs w:val="24"/>
          <w:lang w:eastAsia="lt-LT"/>
        </w:rPr>
        <w:t>rogramos išlaidos būtų nuo 2021 m. sausio 1 d.</w:t>
      </w:r>
    </w:p>
    <w:p w:rsidR="00632CDD" w:rsidRPr="00C4777B" w:rsidRDefault="00632CDD" w:rsidP="00632CDD">
      <w:pPr>
        <w:ind w:firstLine="426"/>
        <w:jc w:val="both"/>
        <w:rPr>
          <w:color w:val="595959" w:themeColor="text1" w:themeTint="A6"/>
          <w:szCs w:val="24"/>
          <w:lang w:eastAsia="lt-LT"/>
        </w:rPr>
      </w:pPr>
      <w:r w:rsidRPr="00C4777B">
        <w:rPr>
          <w:color w:val="595959" w:themeColor="text1" w:themeTint="A6"/>
          <w:szCs w:val="24"/>
          <w:lang w:eastAsia="lt-LT"/>
        </w:rPr>
        <w:t xml:space="preserve">Š. m. liepos 30 d. </w:t>
      </w:r>
      <w:r w:rsidR="00947647" w:rsidRPr="00C4777B">
        <w:rPr>
          <w:color w:val="595959" w:themeColor="text1" w:themeTint="A6"/>
          <w:szCs w:val="24"/>
          <w:lang w:eastAsia="lt-LT"/>
        </w:rPr>
        <w:t xml:space="preserve">EK neformaliam derinimui pateiktas </w:t>
      </w:r>
      <w:r w:rsidRPr="00C4777B">
        <w:rPr>
          <w:color w:val="595959" w:themeColor="text1" w:themeTint="A6"/>
          <w:szCs w:val="24"/>
          <w:lang w:eastAsia="lt-LT"/>
        </w:rPr>
        <w:t>antras Programos projektas, patikslintas pagal EK pastabas, išskyrus 5 prioriteto „Piliečiams artimesnė Europa“</w:t>
      </w:r>
      <w:r w:rsidR="00947647" w:rsidRPr="00C4777B">
        <w:rPr>
          <w:color w:val="595959" w:themeColor="text1" w:themeTint="A6"/>
          <w:szCs w:val="24"/>
          <w:lang w:eastAsia="lt-LT"/>
        </w:rPr>
        <w:t xml:space="preserve"> aprašymo projektą (atsakinga Vidaus reikalų ministerija)</w:t>
      </w:r>
      <w:r w:rsidR="00845C0A" w:rsidRPr="00C4777B">
        <w:rPr>
          <w:color w:val="595959" w:themeColor="text1" w:themeTint="A6"/>
          <w:szCs w:val="24"/>
          <w:lang w:eastAsia="lt-LT"/>
        </w:rPr>
        <w:t xml:space="preserve">, kuris </w:t>
      </w:r>
      <w:r w:rsidR="00947647" w:rsidRPr="00C4777B">
        <w:rPr>
          <w:color w:val="595959" w:themeColor="text1" w:themeTint="A6"/>
          <w:szCs w:val="24"/>
          <w:lang w:eastAsia="lt-LT"/>
        </w:rPr>
        <w:t xml:space="preserve">EK pateiktas </w:t>
      </w:r>
      <w:r w:rsidR="00F00D6D" w:rsidRPr="00C4777B">
        <w:rPr>
          <w:color w:val="595959" w:themeColor="text1" w:themeTint="A6"/>
          <w:szCs w:val="24"/>
          <w:lang w:eastAsia="lt-LT"/>
        </w:rPr>
        <w:t xml:space="preserve">2020 m. </w:t>
      </w:r>
      <w:r w:rsidR="00947647" w:rsidRPr="00C4777B">
        <w:rPr>
          <w:color w:val="595959" w:themeColor="text1" w:themeTint="A6"/>
          <w:szCs w:val="24"/>
          <w:lang w:eastAsia="lt-LT"/>
        </w:rPr>
        <w:t>rugsėjo 30 d.</w:t>
      </w:r>
      <w:r w:rsidR="00845C0A" w:rsidRPr="00C4777B">
        <w:rPr>
          <w:color w:val="595959" w:themeColor="text1" w:themeTint="A6"/>
          <w:szCs w:val="24"/>
          <w:lang w:eastAsia="lt-LT"/>
        </w:rPr>
        <w:t xml:space="preserve"> Pagal </w:t>
      </w:r>
      <w:r w:rsidRPr="00C4777B">
        <w:rPr>
          <w:color w:val="595959" w:themeColor="text1" w:themeTint="A6"/>
          <w:szCs w:val="24"/>
          <w:lang w:eastAsia="lt-LT"/>
        </w:rPr>
        <w:t>2020 m. birželio 10 d. LRV pasitarimo protokol</w:t>
      </w:r>
      <w:r w:rsidR="00947647" w:rsidRPr="00C4777B">
        <w:rPr>
          <w:color w:val="595959" w:themeColor="text1" w:themeTint="A6"/>
          <w:szCs w:val="24"/>
          <w:lang w:eastAsia="lt-LT"/>
        </w:rPr>
        <w:t>ą</w:t>
      </w:r>
      <w:r w:rsidRPr="00C4777B">
        <w:rPr>
          <w:color w:val="595959" w:themeColor="text1" w:themeTint="A6"/>
          <w:szCs w:val="24"/>
          <w:lang w:eastAsia="lt-LT"/>
        </w:rPr>
        <w:t xml:space="preserve"> Nr. 28, Vidaus reikalų ministerijai buvo pavesta visų pirma nustatyti kriterijus, kuriais remiantis bus skatinamos investicijos į konkrečius regionus ir išskirti skirtingo tipo regionus. Tik atlikus analizę ir diskusijas su regionų plėtros tarybomis, </w:t>
      </w:r>
      <w:r w:rsidR="00845C0A" w:rsidRPr="00C4777B">
        <w:rPr>
          <w:color w:val="595959" w:themeColor="text1" w:themeTint="A6"/>
          <w:szCs w:val="24"/>
          <w:lang w:eastAsia="lt-LT"/>
        </w:rPr>
        <w:t>Vidaus reikal</w:t>
      </w:r>
      <w:r w:rsidR="00A507A2" w:rsidRPr="00C4777B">
        <w:rPr>
          <w:color w:val="595959" w:themeColor="text1" w:themeTint="A6"/>
          <w:szCs w:val="24"/>
          <w:lang w:eastAsia="lt-LT"/>
        </w:rPr>
        <w:t>ų</w:t>
      </w:r>
      <w:r w:rsidR="00845C0A" w:rsidRPr="00C4777B">
        <w:rPr>
          <w:color w:val="595959" w:themeColor="text1" w:themeTint="A6"/>
          <w:szCs w:val="24"/>
          <w:lang w:eastAsia="lt-LT"/>
        </w:rPr>
        <w:t xml:space="preserve"> ministerijai pavesta </w:t>
      </w:r>
      <w:r w:rsidRPr="00C4777B">
        <w:rPr>
          <w:color w:val="595959" w:themeColor="text1" w:themeTint="A6"/>
          <w:szCs w:val="24"/>
          <w:lang w:eastAsia="lt-LT"/>
        </w:rPr>
        <w:t>pat</w:t>
      </w:r>
      <w:r w:rsidR="00845C0A" w:rsidRPr="00C4777B">
        <w:rPr>
          <w:color w:val="595959" w:themeColor="text1" w:themeTint="A6"/>
          <w:szCs w:val="24"/>
          <w:lang w:eastAsia="lt-LT"/>
        </w:rPr>
        <w:t>ei</w:t>
      </w:r>
      <w:r w:rsidR="00BE1667" w:rsidRPr="00C4777B">
        <w:rPr>
          <w:color w:val="595959" w:themeColor="text1" w:themeTint="A6"/>
          <w:szCs w:val="24"/>
          <w:lang w:eastAsia="lt-LT"/>
        </w:rPr>
        <w:t xml:space="preserve">kti </w:t>
      </w:r>
      <w:r w:rsidR="00845C0A" w:rsidRPr="00C4777B">
        <w:rPr>
          <w:color w:val="595959" w:themeColor="text1" w:themeTint="A6"/>
          <w:szCs w:val="24"/>
          <w:lang w:eastAsia="lt-LT"/>
        </w:rPr>
        <w:t>pat</w:t>
      </w:r>
      <w:r w:rsidRPr="00C4777B">
        <w:rPr>
          <w:color w:val="595959" w:themeColor="text1" w:themeTint="A6"/>
          <w:szCs w:val="24"/>
          <w:lang w:eastAsia="lt-LT"/>
        </w:rPr>
        <w:t>ikslintą prioriteto aprašymą Finansų ministerijai</w:t>
      </w:r>
      <w:r w:rsidR="00845C0A" w:rsidRPr="00C4777B">
        <w:rPr>
          <w:color w:val="595959" w:themeColor="text1" w:themeTint="A6"/>
          <w:szCs w:val="24"/>
          <w:lang w:eastAsia="lt-LT"/>
        </w:rPr>
        <w:t>.</w:t>
      </w:r>
      <w:r w:rsidR="00C24BA7" w:rsidRPr="00C4777B">
        <w:rPr>
          <w:color w:val="595959" w:themeColor="text1" w:themeTint="A6"/>
          <w:szCs w:val="24"/>
          <w:lang w:eastAsia="lt-LT"/>
        </w:rPr>
        <w:t xml:space="preserve"> Šiuo metu Programa yra taisoma pagal 2020 m. rugsėjo mėn. EK gautas pastabas.</w:t>
      </w:r>
    </w:p>
    <w:p w:rsidR="005A55E6" w:rsidRDefault="00845C0A" w:rsidP="005A55E6">
      <w:pPr>
        <w:ind w:firstLine="426"/>
        <w:jc w:val="both"/>
        <w:rPr>
          <w:color w:val="595959" w:themeColor="text1" w:themeTint="A6"/>
          <w:szCs w:val="24"/>
          <w:lang w:eastAsia="lt-LT"/>
        </w:rPr>
      </w:pPr>
      <w:r w:rsidRPr="00C4777B">
        <w:rPr>
          <w:color w:val="595959" w:themeColor="text1" w:themeTint="A6"/>
          <w:szCs w:val="24"/>
          <w:lang w:eastAsia="lt-LT"/>
        </w:rPr>
        <w:t xml:space="preserve">Š. m. rugsėjo mėn. suorganizuota 10 teminių diskusijų dėl Programos prioritetų su socialiniais ir ekonominiais partneriais. </w:t>
      </w:r>
      <w:r w:rsidR="001E2D7D" w:rsidRPr="00C4777B">
        <w:rPr>
          <w:color w:val="595959" w:themeColor="text1" w:themeTint="A6"/>
          <w:szCs w:val="24"/>
          <w:lang w:eastAsia="lt-LT"/>
        </w:rPr>
        <w:t>Jų metu partneriai galėjo diskutuoti ir išsakyti savo pastabas ar pasiūlymus tiesiogiai. Taip pa</w:t>
      </w:r>
      <w:r w:rsidRPr="00C4777B">
        <w:rPr>
          <w:color w:val="595959" w:themeColor="text1" w:themeTint="A6"/>
          <w:szCs w:val="24"/>
          <w:lang w:eastAsia="lt-LT"/>
        </w:rPr>
        <w:t xml:space="preserve">t </w:t>
      </w:r>
      <w:proofErr w:type="spellStart"/>
      <w:r w:rsidRPr="00C4777B">
        <w:rPr>
          <w:color w:val="595959" w:themeColor="text1" w:themeTint="A6"/>
          <w:szCs w:val="24"/>
          <w:lang w:eastAsia="lt-LT"/>
        </w:rPr>
        <w:t>e.pilietis</w:t>
      </w:r>
      <w:proofErr w:type="spellEnd"/>
      <w:r w:rsidRPr="00C4777B">
        <w:rPr>
          <w:color w:val="595959" w:themeColor="text1" w:themeTint="A6"/>
          <w:szCs w:val="24"/>
          <w:lang w:eastAsia="lt-LT"/>
        </w:rPr>
        <w:t xml:space="preserve"> platformoje rug</w:t>
      </w:r>
      <w:r w:rsidR="001E2D7D" w:rsidRPr="00C4777B">
        <w:rPr>
          <w:color w:val="595959" w:themeColor="text1" w:themeTint="A6"/>
          <w:szCs w:val="24"/>
          <w:lang w:eastAsia="lt-LT"/>
        </w:rPr>
        <w:t>pjūčio–</w:t>
      </w:r>
      <w:r w:rsidRPr="00C4777B">
        <w:rPr>
          <w:color w:val="595959" w:themeColor="text1" w:themeTint="A6"/>
          <w:szCs w:val="24"/>
          <w:lang w:eastAsia="lt-LT"/>
        </w:rPr>
        <w:t xml:space="preserve">rugsėjo mėn. </w:t>
      </w:r>
      <w:r w:rsidR="00632CDD" w:rsidRPr="00C4777B">
        <w:rPr>
          <w:color w:val="595959" w:themeColor="text1" w:themeTint="A6"/>
          <w:szCs w:val="24"/>
          <w:lang w:eastAsia="lt-LT"/>
        </w:rPr>
        <w:t>socialiniai ir ekonominiai partneriai</w:t>
      </w:r>
      <w:r w:rsidRPr="00C4777B">
        <w:rPr>
          <w:color w:val="595959" w:themeColor="text1" w:themeTint="A6"/>
          <w:szCs w:val="24"/>
          <w:lang w:eastAsia="lt-LT"/>
        </w:rPr>
        <w:t xml:space="preserve">, </w:t>
      </w:r>
      <w:r w:rsidR="001E2D7D" w:rsidRPr="00C4777B">
        <w:rPr>
          <w:color w:val="595959" w:themeColor="text1" w:themeTint="A6"/>
          <w:szCs w:val="24"/>
          <w:lang w:eastAsia="lt-LT"/>
        </w:rPr>
        <w:t xml:space="preserve">plačioji </w:t>
      </w:r>
      <w:r w:rsidRPr="00C4777B">
        <w:rPr>
          <w:color w:val="595959" w:themeColor="text1" w:themeTint="A6"/>
          <w:szCs w:val="24"/>
          <w:lang w:eastAsia="lt-LT"/>
        </w:rPr>
        <w:t>visuomenė</w:t>
      </w:r>
      <w:r w:rsidR="00632CDD" w:rsidRPr="00C4777B">
        <w:rPr>
          <w:color w:val="595959" w:themeColor="text1" w:themeTint="A6"/>
          <w:szCs w:val="24"/>
          <w:lang w:eastAsia="lt-LT"/>
        </w:rPr>
        <w:t xml:space="preserve"> bu</w:t>
      </w:r>
      <w:r w:rsidRPr="00C4777B">
        <w:rPr>
          <w:color w:val="595959" w:themeColor="text1" w:themeTint="A6"/>
          <w:szCs w:val="24"/>
          <w:lang w:eastAsia="lt-LT"/>
        </w:rPr>
        <w:t>vo kviečiam</w:t>
      </w:r>
      <w:r w:rsidR="001E2D7D" w:rsidRPr="00C4777B">
        <w:rPr>
          <w:color w:val="595959" w:themeColor="text1" w:themeTint="A6"/>
          <w:szCs w:val="24"/>
          <w:lang w:eastAsia="lt-LT"/>
        </w:rPr>
        <w:t>a</w:t>
      </w:r>
      <w:r w:rsidRPr="00C4777B">
        <w:rPr>
          <w:color w:val="595959" w:themeColor="text1" w:themeTint="A6"/>
          <w:szCs w:val="24"/>
          <w:lang w:eastAsia="lt-LT"/>
        </w:rPr>
        <w:t xml:space="preserve"> </w:t>
      </w:r>
      <w:r w:rsidR="001E2D7D" w:rsidRPr="00C4777B">
        <w:rPr>
          <w:color w:val="595959" w:themeColor="text1" w:themeTint="A6"/>
          <w:szCs w:val="24"/>
          <w:lang w:eastAsia="lt-LT"/>
        </w:rPr>
        <w:t xml:space="preserve">užpildyti </w:t>
      </w:r>
      <w:r w:rsidR="00632CDD" w:rsidRPr="00C4777B">
        <w:rPr>
          <w:color w:val="595959" w:themeColor="text1" w:themeTint="A6"/>
          <w:szCs w:val="24"/>
          <w:lang w:eastAsia="lt-LT"/>
        </w:rPr>
        <w:t>klausimyną</w:t>
      </w:r>
      <w:r w:rsidR="001E2D7D" w:rsidRPr="00C4777B">
        <w:rPr>
          <w:color w:val="595959" w:themeColor="text1" w:themeTint="A6"/>
          <w:szCs w:val="24"/>
          <w:lang w:eastAsia="lt-LT"/>
        </w:rPr>
        <w:t xml:space="preserve"> dėl siūlomų </w:t>
      </w:r>
      <w:r w:rsidR="00C4777B" w:rsidRPr="00C4777B">
        <w:rPr>
          <w:color w:val="595959" w:themeColor="text1" w:themeTint="A6"/>
          <w:szCs w:val="24"/>
          <w:lang w:eastAsia="lt-LT"/>
        </w:rPr>
        <w:t>Investicijų p</w:t>
      </w:r>
      <w:r w:rsidR="001E2D7D" w:rsidRPr="00C4777B">
        <w:rPr>
          <w:color w:val="595959" w:themeColor="text1" w:themeTint="A6"/>
          <w:szCs w:val="24"/>
          <w:lang w:eastAsia="lt-LT"/>
        </w:rPr>
        <w:t>rogramos prioritetų, intervencijų taiklumo</w:t>
      </w:r>
      <w:r w:rsidR="00632CDD" w:rsidRPr="00C4777B">
        <w:rPr>
          <w:color w:val="595959" w:themeColor="text1" w:themeTint="A6"/>
          <w:szCs w:val="24"/>
          <w:lang w:eastAsia="lt-LT"/>
        </w:rPr>
        <w:t>.</w:t>
      </w:r>
      <w:r w:rsidR="00781D4F" w:rsidRPr="00781D4F">
        <w:t xml:space="preserve"> </w:t>
      </w:r>
      <w:r w:rsidR="00781D4F" w:rsidRPr="00781D4F">
        <w:rPr>
          <w:color w:val="595959" w:themeColor="text1" w:themeTint="A6"/>
          <w:szCs w:val="24"/>
          <w:lang w:eastAsia="lt-LT"/>
        </w:rPr>
        <w:t xml:space="preserve">Partneriai pastebėjo, kad tais atvejais, kai prioritetai kuruojami kelių ministerijų, svarbu užtikrinti jų bendradarbiavimą ir intervencijų sinergiją. </w:t>
      </w:r>
      <w:r w:rsidR="00D617B9">
        <w:rPr>
          <w:color w:val="595959" w:themeColor="text1" w:themeTint="A6"/>
          <w:szCs w:val="24"/>
          <w:lang w:eastAsia="lt-LT"/>
        </w:rPr>
        <w:t xml:space="preserve">Viešųjų diskusijų dalyvių </w:t>
      </w:r>
      <w:r w:rsidR="00781D4F" w:rsidRPr="00781D4F">
        <w:rPr>
          <w:color w:val="595959" w:themeColor="text1" w:themeTint="A6"/>
          <w:szCs w:val="24"/>
          <w:lang w:eastAsia="lt-LT"/>
        </w:rPr>
        <w:t>nuomone, mokslo ir verslo bendradarbiavimas yra būtina sąlyga siekiant proveržio MTEP srityje (jei šie subjektai vėl turės galimybę pretenduoti į finansavimą kaip atskiri objektai, bendradarbiavimas gali vėl neįvykti). Atkreiptas dėmesys, kad NVO ir pilietinės visuomenės organizacijos vykdo inovacijas socialiniame versle ir paslaugose, todėl siektų investuoti pagal veiklas, skirtas MVĮ</w:t>
      </w:r>
      <w:r w:rsidR="006E16A7">
        <w:rPr>
          <w:color w:val="595959" w:themeColor="text1" w:themeTint="A6"/>
          <w:szCs w:val="24"/>
          <w:lang w:eastAsia="lt-LT"/>
        </w:rPr>
        <w:t>,</w:t>
      </w:r>
      <w:r w:rsidR="00D617B9">
        <w:rPr>
          <w:color w:val="595959" w:themeColor="text1" w:themeTint="A6"/>
          <w:szCs w:val="24"/>
          <w:lang w:eastAsia="lt-LT"/>
        </w:rPr>
        <w:t xml:space="preserve"> taip pat yra pasirengę </w:t>
      </w:r>
      <w:r w:rsidR="00781D4F" w:rsidRPr="00781D4F">
        <w:rPr>
          <w:color w:val="595959" w:themeColor="text1" w:themeTint="A6"/>
          <w:szCs w:val="24"/>
          <w:lang w:eastAsia="lt-LT"/>
        </w:rPr>
        <w:t xml:space="preserve">dar aktyviau dalyvauti įgyvendinant </w:t>
      </w:r>
      <w:proofErr w:type="spellStart"/>
      <w:r w:rsidR="00781D4F" w:rsidRPr="00781D4F">
        <w:rPr>
          <w:color w:val="595959" w:themeColor="text1" w:themeTint="A6"/>
          <w:szCs w:val="24"/>
          <w:lang w:eastAsia="lt-LT"/>
        </w:rPr>
        <w:t>s</w:t>
      </w:r>
      <w:r w:rsidR="00781D4F">
        <w:rPr>
          <w:color w:val="595959" w:themeColor="text1" w:themeTint="A6"/>
          <w:szCs w:val="24"/>
          <w:lang w:eastAsia="lt-LT"/>
        </w:rPr>
        <w:t>avanorystei</w:t>
      </w:r>
      <w:proofErr w:type="spellEnd"/>
      <w:r w:rsidR="00781D4F">
        <w:rPr>
          <w:color w:val="595959" w:themeColor="text1" w:themeTint="A6"/>
          <w:szCs w:val="24"/>
          <w:lang w:eastAsia="lt-LT"/>
        </w:rPr>
        <w:t xml:space="preserve"> ir NVO stiprinimui skirtose veiklose</w:t>
      </w:r>
      <w:r w:rsidR="00781D4F" w:rsidRPr="00781D4F">
        <w:rPr>
          <w:color w:val="595959" w:themeColor="text1" w:themeTint="A6"/>
          <w:szCs w:val="24"/>
          <w:lang w:eastAsia="lt-LT"/>
        </w:rPr>
        <w:t>.</w:t>
      </w:r>
      <w:r w:rsidR="001E2D7D" w:rsidRPr="00C4777B">
        <w:rPr>
          <w:color w:val="595959" w:themeColor="text1" w:themeTint="A6"/>
          <w:szCs w:val="24"/>
          <w:lang w:eastAsia="lt-LT"/>
        </w:rPr>
        <w:t xml:space="preserve"> </w:t>
      </w:r>
      <w:r w:rsidR="000C1CE1">
        <w:rPr>
          <w:color w:val="595959" w:themeColor="text1" w:themeTint="A6"/>
          <w:szCs w:val="24"/>
          <w:lang w:eastAsia="lt-LT"/>
        </w:rPr>
        <w:t>Diskusijose s</w:t>
      </w:r>
      <w:r w:rsidR="004375A2">
        <w:rPr>
          <w:color w:val="595959" w:themeColor="text1" w:themeTint="A6"/>
          <w:szCs w:val="24"/>
          <w:lang w:eastAsia="lt-LT"/>
        </w:rPr>
        <w:t xml:space="preserve">iūlyta, kad </w:t>
      </w:r>
      <w:r w:rsidR="00781D4F" w:rsidRPr="00781D4F">
        <w:rPr>
          <w:color w:val="595959" w:themeColor="text1" w:themeTint="A6"/>
          <w:szCs w:val="24"/>
          <w:lang w:eastAsia="lt-LT"/>
        </w:rPr>
        <w:t>planuo</w:t>
      </w:r>
      <w:r w:rsidR="004375A2">
        <w:rPr>
          <w:color w:val="595959" w:themeColor="text1" w:themeTint="A6"/>
          <w:szCs w:val="24"/>
          <w:lang w:eastAsia="lt-LT"/>
        </w:rPr>
        <w:t xml:space="preserve">jant </w:t>
      </w:r>
      <w:proofErr w:type="spellStart"/>
      <w:r w:rsidR="00781D4F" w:rsidRPr="00781D4F">
        <w:rPr>
          <w:color w:val="595959" w:themeColor="text1" w:themeTint="A6"/>
          <w:szCs w:val="24"/>
          <w:lang w:eastAsia="lt-LT"/>
        </w:rPr>
        <w:t>e.paslaugas</w:t>
      </w:r>
      <w:proofErr w:type="spellEnd"/>
      <w:r w:rsidR="00781D4F" w:rsidRPr="00781D4F">
        <w:rPr>
          <w:color w:val="595959" w:themeColor="text1" w:themeTint="A6"/>
          <w:szCs w:val="24"/>
          <w:lang w:eastAsia="lt-LT"/>
        </w:rPr>
        <w:t xml:space="preserve"> ir jų transformaciją (</w:t>
      </w:r>
      <w:proofErr w:type="spellStart"/>
      <w:r w:rsidR="00781D4F" w:rsidRPr="00781D4F">
        <w:rPr>
          <w:color w:val="595959" w:themeColor="text1" w:themeTint="A6"/>
          <w:szCs w:val="24"/>
          <w:lang w:eastAsia="lt-LT"/>
        </w:rPr>
        <w:t>sąveikumą</w:t>
      </w:r>
      <w:proofErr w:type="spellEnd"/>
      <w:r w:rsidR="00781D4F" w:rsidRPr="00781D4F">
        <w:rPr>
          <w:color w:val="595959" w:themeColor="text1" w:themeTint="A6"/>
          <w:szCs w:val="24"/>
          <w:lang w:eastAsia="lt-LT"/>
        </w:rPr>
        <w:t>)</w:t>
      </w:r>
      <w:r w:rsidR="004375A2">
        <w:rPr>
          <w:color w:val="595959" w:themeColor="text1" w:themeTint="A6"/>
          <w:szCs w:val="24"/>
          <w:lang w:eastAsia="lt-LT"/>
        </w:rPr>
        <w:t xml:space="preserve"> būtų vertinamas</w:t>
      </w:r>
      <w:r w:rsidR="00D617B9">
        <w:rPr>
          <w:color w:val="595959" w:themeColor="text1" w:themeTint="A6"/>
          <w:szCs w:val="24"/>
          <w:lang w:eastAsia="lt-LT"/>
        </w:rPr>
        <w:t xml:space="preserve"> prognozuojamas</w:t>
      </w:r>
      <w:r w:rsidR="00781D4F" w:rsidRPr="00781D4F">
        <w:rPr>
          <w:color w:val="595959" w:themeColor="text1" w:themeTint="A6"/>
          <w:szCs w:val="24"/>
          <w:lang w:eastAsia="lt-LT"/>
        </w:rPr>
        <w:t xml:space="preserve"> </w:t>
      </w:r>
      <w:proofErr w:type="spellStart"/>
      <w:r w:rsidR="00781D4F" w:rsidRPr="00781D4F">
        <w:rPr>
          <w:color w:val="595959" w:themeColor="text1" w:themeTint="A6"/>
          <w:szCs w:val="24"/>
          <w:lang w:eastAsia="lt-LT"/>
        </w:rPr>
        <w:t>naudojamum</w:t>
      </w:r>
      <w:r w:rsidR="00D617B9">
        <w:rPr>
          <w:color w:val="595959" w:themeColor="text1" w:themeTint="A6"/>
          <w:szCs w:val="24"/>
          <w:lang w:eastAsia="lt-LT"/>
        </w:rPr>
        <w:t>as</w:t>
      </w:r>
      <w:proofErr w:type="spellEnd"/>
      <w:r w:rsidR="00781D4F" w:rsidRPr="00781D4F">
        <w:rPr>
          <w:color w:val="595959" w:themeColor="text1" w:themeTint="A6"/>
          <w:szCs w:val="24"/>
          <w:lang w:eastAsia="lt-LT"/>
        </w:rPr>
        <w:t xml:space="preserve"> ir investicijų grąža</w:t>
      </w:r>
      <w:r w:rsidR="00D617B9">
        <w:rPr>
          <w:color w:val="595959" w:themeColor="text1" w:themeTint="A6"/>
          <w:szCs w:val="24"/>
          <w:lang w:eastAsia="lt-LT"/>
        </w:rPr>
        <w:t xml:space="preserve">. Taip pat siūlyta </w:t>
      </w:r>
      <w:r w:rsidR="000C1CE1">
        <w:rPr>
          <w:color w:val="595959" w:themeColor="text1" w:themeTint="A6"/>
          <w:szCs w:val="24"/>
          <w:lang w:eastAsia="lt-LT"/>
        </w:rPr>
        <w:t>d</w:t>
      </w:r>
      <w:r w:rsidR="00781D4F" w:rsidRPr="00781D4F">
        <w:rPr>
          <w:color w:val="595959" w:themeColor="text1" w:themeTint="A6"/>
          <w:szCs w:val="24"/>
          <w:lang w:eastAsia="lt-LT"/>
        </w:rPr>
        <w:t xml:space="preserve">augiau investuoti ne į naujas fragmentiškas paslaugas (kiekybę), bet į paslaugų </w:t>
      </w:r>
      <w:proofErr w:type="spellStart"/>
      <w:r w:rsidR="00781D4F" w:rsidRPr="00781D4F">
        <w:rPr>
          <w:color w:val="595959" w:themeColor="text1" w:themeTint="A6"/>
          <w:szCs w:val="24"/>
          <w:lang w:eastAsia="lt-LT"/>
        </w:rPr>
        <w:t>sąveikumą</w:t>
      </w:r>
      <w:proofErr w:type="spellEnd"/>
      <w:r w:rsidR="004375A2">
        <w:rPr>
          <w:color w:val="595959" w:themeColor="text1" w:themeTint="A6"/>
          <w:szCs w:val="24"/>
          <w:lang w:eastAsia="lt-LT"/>
        </w:rPr>
        <w:t>.</w:t>
      </w:r>
      <w:r w:rsidR="004375A2" w:rsidRPr="004375A2">
        <w:t xml:space="preserve"> </w:t>
      </w:r>
      <w:r w:rsidR="004375A2">
        <w:t>S</w:t>
      </w:r>
      <w:r w:rsidR="004375A2" w:rsidRPr="004375A2">
        <w:rPr>
          <w:color w:val="595959" w:themeColor="text1" w:themeTint="A6"/>
          <w:szCs w:val="24"/>
          <w:lang w:eastAsia="lt-LT"/>
        </w:rPr>
        <w:t>ocialini</w:t>
      </w:r>
      <w:r w:rsidR="004375A2">
        <w:rPr>
          <w:color w:val="595959" w:themeColor="text1" w:themeTint="A6"/>
          <w:szCs w:val="24"/>
          <w:lang w:eastAsia="lt-LT"/>
        </w:rPr>
        <w:t xml:space="preserve">ai </w:t>
      </w:r>
      <w:r w:rsidR="00D617B9">
        <w:rPr>
          <w:color w:val="595959" w:themeColor="text1" w:themeTint="A6"/>
          <w:szCs w:val="24"/>
          <w:lang w:eastAsia="lt-LT"/>
        </w:rPr>
        <w:t xml:space="preserve">ir ekonominiai </w:t>
      </w:r>
      <w:r w:rsidR="004375A2" w:rsidRPr="004375A2">
        <w:rPr>
          <w:color w:val="595959" w:themeColor="text1" w:themeTint="A6"/>
          <w:szCs w:val="24"/>
          <w:lang w:eastAsia="lt-LT"/>
        </w:rPr>
        <w:t>partneri</w:t>
      </w:r>
      <w:r w:rsidR="004375A2">
        <w:rPr>
          <w:color w:val="595959" w:themeColor="text1" w:themeTint="A6"/>
          <w:szCs w:val="24"/>
          <w:lang w:eastAsia="lt-LT"/>
        </w:rPr>
        <w:t xml:space="preserve">ai yra motyvuoti </w:t>
      </w:r>
      <w:r w:rsidR="004375A2" w:rsidRPr="004375A2">
        <w:rPr>
          <w:color w:val="595959" w:themeColor="text1" w:themeTint="A6"/>
          <w:szCs w:val="24"/>
          <w:lang w:eastAsia="lt-LT"/>
        </w:rPr>
        <w:t>siekti energijos vartojimo efektyvumo ir at</w:t>
      </w:r>
      <w:r w:rsidR="004375A2">
        <w:rPr>
          <w:color w:val="595959" w:themeColor="text1" w:themeTint="A6"/>
          <w:szCs w:val="24"/>
          <w:lang w:eastAsia="lt-LT"/>
        </w:rPr>
        <w:t xml:space="preserve">sinaujinančios energijos naudojimo, siūlo nustatyti daugiau </w:t>
      </w:r>
      <w:r w:rsidR="004375A2" w:rsidRPr="004375A2">
        <w:rPr>
          <w:color w:val="595959" w:themeColor="text1" w:themeTint="A6"/>
          <w:szCs w:val="24"/>
          <w:lang w:eastAsia="lt-LT"/>
        </w:rPr>
        <w:t>reguliacin</w:t>
      </w:r>
      <w:r w:rsidR="004375A2">
        <w:rPr>
          <w:color w:val="595959" w:themeColor="text1" w:themeTint="A6"/>
          <w:szCs w:val="24"/>
          <w:lang w:eastAsia="lt-LT"/>
        </w:rPr>
        <w:t xml:space="preserve">ių </w:t>
      </w:r>
      <w:r w:rsidR="004375A2" w:rsidRPr="004375A2">
        <w:rPr>
          <w:color w:val="595959" w:themeColor="text1" w:themeTint="A6"/>
          <w:szCs w:val="24"/>
          <w:lang w:eastAsia="lt-LT"/>
        </w:rPr>
        <w:t>(ribojimo) priemon</w:t>
      </w:r>
      <w:r w:rsidR="004375A2">
        <w:rPr>
          <w:color w:val="595959" w:themeColor="text1" w:themeTint="A6"/>
          <w:szCs w:val="24"/>
          <w:lang w:eastAsia="lt-LT"/>
        </w:rPr>
        <w:t xml:space="preserve">ių ir jas derinti su investicinėmis, </w:t>
      </w:r>
      <w:r w:rsidR="00D617B9">
        <w:rPr>
          <w:color w:val="595959" w:themeColor="text1" w:themeTint="A6"/>
          <w:szCs w:val="24"/>
          <w:lang w:eastAsia="lt-LT"/>
        </w:rPr>
        <w:t xml:space="preserve">kad būtų </w:t>
      </w:r>
      <w:r w:rsidR="004375A2" w:rsidRPr="004375A2">
        <w:rPr>
          <w:color w:val="595959" w:themeColor="text1" w:themeTint="A6"/>
          <w:szCs w:val="24"/>
          <w:lang w:eastAsia="lt-LT"/>
        </w:rPr>
        <w:t>mažin</w:t>
      </w:r>
      <w:r w:rsidR="00D617B9">
        <w:rPr>
          <w:color w:val="595959" w:themeColor="text1" w:themeTint="A6"/>
          <w:szCs w:val="24"/>
          <w:lang w:eastAsia="lt-LT"/>
        </w:rPr>
        <w:t>ama</w:t>
      </w:r>
      <w:r w:rsidR="004375A2" w:rsidRPr="004375A2">
        <w:rPr>
          <w:color w:val="595959" w:themeColor="text1" w:themeTint="A6"/>
          <w:szCs w:val="24"/>
          <w:lang w:eastAsia="lt-LT"/>
        </w:rPr>
        <w:t xml:space="preserve"> transporto tarš</w:t>
      </w:r>
      <w:r w:rsidR="00D617B9">
        <w:rPr>
          <w:color w:val="595959" w:themeColor="text1" w:themeTint="A6"/>
          <w:szCs w:val="24"/>
          <w:lang w:eastAsia="lt-LT"/>
        </w:rPr>
        <w:t>a</w:t>
      </w:r>
      <w:r w:rsidR="004375A2" w:rsidRPr="004375A2">
        <w:rPr>
          <w:color w:val="595959" w:themeColor="text1" w:themeTint="A6"/>
          <w:szCs w:val="24"/>
          <w:lang w:eastAsia="lt-LT"/>
        </w:rPr>
        <w:t xml:space="preserve"> miestuose</w:t>
      </w:r>
      <w:r w:rsidR="00DF2E11">
        <w:rPr>
          <w:color w:val="595959" w:themeColor="text1" w:themeTint="A6"/>
          <w:szCs w:val="24"/>
          <w:lang w:eastAsia="lt-LT"/>
        </w:rPr>
        <w:t>, regionuose</w:t>
      </w:r>
      <w:r w:rsidR="004375A2" w:rsidRPr="004375A2">
        <w:rPr>
          <w:color w:val="595959" w:themeColor="text1" w:themeTint="A6"/>
          <w:szCs w:val="24"/>
          <w:lang w:eastAsia="lt-LT"/>
        </w:rPr>
        <w:t xml:space="preserve">. </w:t>
      </w:r>
      <w:r w:rsidR="00DF2E11" w:rsidRPr="00DF2E11">
        <w:rPr>
          <w:color w:val="595959" w:themeColor="text1" w:themeTint="A6"/>
          <w:szCs w:val="24"/>
          <w:lang w:eastAsia="lt-LT"/>
        </w:rPr>
        <w:t xml:space="preserve">Planuojant investicijas </w:t>
      </w:r>
      <w:r w:rsidR="00DF2E11">
        <w:rPr>
          <w:color w:val="595959" w:themeColor="text1" w:themeTint="A6"/>
          <w:szCs w:val="24"/>
          <w:lang w:eastAsia="lt-LT"/>
        </w:rPr>
        <w:t xml:space="preserve">vandens telkinių būklės gerinimui, pasiūlyta jas derinti su </w:t>
      </w:r>
      <w:r w:rsidR="000C1CE1">
        <w:rPr>
          <w:color w:val="595959" w:themeColor="text1" w:themeTint="A6"/>
          <w:szCs w:val="24"/>
          <w:lang w:eastAsia="lt-LT"/>
        </w:rPr>
        <w:t xml:space="preserve">kitų finansavimo šaltinių (pvz., </w:t>
      </w:r>
      <w:r w:rsidR="00DF2E11">
        <w:rPr>
          <w:color w:val="595959" w:themeColor="text1" w:themeTint="A6"/>
          <w:szCs w:val="24"/>
          <w:lang w:eastAsia="lt-LT"/>
        </w:rPr>
        <w:t>EUŽFKP</w:t>
      </w:r>
      <w:r w:rsidR="000C1CE1">
        <w:rPr>
          <w:color w:val="595959" w:themeColor="text1" w:themeTint="A6"/>
          <w:szCs w:val="24"/>
          <w:lang w:eastAsia="lt-LT"/>
        </w:rPr>
        <w:t>)</w:t>
      </w:r>
      <w:r w:rsidR="00DF2E11">
        <w:rPr>
          <w:color w:val="595959" w:themeColor="text1" w:themeTint="A6"/>
          <w:szCs w:val="24"/>
          <w:lang w:eastAsia="lt-LT"/>
        </w:rPr>
        <w:t xml:space="preserve"> priemonėmis. </w:t>
      </w:r>
      <w:r w:rsidR="008132F6">
        <w:rPr>
          <w:color w:val="595959" w:themeColor="text1" w:themeTint="A6"/>
          <w:szCs w:val="24"/>
          <w:lang w:eastAsia="lt-LT"/>
        </w:rPr>
        <w:t>Ž</w:t>
      </w:r>
      <w:r w:rsidR="008132F6" w:rsidRPr="008132F6">
        <w:rPr>
          <w:color w:val="595959" w:themeColor="text1" w:themeTint="A6"/>
          <w:szCs w:val="24"/>
          <w:lang w:eastAsia="lt-LT"/>
        </w:rPr>
        <w:t>iedinė</w:t>
      </w:r>
      <w:r w:rsidR="008132F6">
        <w:rPr>
          <w:color w:val="595959" w:themeColor="text1" w:themeTint="A6"/>
          <w:szCs w:val="24"/>
          <w:lang w:eastAsia="lt-LT"/>
        </w:rPr>
        <w:t xml:space="preserve">s ekonomikos srityje partneriai atkreipė dėmesį, jog </w:t>
      </w:r>
      <w:r w:rsidR="008132F6" w:rsidRPr="008132F6">
        <w:rPr>
          <w:color w:val="595959" w:themeColor="text1" w:themeTint="A6"/>
          <w:szCs w:val="24"/>
          <w:lang w:eastAsia="lt-LT"/>
        </w:rPr>
        <w:t xml:space="preserve">per daug dėmesio skiriama atliekoms, ir per mažai ekonomikai. </w:t>
      </w:r>
      <w:r w:rsidR="00DF2E11">
        <w:rPr>
          <w:color w:val="595959" w:themeColor="text1" w:themeTint="A6"/>
          <w:szCs w:val="24"/>
          <w:lang w:eastAsia="lt-LT"/>
        </w:rPr>
        <w:t xml:space="preserve">Socialinės apsaugos srityje </w:t>
      </w:r>
      <w:r w:rsidR="00D617B9">
        <w:rPr>
          <w:color w:val="595959" w:themeColor="text1" w:themeTint="A6"/>
          <w:szCs w:val="24"/>
          <w:lang w:eastAsia="lt-LT"/>
        </w:rPr>
        <w:t>rekomenduota</w:t>
      </w:r>
      <w:r w:rsidR="00DF2E11">
        <w:rPr>
          <w:color w:val="595959" w:themeColor="text1" w:themeTint="A6"/>
          <w:szCs w:val="24"/>
          <w:lang w:eastAsia="lt-LT"/>
        </w:rPr>
        <w:t xml:space="preserve"> </w:t>
      </w:r>
      <w:r w:rsidR="006E6A18">
        <w:rPr>
          <w:color w:val="595959" w:themeColor="text1" w:themeTint="A6"/>
          <w:szCs w:val="24"/>
          <w:lang w:eastAsia="lt-LT"/>
        </w:rPr>
        <w:t xml:space="preserve">nesusitelkti tik į </w:t>
      </w:r>
      <w:r w:rsidR="00DF2E11" w:rsidRPr="00DF2E11">
        <w:rPr>
          <w:color w:val="595959" w:themeColor="text1" w:themeTint="A6"/>
          <w:szCs w:val="24"/>
          <w:lang w:eastAsia="lt-LT"/>
        </w:rPr>
        <w:t xml:space="preserve">fizinio darbo vietų saugumo užtikrinimą. </w:t>
      </w:r>
      <w:r w:rsidR="006E6A18">
        <w:rPr>
          <w:color w:val="595959" w:themeColor="text1" w:themeTint="A6"/>
          <w:szCs w:val="24"/>
          <w:lang w:eastAsia="lt-LT"/>
        </w:rPr>
        <w:t>Š</w:t>
      </w:r>
      <w:r w:rsidR="000C1CE1">
        <w:rPr>
          <w:color w:val="595959" w:themeColor="text1" w:themeTint="A6"/>
          <w:szCs w:val="24"/>
          <w:lang w:eastAsia="lt-LT"/>
        </w:rPr>
        <w:t>v</w:t>
      </w:r>
      <w:r w:rsidR="006E6A18">
        <w:rPr>
          <w:color w:val="595959" w:themeColor="text1" w:themeTint="A6"/>
          <w:szCs w:val="24"/>
          <w:lang w:eastAsia="lt-LT"/>
        </w:rPr>
        <w:t>i</w:t>
      </w:r>
      <w:r w:rsidR="000C1CE1">
        <w:rPr>
          <w:color w:val="595959" w:themeColor="text1" w:themeTint="A6"/>
          <w:szCs w:val="24"/>
          <w:lang w:eastAsia="lt-LT"/>
        </w:rPr>
        <w:t>e</w:t>
      </w:r>
      <w:r w:rsidR="006E6A18">
        <w:rPr>
          <w:color w:val="595959" w:themeColor="text1" w:themeTint="A6"/>
          <w:szCs w:val="24"/>
          <w:lang w:eastAsia="lt-LT"/>
        </w:rPr>
        <w:t xml:space="preserve">timo srityje pabrėžta </w:t>
      </w:r>
      <w:r w:rsidR="006E6A18" w:rsidRPr="006E6A18">
        <w:rPr>
          <w:color w:val="595959" w:themeColor="text1" w:themeTint="A6"/>
          <w:szCs w:val="24"/>
          <w:lang w:eastAsia="lt-LT"/>
        </w:rPr>
        <w:t>socialin</w:t>
      </w:r>
      <w:r w:rsidR="006E6A18">
        <w:rPr>
          <w:color w:val="595959" w:themeColor="text1" w:themeTint="A6"/>
          <w:szCs w:val="24"/>
          <w:lang w:eastAsia="lt-LT"/>
        </w:rPr>
        <w:t xml:space="preserve">ių </w:t>
      </w:r>
      <w:r w:rsidR="006E6A18" w:rsidRPr="006E6A18">
        <w:rPr>
          <w:color w:val="595959" w:themeColor="text1" w:themeTint="A6"/>
          <w:szCs w:val="24"/>
          <w:lang w:eastAsia="lt-LT"/>
        </w:rPr>
        <w:t>kompetencij</w:t>
      </w:r>
      <w:r w:rsidR="006E6A18">
        <w:rPr>
          <w:color w:val="595959" w:themeColor="text1" w:themeTint="A6"/>
          <w:szCs w:val="24"/>
          <w:lang w:eastAsia="lt-LT"/>
        </w:rPr>
        <w:t>ų, holistinio švietimo s</w:t>
      </w:r>
      <w:r w:rsidR="006E6A18" w:rsidRPr="006E6A18">
        <w:rPr>
          <w:color w:val="595959" w:themeColor="text1" w:themeTint="A6"/>
          <w:szCs w:val="24"/>
          <w:lang w:eastAsia="lt-LT"/>
        </w:rPr>
        <w:t>varb</w:t>
      </w:r>
      <w:r w:rsidR="006E6A18">
        <w:rPr>
          <w:color w:val="595959" w:themeColor="text1" w:themeTint="A6"/>
          <w:szCs w:val="24"/>
          <w:lang w:eastAsia="lt-LT"/>
        </w:rPr>
        <w:t>a.</w:t>
      </w:r>
      <w:r w:rsidR="000C1CE1">
        <w:rPr>
          <w:color w:val="595959" w:themeColor="text1" w:themeTint="A6"/>
          <w:szCs w:val="24"/>
          <w:lang w:eastAsia="lt-LT"/>
        </w:rPr>
        <w:t xml:space="preserve"> Sveikatos srities </w:t>
      </w:r>
      <w:r w:rsidR="000C1CE1" w:rsidRPr="000C1CE1">
        <w:rPr>
          <w:color w:val="595959" w:themeColor="text1" w:themeTint="A6"/>
          <w:szCs w:val="24"/>
          <w:lang w:eastAsia="lt-LT"/>
        </w:rPr>
        <w:t>intervencij</w:t>
      </w:r>
      <w:r w:rsidR="000C1CE1">
        <w:rPr>
          <w:color w:val="595959" w:themeColor="text1" w:themeTint="A6"/>
          <w:szCs w:val="24"/>
          <w:lang w:eastAsia="lt-LT"/>
        </w:rPr>
        <w:t>as socialiniai parteriai siūlo derinti su intervencijomis</w:t>
      </w:r>
      <w:r w:rsidR="000C1CE1" w:rsidRPr="000C1CE1">
        <w:rPr>
          <w:color w:val="595959" w:themeColor="text1" w:themeTint="A6"/>
          <w:szCs w:val="24"/>
          <w:lang w:eastAsia="lt-LT"/>
        </w:rPr>
        <w:t xml:space="preserve"> kitose viešosios politikos srityse</w:t>
      </w:r>
      <w:r w:rsidR="000C1CE1">
        <w:rPr>
          <w:color w:val="595959" w:themeColor="text1" w:themeTint="A6"/>
          <w:szCs w:val="24"/>
          <w:lang w:eastAsia="lt-LT"/>
        </w:rPr>
        <w:t>,</w:t>
      </w:r>
      <w:r w:rsidR="000C1CE1" w:rsidRPr="000C1CE1">
        <w:rPr>
          <w:color w:val="595959" w:themeColor="text1" w:themeTint="A6"/>
          <w:szCs w:val="24"/>
          <w:lang w:eastAsia="lt-LT"/>
        </w:rPr>
        <w:t xml:space="preserve"> siekiant skatinti Lietuvos įmones kurti sveikatos srities inovacijas, gaminti išmanią medicinos įrangą, plėtoti telemediciną.</w:t>
      </w:r>
      <w:r w:rsidR="000C1CE1">
        <w:rPr>
          <w:color w:val="595959" w:themeColor="text1" w:themeTint="A6"/>
          <w:szCs w:val="24"/>
          <w:lang w:eastAsia="lt-LT"/>
        </w:rPr>
        <w:t xml:space="preserve"> </w:t>
      </w:r>
      <w:r w:rsidR="005A55E6">
        <w:rPr>
          <w:color w:val="595959" w:themeColor="text1" w:themeTint="A6"/>
          <w:szCs w:val="24"/>
          <w:lang w:eastAsia="lt-LT"/>
        </w:rPr>
        <w:t xml:space="preserve">Socialiniai partneriai regioninių intervencijų </w:t>
      </w:r>
      <w:r w:rsidR="000C1CE1">
        <w:rPr>
          <w:color w:val="595959" w:themeColor="text1" w:themeTint="A6"/>
          <w:szCs w:val="24"/>
          <w:lang w:eastAsia="lt-LT"/>
        </w:rPr>
        <w:t>srityje</w:t>
      </w:r>
      <w:r w:rsidR="005A55E6">
        <w:rPr>
          <w:color w:val="595959" w:themeColor="text1" w:themeTint="A6"/>
          <w:szCs w:val="24"/>
          <w:lang w:eastAsia="lt-LT"/>
        </w:rPr>
        <w:t xml:space="preserve"> </w:t>
      </w:r>
      <w:r w:rsidR="00D617B9">
        <w:rPr>
          <w:color w:val="595959" w:themeColor="text1" w:themeTint="A6"/>
          <w:szCs w:val="24"/>
          <w:lang w:eastAsia="lt-LT"/>
        </w:rPr>
        <w:t xml:space="preserve">baiminasi, kad </w:t>
      </w:r>
      <w:r w:rsidR="005A55E6">
        <w:rPr>
          <w:color w:val="595959" w:themeColor="text1" w:themeTint="A6"/>
          <w:szCs w:val="24"/>
          <w:lang w:eastAsia="lt-LT"/>
        </w:rPr>
        <w:t xml:space="preserve">nebūtų </w:t>
      </w:r>
      <w:r w:rsidR="005A55E6" w:rsidRPr="005A55E6">
        <w:rPr>
          <w:color w:val="595959" w:themeColor="text1" w:themeTint="A6"/>
          <w:szCs w:val="24"/>
          <w:lang w:eastAsia="lt-LT"/>
        </w:rPr>
        <w:t>koncentruo</w:t>
      </w:r>
      <w:r w:rsidR="005A55E6">
        <w:rPr>
          <w:color w:val="595959" w:themeColor="text1" w:themeTint="A6"/>
          <w:szCs w:val="24"/>
          <w:lang w:eastAsia="lt-LT"/>
        </w:rPr>
        <w:t xml:space="preserve">jamasi </w:t>
      </w:r>
      <w:r w:rsidR="005A55E6" w:rsidRPr="005A55E6">
        <w:rPr>
          <w:color w:val="595959" w:themeColor="text1" w:themeTint="A6"/>
          <w:szCs w:val="24"/>
          <w:lang w:eastAsia="lt-LT"/>
        </w:rPr>
        <w:t>tik į potencialą turinčius regionus</w:t>
      </w:r>
      <w:r w:rsidR="005A55E6">
        <w:rPr>
          <w:color w:val="595959" w:themeColor="text1" w:themeTint="A6"/>
          <w:szCs w:val="24"/>
          <w:lang w:eastAsia="lt-LT"/>
        </w:rPr>
        <w:t>, nes investicijų koncentravimas gali sukelti</w:t>
      </w:r>
      <w:r w:rsidR="000C1CE1" w:rsidRPr="000C1CE1">
        <w:rPr>
          <w:color w:val="595959" w:themeColor="text1" w:themeTint="A6"/>
          <w:szCs w:val="24"/>
          <w:lang w:eastAsia="lt-LT"/>
        </w:rPr>
        <w:t xml:space="preserve"> socialin</w:t>
      </w:r>
      <w:r w:rsidR="005A55E6">
        <w:rPr>
          <w:color w:val="595959" w:themeColor="text1" w:themeTint="A6"/>
          <w:szCs w:val="24"/>
          <w:lang w:eastAsia="lt-LT"/>
        </w:rPr>
        <w:t>e</w:t>
      </w:r>
      <w:r w:rsidR="00D617B9">
        <w:rPr>
          <w:color w:val="595959" w:themeColor="text1" w:themeTint="A6"/>
          <w:szCs w:val="24"/>
          <w:lang w:eastAsia="lt-LT"/>
        </w:rPr>
        <w:t>s</w:t>
      </w:r>
      <w:r w:rsidR="000C1CE1" w:rsidRPr="000C1CE1">
        <w:rPr>
          <w:color w:val="595959" w:themeColor="text1" w:themeTint="A6"/>
          <w:szCs w:val="24"/>
          <w:lang w:eastAsia="lt-LT"/>
        </w:rPr>
        <w:t>, paslaugų neprieinamum</w:t>
      </w:r>
      <w:r w:rsidR="005A55E6">
        <w:rPr>
          <w:color w:val="595959" w:themeColor="text1" w:themeTint="A6"/>
          <w:szCs w:val="24"/>
          <w:lang w:eastAsia="lt-LT"/>
        </w:rPr>
        <w:t xml:space="preserve">o, ekologines ir kt. problemas. </w:t>
      </w:r>
      <w:r w:rsidR="00D617B9">
        <w:rPr>
          <w:color w:val="595959" w:themeColor="text1" w:themeTint="A6"/>
          <w:szCs w:val="24"/>
          <w:lang w:eastAsia="lt-LT"/>
        </w:rPr>
        <w:t xml:space="preserve">Viešosiose diskusijose </w:t>
      </w:r>
      <w:r w:rsidR="005A55E6">
        <w:rPr>
          <w:color w:val="595959" w:themeColor="text1" w:themeTint="A6"/>
          <w:szCs w:val="24"/>
          <w:lang w:eastAsia="lt-LT"/>
        </w:rPr>
        <w:t>pageida</w:t>
      </w:r>
      <w:r w:rsidR="00D617B9">
        <w:rPr>
          <w:color w:val="595959" w:themeColor="text1" w:themeTint="A6"/>
          <w:szCs w:val="24"/>
          <w:lang w:eastAsia="lt-LT"/>
        </w:rPr>
        <w:t>uta</w:t>
      </w:r>
      <w:r w:rsidR="005A55E6">
        <w:rPr>
          <w:color w:val="595959" w:themeColor="text1" w:themeTint="A6"/>
          <w:szCs w:val="24"/>
          <w:lang w:eastAsia="lt-LT"/>
        </w:rPr>
        <w:t xml:space="preserve"> platesnio regioninių intervencijų ir administravimo modelio pristatymo</w:t>
      </w:r>
      <w:r w:rsidR="005A55E6" w:rsidRPr="005A55E6">
        <w:rPr>
          <w:color w:val="595959" w:themeColor="text1" w:themeTint="A6"/>
          <w:szCs w:val="24"/>
          <w:lang w:eastAsia="lt-LT"/>
        </w:rPr>
        <w:t xml:space="preserve"> Regionų plėtros tarybose</w:t>
      </w:r>
      <w:r w:rsidR="005A55E6">
        <w:rPr>
          <w:color w:val="595959" w:themeColor="text1" w:themeTint="A6"/>
          <w:szCs w:val="24"/>
          <w:lang w:eastAsia="lt-LT"/>
        </w:rPr>
        <w:t>.</w:t>
      </w:r>
    </w:p>
    <w:p w:rsidR="00632CDD" w:rsidRPr="00C4777B" w:rsidRDefault="001E2D7D" w:rsidP="00781D4F">
      <w:pPr>
        <w:ind w:firstLine="426"/>
        <w:jc w:val="both"/>
        <w:rPr>
          <w:color w:val="595959" w:themeColor="text1" w:themeTint="A6"/>
          <w:szCs w:val="24"/>
          <w:lang w:eastAsia="lt-LT"/>
        </w:rPr>
      </w:pPr>
      <w:r w:rsidRPr="00C4777B">
        <w:rPr>
          <w:color w:val="595959" w:themeColor="text1" w:themeTint="A6"/>
          <w:szCs w:val="24"/>
          <w:lang w:eastAsia="lt-LT"/>
        </w:rPr>
        <w:t>Įvertinus a</w:t>
      </w:r>
      <w:r w:rsidR="00632CDD" w:rsidRPr="00C4777B">
        <w:rPr>
          <w:color w:val="595959" w:themeColor="text1" w:themeTint="A6"/>
          <w:szCs w:val="24"/>
          <w:lang w:eastAsia="lt-LT"/>
        </w:rPr>
        <w:t>pibendrin</w:t>
      </w:r>
      <w:r w:rsidRPr="00C4777B">
        <w:rPr>
          <w:color w:val="595959" w:themeColor="text1" w:themeTint="A6"/>
          <w:szCs w:val="24"/>
          <w:lang w:eastAsia="lt-LT"/>
        </w:rPr>
        <w:t>t</w:t>
      </w:r>
      <w:r w:rsidR="00632CDD" w:rsidRPr="00C4777B">
        <w:rPr>
          <w:color w:val="595959" w:themeColor="text1" w:themeTint="A6"/>
          <w:szCs w:val="24"/>
          <w:lang w:eastAsia="lt-LT"/>
        </w:rPr>
        <w:t>us</w:t>
      </w:r>
      <w:r w:rsidRPr="00C4777B">
        <w:rPr>
          <w:color w:val="595959" w:themeColor="text1" w:themeTint="A6"/>
          <w:szCs w:val="24"/>
          <w:lang w:eastAsia="lt-LT"/>
        </w:rPr>
        <w:t xml:space="preserve"> </w:t>
      </w:r>
      <w:r w:rsidR="00632CDD" w:rsidRPr="00C4777B">
        <w:rPr>
          <w:color w:val="595959" w:themeColor="text1" w:themeTint="A6"/>
          <w:szCs w:val="24"/>
          <w:lang w:eastAsia="lt-LT"/>
        </w:rPr>
        <w:t xml:space="preserve">rašytinių apklausų </w:t>
      </w:r>
      <w:r w:rsidRPr="00C4777B">
        <w:rPr>
          <w:color w:val="595959" w:themeColor="text1" w:themeTint="A6"/>
          <w:szCs w:val="24"/>
          <w:lang w:eastAsia="lt-LT"/>
        </w:rPr>
        <w:t>ir diskusijų</w:t>
      </w:r>
      <w:r w:rsidR="00D617B9">
        <w:rPr>
          <w:color w:val="595959" w:themeColor="text1" w:themeTint="A6"/>
          <w:szCs w:val="24"/>
          <w:lang w:eastAsia="lt-LT"/>
        </w:rPr>
        <w:t xml:space="preserve"> </w:t>
      </w:r>
      <w:hyperlink r:id="rId37" w:history="1">
        <w:proofErr w:type="spellStart"/>
        <w:r w:rsidR="00A82E6C" w:rsidRPr="00A82E6C">
          <w:rPr>
            <w:rStyle w:val="Hipersaitas"/>
            <w:rFonts w:ascii="Tms Rmn" w:eastAsiaTheme="minorHAnsi" w:hAnsi="Tms Rmn" w:cstheme="minorBidi"/>
            <w:szCs w:val="24"/>
            <w:lang w:val="en-GB"/>
          </w:rPr>
          <w:t>rezultatus</w:t>
        </w:r>
        <w:proofErr w:type="spellEnd"/>
      </w:hyperlink>
      <w:r w:rsidRPr="00C4777B">
        <w:rPr>
          <w:color w:val="595959" w:themeColor="text1" w:themeTint="A6"/>
          <w:szCs w:val="24"/>
          <w:lang w:eastAsia="lt-LT"/>
        </w:rPr>
        <w:t xml:space="preserve"> </w:t>
      </w:r>
      <w:hyperlink r:id="rId38" w:history="1"/>
      <w:r w:rsidRPr="00C4777B">
        <w:rPr>
          <w:color w:val="595959" w:themeColor="text1" w:themeTint="A6"/>
          <w:szCs w:val="24"/>
          <w:lang w:eastAsia="lt-LT"/>
        </w:rPr>
        <w:t>bus t</w:t>
      </w:r>
      <w:r w:rsidR="006E16A7">
        <w:rPr>
          <w:color w:val="595959" w:themeColor="text1" w:themeTint="A6"/>
          <w:szCs w:val="24"/>
          <w:lang w:eastAsia="lt-LT"/>
        </w:rPr>
        <w:t>obulinamas programos projektas.</w:t>
      </w:r>
    </w:p>
    <w:p w:rsidR="008555F5" w:rsidRDefault="008555F5" w:rsidP="00B1574B">
      <w:pPr>
        <w:ind w:firstLine="426"/>
        <w:jc w:val="both"/>
        <w:rPr>
          <w:color w:val="595959" w:themeColor="text1" w:themeTint="A6"/>
          <w:szCs w:val="24"/>
          <w:lang w:eastAsia="lt-LT"/>
        </w:rPr>
      </w:pPr>
      <w:r>
        <w:rPr>
          <w:color w:val="595959" w:themeColor="text1" w:themeTint="A6"/>
          <w:szCs w:val="24"/>
          <w:lang w:eastAsia="lt-LT"/>
        </w:rPr>
        <w:t xml:space="preserve">2020 m. rugsėjo 17 d. įvykusiame 2014–2020 metų ES fondų investicijų veiksmų programos stebėsenos komiteto posėdyje buvo pritarta pasiūlymui iš dalies keisti Veiksmų programą, papildant ją nauju 13 prioritetu </w:t>
      </w:r>
      <w:r w:rsidRPr="008555F5">
        <w:rPr>
          <w:color w:val="595959" w:themeColor="text1" w:themeTint="A6"/>
          <w:szCs w:val="24"/>
          <w:lang w:eastAsia="lt-LT"/>
        </w:rPr>
        <w:t xml:space="preserve">„Veiksmų, skirtų </w:t>
      </w:r>
      <w:proofErr w:type="spellStart"/>
      <w:r w:rsidRPr="008555F5">
        <w:rPr>
          <w:color w:val="595959" w:themeColor="text1" w:themeTint="A6"/>
          <w:szCs w:val="24"/>
          <w:lang w:eastAsia="lt-LT"/>
        </w:rPr>
        <w:t>C</w:t>
      </w:r>
      <w:r w:rsidR="00F33072">
        <w:rPr>
          <w:color w:val="595959" w:themeColor="text1" w:themeTint="A6"/>
          <w:szCs w:val="24"/>
          <w:lang w:eastAsia="lt-LT"/>
        </w:rPr>
        <w:t>ovid</w:t>
      </w:r>
      <w:r w:rsidRPr="008555F5">
        <w:rPr>
          <w:color w:val="595959" w:themeColor="text1" w:themeTint="A6"/>
          <w:szCs w:val="24"/>
          <w:lang w:eastAsia="lt-LT"/>
        </w:rPr>
        <w:t>-19</w:t>
      </w:r>
      <w:proofErr w:type="spellEnd"/>
      <w:r w:rsidRPr="008555F5">
        <w:rPr>
          <w:color w:val="595959" w:themeColor="text1" w:themeTint="A6"/>
          <w:szCs w:val="24"/>
          <w:lang w:eastAsia="lt-LT"/>
        </w:rPr>
        <w:t xml:space="preserve"> pandemijos sukeltai krizei įveikti, skatinimas ir pasirengimas žaliajam, skaitmeniniam ir atspariam ekonomikos atgaivinimui“</w:t>
      </w:r>
      <w:r>
        <w:rPr>
          <w:color w:val="595959" w:themeColor="text1" w:themeTint="A6"/>
          <w:szCs w:val="24"/>
          <w:lang w:eastAsia="lt-LT"/>
        </w:rPr>
        <w:t xml:space="preserve">. </w:t>
      </w:r>
      <w:r w:rsidR="00043745" w:rsidRPr="00043745">
        <w:rPr>
          <w:color w:val="595959" w:themeColor="text1" w:themeTint="A6"/>
          <w:szCs w:val="24"/>
          <w:lang w:eastAsia="lt-LT"/>
        </w:rPr>
        <w:t xml:space="preserve">Siūlomi Veiksmų programos pakeitimai, parengti atsižvelgiant į susidariusią ekstremalią situaciją dėl </w:t>
      </w:r>
      <w:proofErr w:type="spellStart"/>
      <w:r w:rsidR="00043745" w:rsidRPr="00043745">
        <w:rPr>
          <w:color w:val="595959" w:themeColor="text1" w:themeTint="A6"/>
          <w:szCs w:val="24"/>
          <w:lang w:eastAsia="lt-LT"/>
        </w:rPr>
        <w:t>koronaviruso</w:t>
      </w:r>
      <w:proofErr w:type="spellEnd"/>
      <w:r w:rsidR="00043745" w:rsidRPr="00043745">
        <w:rPr>
          <w:color w:val="595959" w:themeColor="text1" w:themeTint="A6"/>
          <w:szCs w:val="24"/>
          <w:lang w:eastAsia="lt-LT"/>
        </w:rPr>
        <w:t xml:space="preserve"> (</w:t>
      </w:r>
      <w:proofErr w:type="spellStart"/>
      <w:r w:rsidR="00043745" w:rsidRPr="00043745">
        <w:rPr>
          <w:color w:val="595959" w:themeColor="text1" w:themeTint="A6"/>
          <w:szCs w:val="24"/>
          <w:lang w:eastAsia="lt-LT"/>
        </w:rPr>
        <w:t>C</w:t>
      </w:r>
      <w:r w:rsidR="00F33072">
        <w:rPr>
          <w:color w:val="595959" w:themeColor="text1" w:themeTint="A6"/>
          <w:szCs w:val="24"/>
          <w:lang w:eastAsia="lt-LT"/>
        </w:rPr>
        <w:t>ovid</w:t>
      </w:r>
      <w:r w:rsidR="00043745" w:rsidRPr="00043745">
        <w:rPr>
          <w:color w:val="595959" w:themeColor="text1" w:themeTint="A6"/>
          <w:szCs w:val="24"/>
          <w:lang w:eastAsia="lt-LT"/>
        </w:rPr>
        <w:t>-19)</w:t>
      </w:r>
      <w:proofErr w:type="spellEnd"/>
      <w:r w:rsidR="00043745" w:rsidRPr="00043745">
        <w:rPr>
          <w:color w:val="595959" w:themeColor="text1" w:themeTint="A6"/>
          <w:szCs w:val="24"/>
          <w:lang w:eastAsia="lt-LT"/>
        </w:rPr>
        <w:t xml:space="preserve"> bei remiantis Europos Komisijos </w:t>
      </w:r>
      <w:r w:rsidR="00335742">
        <w:rPr>
          <w:color w:val="595959" w:themeColor="text1" w:themeTint="A6"/>
          <w:szCs w:val="24"/>
          <w:lang w:eastAsia="lt-LT"/>
        </w:rPr>
        <w:t>pasiūlyta nauja „React–EU“ iniciatyva, kuri</w:t>
      </w:r>
      <w:r w:rsidR="0002138B">
        <w:rPr>
          <w:color w:val="595959" w:themeColor="text1" w:themeTint="A6"/>
          <w:szCs w:val="24"/>
          <w:lang w:eastAsia="lt-LT"/>
        </w:rPr>
        <w:t xml:space="preserve"> skirta</w:t>
      </w:r>
      <w:r w:rsidR="00043745" w:rsidRPr="00043745">
        <w:rPr>
          <w:color w:val="595959" w:themeColor="text1" w:themeTint="A6"/>
          <w:szCs w:val="24"/>
          <w:lang w:eastAsia="lt-LT"/>
        </w:rPr>
        <w:t xml:space="preserve"> lėšas tikslingai nukreipti kovai su </w:t>
      </w:r>
      <w:proofErr w:type="spellStart"/>
      <w:r w:rsidR="00055E9D">
        <w:rPr>
          <w:color w:val="595959" w:themeColor="text1" w:themeTint="A6"/>
          <w:szCs w:val="24"/>
          <w:lang w:eastAsia="lt-LT"/>
        </w:rPr>
        <w:t>C</w:t>
      </w:r>
      <w:r w:rsidR="00F33072">
        <w:rPr>
          <w:color w:val="595959" w:themeColor="text1" w:themeTint="A6"/>
          <w:szCs w:val="24"/>
          <w:lang w:eastAsia="lt-LT"/>
        </w:rPr>
        <w:t>ovid</w:t>
      </w:r>
      <w:r w:rsidR="00043745" w:rsidRPr="00043745">
        <w:rPr>
          <w:color w:val="595959" w:themeColor="text1" w:themeTint="A6"/>
          <w:szCs w:val="24"/>
          <w:lang w:eastAsia="lt-LT"/>
        </w:rPr>
        <w:t>-19</w:t>
      </w:r>
      <w:proofErr w:type="spellEnd"/>
      <w:r w:rsidR="00043745" w:rsidRPr="00043745">
        <w:rPr>
          <w:color w:val="595959" w:themeColor="text1" w:themeTint="A6"/>
          <w:szCs w:val="24"/>
          <w:lang w:eastAsia="lt-LT"/>
        </w:rPr>
        <w:t xml:space="preserve"> pasekmėmis ir ekonomikos gaivinimui, užtikrinant jos atsparumą galimiems šokams ateityje.</w:t>
      </w:r>
      <w:r w:rsidR="00043745">
        <w:rPr>
          <w:color w:val="595959" w:themeColor="text1" w:themeTint="A6"/>
          <w:szCs w:val="24"/>
          <w:lang w:eastAsia="lt-LT"/>
        </w:rPr>
        <w:t xml:space="preserve"> </w:t>
      </w:r>
    </w:p>
    <w:p w:rsidR="00043745" w:rsidRPr="008555F5" w:rsidRDefault="00043745" w:rsidP="00B1574B">
      <w:pPr>
        <w:ind w:firstLine="426"/>
        <w:jc w:val="both"/>
        <w:rPr>
          <w:color w:val="595959" w:themeColor="text1" w:themeTint="A6"/>
          <w:szCs w:val="24"/>
          <w:lang w:eastAsia="lt-LT"/>
        </w:rPr>
      </w:pPr>
      <w:r>
        <w:rPr>
          <w:color w:val="595959" w:themeColor="text1" w:themeTint="A6"/>
          <w:szCs w:val="24"/>
          <w:lang w:eastAsia="lt-LT"/>
        </w:rPr>
        <w:t xml:space="preserve">Pasiūlymas keisti Veiksmų programą šiuo metu yra neformaliai derinamas su Europos Komisija, siekiant užtikrinti maksimaliai sklandų ir operatyvų </w:t>
      </w:r>
      <w:r w:rsidR="00B1574B">
        <w:rPr>
          <w:color w:val="595959" w:themeColor="text1" w:themeTint="A6"/>
          <w:szCs w:val="24"/>
          <w:lang w:eastAsia="lt-LT"/>
        </w:rPr>
        <w:t xml:space="preserve">oficialų </w:t>
      </w:r>
      <w:r>
        <w:rPr>
          <w:color w:val="595959" w:themeColor="text1" w:themeTint="A6"/>
          <w:szCs w:val="24"/>
          <w:lang w:eastAsia="lt-LT"/>
        </w:rPr>
        <w:t>Veiksmų programos pakeitimo pateikimą Europos K</w:t>
      </w:r>
      <w:r w:rsidR="00B1574B">
        <w:rPr>
          <w:color w:val="595959" w:themeColor="text1" w:themeTint="A6"/>
          <w:szCs w:val="24"/>
          <w:lang w:eastAsia="lt-LT"/>
        </w:rPr>
        <w:t>omisijai, kai bus patvirtintas Reglamento dėl React</w:t>
      </w:r>
      <w:proofErr w:type="gramStart"/>
      <w:r w:rsidR="00B1574B">
        <w:rPr>
          <w:color w:val="595959" w:themeColor="text1" w:themeTint="A6"/>
          <w:szCs w:val="24"/>
          <w:lang w:eastAsia="lt-LT"/>
        </w:rPr>
        <w:t>-</w:t>
      </w:r>
      <w:proofErr w:type="gramEnd"/>
      <w:r w:rsidR="00B1574B">
        <w:rPr>
          <w:color w:val="595959" w:themeColor="text1" w:themeTint="A6"/>
          <w:szCs w:val="24"/>
          <w:lang w:eastAsia="lt-LT"/>
        </w:rPr>
        <w:t>EU iniciatyvos pakeitimas.</w:t>
      </w:r>
    </w:p>
    <w:p w:rsidR="008555F5" w:rsidRPr="00C4777B" w:rsidRDefault="008555F5" w:rsidP="00C92FA0">
      <w:pPr>
        <w:jc w:val="both"/>
        <w:rPr>
          <w:color w:val="595959" w:themeColor="text1" w:themeTint="A6"/>
          <w:szCs w:val="24"/>
          <w:lang w:eastAsia="lt-LT"/>
        </w:rPr>
      </w:pPr>
    </w:p>
    <w:p w:rsidR="006B6766" w:rsidRPr="00C4777B" w:rsidRDefault="006B6766" w:rsidP="006B6766">
      <w:pPr>
        <w:pStyle w:val="tekstas"/>
        <w:rPr>
          <w:rFonts w:ascii="Times New Roman" w:hAnsi="Times New Roman"/>
          <w:color w:val="595959" w:themeColor="text1" w:themeTint="A6"/>
        </w:rPr>
      </w:pPr>
      <w:r w:rsidRPr="00C4777B">
        <w:rPr>
          <w:rFonts w:ascii="Times New Roman" w:hAnsi="Times New Roman"/>
          <w:color w:val="595959" w:themeColor="text1" w:themeTint="A6"/>
        </w:rPr>
        <w:t xml:space="preserve">Visa informacija, susijusi su naujojo laikotarpio Sanglaudos politikos investicijų programavimu, skelbiama internetinės svetainės skiltyje </w:t>
      </w:r>
      <w:r w:rsidRPr="00C4777B">
        <w:rPr>
          <w:rFonts w:ascii="Times New Roman" w:hAnsi="Times New Roman"/>
          <w:i/>
          <w:color w:val="595959" w:themeColor="text1" w:themeTint="A6"/>
        </w:rPr>
        <w:t>Pasirengimas 2021–2027 (</w:t>
      </w:r>
      <w:hyperlink r:id="rId39" w:history="1">
        <w:r w:rsidRPr="00C4777B">
          <w:rPr>
            <w:rStyle w:val="Hipersaitas"/>
            <w:rFonts w:ascii="Times New Roman" w:hAnsi="Times New Roman"/>
            <w:color w:val="595959" w:themeColor="text1" w:themeTint="A6"/>
          </w:rPr>
          <w:t>https://www.esinvesticijos.lt/lt/pasirengimas-2021</w:t>
        </w:r>
        <w:r w:rsidR="004A7D70" w:rsidRPr="00C4777B">
          <w:rPr>
            <w:color w:val="595959" w:themeColor="text1" w:themeTint="A6"/>
            <w:u w:val="single"/>
            <w:lang w:eastAsia="lt-LT"/>
          </w:rPr>
          <w:t>–</w:t>
        </w:r>
        <w:r w:rsidRPr="00C4777B">
          <w:rPr>
            <w:rStyle w:val="Hipersaitas"/>
            <w:rFonts w:ascii="Times New Roman" w:hAnsi="Times New Roman"/>
            <w:color w:val="595959" w:themeColor="text1" w:themeTint="A6"/>
          </w:rPr>
          <w:t>2027</w:t>
        </w:r>
      </w:hyperlink>
      <w:r w:rsidRPr="00C4777B">
        <w:rPr>
          <w:rFonts w:ascii="Times New Roman" w:hAnsi="Times New Roman"/>
          <w:color w:val="595959" w:themeColor="text1" w:themeTint="A6"/>
        </w:rPr>
        <w:t>), kuriame visos institucijos bei socialiniai–ekonominiai partneriai gali rasti visą koncentruotą, aktualią informaciją.</w:t>
      </w:r>
    </w:p>
    <w:p w:rsidR="006324E2" w:rsidRPr="00C4777B" w:rsidRDefault="006324E2" w:rsidP="006324E2">
      <w:pPr>
        <w:pStyle w:val="tekstas"/>
        <w:rPr>
          <w:rFonts w:ascii="Times New Roman" w:hAnsi="Times New Roman"/>
          <w:color w:val="595959" w:themeColor="text1" w:themeTint="A6"/>
        </w:rPr>
      </w:pPr>
    </w:p>
    <w:p w:rsidR="00C60C4F" w:rsidRPr="00DF3F93" w:rsidRDefault="00C60C4F" w:rsidP="006324E2">
      <w:pPr>
        <w:pStyle w:val="tekstas"/>
        <w:rPr>
          <w:rFonts w:ascii="Times New Roman" w:hAnsi="Times New Roman"/>
        </w:rPr>
      </w:pPr>
      <w:r w:rsidRPr="00DF3F93">
        <w:rPr>
          <w:rFonts w:ascii="Times New Roman" w:hAnsi="Times New Roman"/>
        </w:rPr>
        <w:br w:type="page"/>
      </w:r>
      <w:r w:rsidR="006324E2" w:rsidRPr="00DF3F93">
        <w:rPr>
          <w:rFonts w:ascii="Times New Roman" w:hAnsi="Times New Roman"/>
        </w:rPr>
        <w:t xml:space="preserve"> </w:t>
      </w:r>
    </w:p>
    <w:p w:rsidR="00007F90" w:rsidRPr="00DF3F93" w:rsidRDefault="00007F90" w:rsidP="00007F90">
      <w:pPr>
        <w:jc w:val="both"/>
        <w:rPr>
          <w:color w:val="666666"/>
          <w:szCs w:val="24"/>
        </w:rPr>
      </w:pPr>
    </w:p>
    <w:p w:rsidR="00007F90" w:rsidRPr="00DF3F93" w:rsidRDefault="00007F90" w:rsidP="00007F90">
      <w:pPr>
        <w:jc w:val="center"/>
        <w:rPr>
          <w:rFonts w:eastAsia="Calibri"/>
          <w:b/>
          <w:noProof/>
          <w:color w:val="0070C0"/>
          <w:szCs w:val="24"/>
          <w:lang w:eastAsia="lt-LT"/>
        </w:rPr>
      </w:pPr>
      <w:r w:rsidRPr="00DF3F93">
        <w:rPr>
          <w:rFonts w:eastAsia="Calibri"/>
          <w:b/>
          <w:noProof/>
          <w:color w:val="0070C0"/>
          <w:szCs w:val="24"/>
          <w:lang w:eastAsia="lt-LT"/>
        </w:rPr>
        <w:drawing>
          <wp:inline distT="0" distB="0" distL="0" distR="0" wp14:anchorId="21B475B8" wp14:editId="2314D2A3">
            <wp:extent cx="2618483" cy="1350070"/>
            <wp:effectExtent l="0" t="0" r="0" b="254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0891" cy="1351311"/>
                    </a:xfrm>
                    <a:prstGeom prst="rect">
                      <a:avLst/>
                    </a:prstGeom>
                    <a:noFill/>
                    <a:ln>
                      <a:noFill/>
                    </a:ln>
                  </pic:spPr>
                </pic:pic>
              </a:graphicData>
            </a:graphic>
          </wp:inline>
        </w:drawing>
      </w:r>
      <w:r w:rsidRPr="00DF3F93">
        <w:rPr>
          <w:rFonts w:eastAsia="Calibri"/>
          <w:b/>
          <w:noProof/>
          <w:color w:val="0070C0"/>
          <w:szCs w:val="24"/>
          <w:lang w:eastAsia="lt-LT"/>
        </w:rPr>
        <w:drawing>
          <wp:inline distT="0" distB="0" distL="0" distR="0" wp14:anchorId="70E172EE" wp14:editId="14030BC0">
            <wp:extent cx="2134725" cy="1283967"/>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7033" cy="1285355"/>
                    </a:xfrm>
                    <a:prstGeom prst="rect">
                      <a:avLst/>
                    </a:prstGeom>
                    <a:noFill/>
                    <a:ln>
                      <a:noFill/>
                    </a:ln>
                  </pic:spPr>
                </pic:pic>
              </a:graphicData>
            </a:graphic>
          </wp:inline>
        </w:drawing>
      </w: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r w:rsidRPr="00DF3F93">
        <w:rPr>
          <w:rFonts w:eastAsia="Calibri"/>
          <w:b/>
          <w:noProof/>
          <w:color w:val="0070C0"/>
          <w:szCs w:val="24"/>
          <w:lang w:eastAsia="lt-LT"/>
        </w:rPr>
        <w:drawing>
          <wp:inline distT="0" distB="0" distL="0" distR="0" wp14:anchorId="53E67ED2" wp14:editId="4C9C0F5C">
            <wp:extent cx="2732567" cy="1351749"/>
            <wp:effectExtent l="0" t="0" r="0" b="127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25858" cy="1348430"/>
                    </a:xfrm>
                    <a:prstGeom prst="rect">
                      <a:avLst/>
                    </a:prstGeom>
                    <a:noFill/>
                    <a:ln>
                      <a:noFill/>
                    </a:ln>
                  </pic:spPr>
                </pic:pic>
              </a:graphicData>
            </a:graphic>
          </wp:inline>
        </w:drawing>
      </w: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rFonts w:eastAsia="Calibri"/>
          <w:b/>
          <w:noProof/>
          <w:color w:val="0070C0"/>
          <w:szCs w:val="24"/>
          <w:lang w:eastAsia="lt-LT"/>
        </w:rPr>
      </w:pPr>
    </w:p>
    <w:p w:rsidR="00007F90" w:rsidRPr="00DF3F93" w:rsidRDefault="00007F90" w:rsidP="00007F90">
      <w:pPr>
        <w:jc w:val="center"/>
        <w:rPr>
          <w:color w:val="666666"/>
          <w:szCs w:val="24"/>
        </w:rPr>
      </w:pPr>
      <w:r w:rsidRPr="00DF3F93">
        <w:rPr>
          <w:rFonts w:eastAsia="Calibri"/>
          <w:b/>
          <w:noProof/>
          <w:color w:val="0070C0"/>
          <w:szCs w:val="24"/>
          <w:lang w:eastAsia="lt-LT"/>
        </w:rPr>
        <w:drawing>
          <wp:inline distT="0" distB="0" distL="0" distR="0" wp14:anchorId="1A062ACB" wp14:editId="79A47693">
            <wp:extent cx="1698683" cy="669851"/>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8292" cy="669697"/>
                    </a:xfrm>
                    <a:prstGeom prst="rect">
                      <a:avLst/>
                    </a:prstGeom>
                    <a:noFill/>
                    <a:ln>
                      <a:noFill/>
                    </a:ln>
                  </pic:spPr>
                </pic:pic>
              </a:graphicData>
            </a:graphic>
          </wp:inline>
        </w:drawing>
      </w:r>
    </w:p>
    <w:bookmarkEnd w:id="32"/>
    <w:p w:rsidR="009F53D9" w:rsidRPr="00DF3F93" w:rsidRDefault="009F53D9" w:rsidP="00A429C5">
      <w:pPr>
        <w:spacing w:after="200" w:line="276" w:lineRule="auto"/>
        <w:rPr>
          <w:color w:val="666666"/>
          <w:szCs w:val="24"/>
        </w:rPr>
      </w:pPr>
    </w:p>
    <w:sectPr w:rsidR="009F53D9" w:rsidRPr="00DF3F93" w:rsidSect="007459D9">
      <w:headerReference w:type="default" r:id="rId43"/>
      <w:footerReference w:type="default" r:id="rId44"/>
      <w:type w:val="continuous"/>
      <w:pgSz w:w="11906" w:h="16838"/>
      <w:pgMar w:top="1100" w:right="567" w:bottom="1134" w:left="1701" w:header="567" w:footer="567" w:gutter="0"/>
      <w:cols w:space="1296"/>
      <w:titlePg/>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4E85EA1" w15:done="0"/>
  <w15:commentEx w15:paraId="6259D6C8" w15:done="0"/>
  <w15:commentEx w15:paraId="5D7E9640" w15:done="0"/>
  <w15:commentEx w15:paraId="5969BD19" w15:done="0"/>
  <w15:commentEx w15:paraId="03A41824" w15:done="0"/>
  <w15:commentEx w15:paraId="493EC40A" w15:done="0"/>
  <w15:commentEx w15:paraId="234D7A7F" w15:done="0"/>
  <w15:commentEx w15:paraId="75E75860" w15:done="0"/>
  <w15:commentEx w15:paraId="31F77513" w15:done="0"/>
  <w15:commentEx w15:paraId="5D099224" w15:done="0"/>
  <w15:commentEx w15:paraId="1EB9F839" w15:done="0"/>
  <w15:commentEx w15:paraId="290F6366" w15:done="0"/>
  <w15:commentEx w15:paraId="5E5C2235" w15:done="0"/>
  <w15:commentEx w15:paraId="1654B0BC" w15:done="0"/>
  <w15:commentEx w15:paraId="080151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6CC5" w:rsidRDefault="008A6CC5" w:rsidP="00885DE2">
      <w:r>
        <w:separator/>
      </w:r>
    </w:p>
    <w:p w:rsidR="008A6CC5" w:rsidRDefault="008A6CC5"/>
  </w:endnote>
  <w:endnote w:type="continuationSeparator" w:id="0">
    <w:p w:rsidR="008A6CC5" w:rsidRDefault="008A6CC5" w:rsidP="00885DE2">
      <w:r>
        <w:continuationSeparator/>
      </w:r>
    </w:p>
    <w:p w:rsidR="008A6CC5" w:rsidRDefault="008A6C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ms Rmn">
    <w:altName w:val="Times New Roman"/>
    <w:panose1 w:val="020206030405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8647423"/>
      <w:docPartObj>
        <w:docPartGallery w:val="Page Numbers (Bottom of Page)"/>
        <w:docPartUnique/>
      </w:docPartObj>
    </w:sdtPr>
    <w:sdtEndPr/>
    <w:sdtContent>
      <w:p w:rsidR="008A6CC5" w:rsidRDefault="008A6CC5">
        <w:pPr>
          <w:pStyle w:val="Porat"/>
          <w:jc w:val="center"/>
        </w:pPr>
      </w:p>
      <w:p w:rsidR="008A6CC5" w:rsidRDefault="008A6CC5">
        <w:pPr>
          <w:pStyle w:val="Porat"/>
          <w:jc w:val="center"/>
        </w:pPr>
        <w:r>
          <w:fldChar w:fldCharType="begin"/>
        </w:r>
        <w:r>
          <w:instrText>PAGE   \* MERGEFORMAT</w:instrText>
        </w:r>
        <w:r>
          <w:fldChar w:fldCharType="separate"/>
        </w:r>
        <w:r w:rsidR="009C1170">
          <w:rPr>
            <w:noProof/>
          </w:rPr>
          <w:t>4</w:t>
        </w:r>
        <w:r>
          <w:fldChar w:fldCharType="end"/>
        </w:r>
      </w:p>
    </w:sdtContent>
  </w:sdt>
  <w:p w:rsidR="008A6CC5" w:rsidRDefault="008A6CC5">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6CC5" w:rsidRDefault="008A6CC5" w:rsidP="00885DE2">
      <w:r>
        <w:separator/>
      </w:r>
    </w:p>
    <w:p w:rsidR="008A6CC5" w:rsidRDefault="008A6CC5"/>
  </w:footnote>
  <w:footnote w:type="continuationSeparator" w:id="0">
    <w:p w:rsidR="008A6CC5" w:rsidRDefault="008A6CC5" w:rsidP="00885DE2">
      <w:r>
        <w:continuationSeparator/>
      </w:r>
    </w:p>
    <w:p w:rsidR="008A6CC5" w:rsidRDefault="008A6CC5"/>
  </w:footnote>
  <w:footnote w:id="1">
    <w:p w:rsidR="008A6CC5" w:rsidRDefault="008A6CC5" w:rsidP="002D507D">
      <w:pPr>
        <w:pStyle w:val="Puslapioinaostekstas"/>
        <w:jc w:val="both"/>
      </w:pPr>
      <w:r>
        <w:rPr>
          <w:rStyle w:val="Puslapioinaosnuoroda"/>
        </w:rPr>
        <w:footnoteRef/>
      </w:r>
      <w:r>
        <w:t xml:space="preserve"> </w:t>
      </w:r>
      <w:r w:rsidRPr="000F063D">
        <w:rPr>
          <w:color w:val="595959" w:themeColor="text1" w:themeTint="A6"/>
        </w:rPr>
        <w:t>Projektai galėjo būti planuojami tik įgyvendinus 2014–2020 metų Europos Sąjungos fondų investicijų veiksmų programos 4 prioriteto 04.5.1-TID</w:t>
      </w:r>
      <w:proofErr w:type="gramStart"/>
      <w:r w:rsidRPr="000F063D">
        <w:rPr>
          <w:color w:val="595959" w:themeColor="text1" w:themeTint="A6"/>
        </w:rPr>
        <w:t>-</w:t>
      </w:r>
      <w:proofErr w:type="gramEnd"/>
      <w:r w:rsidRPr="000F063D">
        <w:rPr>
          <w:color w:val="595959" w:themeColor="text1" w:themeTint="A6"/>
        </w:rPr>
        <w:t>V-513 priemonės ,,Darnaus judumo sistemų kūrimas“ projektus, t. y. parengus d</w:t>
      </w:r>
      <w:r>
        <w:rPr>
          <w:color w:val="595959" w:themeColor="text1" w:themeTint="A6"/>
        </w:rPr>
        <w:t>arnaus judum</w:t>
      </w:r>
      <w:r w:rsidRPr="000F063D">
        <w:rPr>
          <w:color w:val="595959" w:themeColor="text1" w:themeTint="A6"/>
        </w:rPr>
        <w:t>o mieste planus.</w:t>
      </w:r>
    </w:p>
  </w:footnote>
  <w:footnote w:id="2">
    <w:p w:rsidR="008A6CC5" w:rsidRDefault="008A6CC5" w:rsidP="002D507D">
      <w:pPr>
        <w:pStyle w:val="Puslapioinaostekstas"/>
        <w:jc w:val="both"/>
      </w:pPr>
      <w:r>
        <w:rPr>
          <w:rStyle w:val="Puslapioinaosnuoroda"/>
        </w:rPr>
        <w:footnoteRef/>
      </w:r>
      <w:r>
        <w:t xml:space="preserve"> </w:t>
      </w:r>
      <w:proofErr w:type="gramStart"/>
      <w:r w:rsidRPr="000F063D">
        <w:rPr>
          <w:color w:val="595959" w:themeColor="text1" w:themeTint="A6"/>
          <w:lang w:val="en-US"/>
        </w:rPr>
        <w:t xml:space="preserve">2020 m. </w:t>
      </w:r>
      <w:proofErr w:type="spellStart"/>
      <w:r w:rsidRPr="000F063D">
        <w:rPr>
          <w:color w:val="595959" w:themeColor="text1" w:themeTint="A6"/>
          <w:lang w:val="en-US"/>
        </w:rPr>
        <w:t>spalio</w:t>
      </w:r>
      <w:proofErr w:type="spellEnd"/>
      <w:r w:rsidRPr="000F063D">
        <w:rPr>
          <w:color w:val="595959" w:themeColor="text1" w:themeTint="A6"/>
          <w:lang w:val="en-US"/>
        </w:rPr>
        <w:t xml:space="preserve"> 16 d. SFMIS2014 </w:t>
      </w:r>
      <w:proofErr w:type="spellStart"/>
      <w:r w:rsidRPr="000F063D">
        <w:rPr>
          <w:color w:val="595959" w:themeColor="text1" w:themeTint="A6"/>
          <w:lang w:val="en-US"/>
        </w:rPr>
        <w:t>duomenys</w:t>
      </w:r>
      <w:proofErr w:type="spellEnd"/>
      <w:r w:rsidRPr="000F063D">
        <w:rPr>
          <w:color w:val="595959" w:themeColor="text1" w:themeTint="A6"/>
          <w:lang w:val="en-US"/>
        </w:rPr>
        <w:t>.</w:t>
      </w:r>
      <w:proofErr w:type="gramEnd"/>
    </w:p>
  </w:footnote>
  <w:footnote w:id="3">
    <w:p w:rsidR="008A6CC5" w:rsidRPr="002D507D" w:rsidRDefault="008A6CC5" w:rsidP="002D507D">
      <w:pPr>
        <w:pStyle w:val="Puslapioinaostekstas"/>
        <w:jc w:val="both"/>
        <w:rPr>
          <w:color w:val="595959" w:themeColor="text1" w:themeTint="A6"/>
        </w:rPr>
      </w:pPr>
      <w:r w:rsidRPr="002D507D">
        <w:rPr>
          <w:color w:val="595959" w:themeColor="text1" w:themeTint="A6"/>
        </w:rPr>
        <w:footnoteRef/>
      </w:r>
      <w:r w:rsidRPr="002D507D">
        <w:rPr>
          <w:color w:val="595959" w:themeColor="text1" w:themeTint="A6"/>
        </w:rPr>
        <w:t xml:space="preserve"> Lietuvos Respublikos Vyriausybės 2014 m. birželio 4 d. nutarimas Nr. 528 „Dėl atsakomybės ir funkcijų paskirstymo tarp institucijų, įgyvendinant 2014–2020 metų Europos Sąjungos fondų investicijų veiksmų programą, Lietuvos Respublikos Vyriausybės 2014 m. spalio 3 d. nutarimas Nr. 1090 „Dėl 2014–2020 metų Europos Sąjungos fondų investicijų veiksmų programos administravimo taisyklių patvirtinimo“  ir Lietuvos Respublikos finansų ministro 2014 m. spalio 8 d. įsakymas Nr. 1K-316 „Projektų administravimo ir finansavimo taisyklių patvirtinimo“.</w:t>
      </w:r>
    </w:p>
  </w:footnote>
  <w:footnote w:id="4">
    <w:p w:rsidR="008A6CC5" w:rsidRPr="001D6C78" w:rsidRDefault="008A6CC5" w:rsidP="001D6C78">
      <w:pPr>
        <w:pStyle w:val="Puslapioinaostekstas"/>
        <w:rPr>
          <w:color w:val="595959" w:themeColor="text1" w:themeTint="A6"/>
          <w:lang w:val="en-US"/>
        </w:rPr>
      </w:pPr>
      <w:r w:rsidRPr="001D6C78">
        <w:rPr>
          <w:rStyle w:val="Puslapioinaosnuoroda"/>
          <w:color w:val="595959" w:themeColor="text1" w:themeTint="A6"/>
        </w:rPr>
        <w:footnoteRef/>
      </w:r>
      <w:r w:rsidRPr="001D6C78">
        <w:rPr>
          <w:color w:val="595959" w:themeColor="text1" w:themeTint="A6"/>
        </w:rPr>
        <w:t xml:space="preserve"> </w:t>
      </w:r>
      <w:proofErr w:type="gramStart"/>
      <w:r w:rsidRPr="001D6C78">
        <w:rPr>
          <w:color w:val="595959" w:themeColor="text1" w:themeTint="A6"/>
          <w:lang w:val="en-US"/>
        </w:rPr>
        <w:t xml:space="preserve">2020 m. </w:t>
      </w:r>
      <w:proofErr w:type="spellStart"/>
      <w:r w:rsidRPr="001D6C78">
        <w:rPr>
          <w:color w:val="595959" w:themeColor="text1" w:themeTint="A6"/>
          <w:lang w:val="en-US"/>
        </w:rPr>
        <w:t>spalio</w:t>
      </w:r>
      <w:proofErr w:type="spellEnd"/>
      <w:r w:rsidRPr="001D6C78">
        <w:rPr>
          <w:color w:val="595959" w:themeColor="text1" w:themeTint="A6"/>
          <w:lang w:val="en-US"/>
        </w:rPr>
        <w:t xml:space="preserve"> 16 d. SFMIS2014 </w:t>
      </w:r>
      <w:proofErr w:type="spellStart"/>
      <w:r w:rsidRPr="001D6C78">
        <w:rPr>
          <w:color w:val="595959" w:themeColor="text1" w:themeTint="A6"/>
          <w:lang w:val="en-US"/>
        </w:rPr>
        <w:t>duomenys</w:t>
      </w:r>
      <w:proofErr w:type="spellEnd"/>
      <w:r w:rsidRPr="001D6C78">
        <w:rPr>
          <w:color w:val="595959" w:themeColor="text1" w:themeTint="A6"/>
          <w:lang w:val="en-US"/>
        </w:rPr>
        <w:t>.</w:t>
      </w:r>
      <w:proofErr w:type="gramEnd"/>
    </w:p>
  </w:footnote>
  <w:footnote w:id="5">
    <w:p w:rsidR="008A6CC5" w:rsidRPr="002D663D" w:rsidRDefault="008A6CC5" w:rsidP="002D663D">
      <w:pPr>
        <w:pStyle w:val="Puslapioinaostekstas"/>
        <w:jc w:val="both"/>
        <w:rPr>
          <w:color w:val="595959" w:themeColor="text1" w:themeTint="A6"/>
        </w:rPr>
      </w:pPr>
      <w:r w:rsidRPr="002D663D">
        <w:rPr>
          <w:rStyle w:val="Puslapioinaosnuoroda"/>
          <w:color w:val="595959" w:themeColor="text1" w:themeTint="A6"/>
        </w:rPr>
        <w:footnoteRef/>
      </w:r>
      <w:r w:rsidRPr="002D663D">
        <w:rPr>
          <w:color w:val="595959" w:themeColor="text1" w:themeTint="A6"/>
        </w:rPr>
        <w:t xml:space="preserve"> Vidaus reikalų ministerijos 2020 m. spalio 6 d. raštas Nr. 1D-5221 „Dėl projektų sutarčių sudarymo termon pratęsimo“.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6CC5" w:rsidRDefault="008A6CC5" w:rsidP="00B86403">
    <w:pPr>
      <w:pStyle w:val="Antrats"/>
      <w:jc w:val="center"/>
    </w:pPr>
  </w:p>
  <w:p w:rsidR="008A6CC5" w:rsidRDefault="008A6CC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6540C"/>
    <w:multiLevelType w:val="hybridMultilevel"/>
    <w:tmpl w:val="F9920E86"/>
    <w:lvl w:ilvl="0" w:tplc="8586087C">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27AA6AF5"/>
    <w:multiLevelType w:val="hybridMultilevel"/>
    <w:tmpl w:val="D8A24F30"/>
    <w:lvl w:ilvl="0" w:tplc="4EC0729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nsid w:val="2CED31D9"/>
    <w:multiLevelType w:val="hybridMultilevel"/>
    <w:tmpl w:val="71E841D0"/>
    <w:lvl w:ilvl="0" w:tplc="12301B66">
      <w:start w:val="1"/>
      <w:numFmt w:val="upperRoman"/>
      <w:pStyle w:val="Antrat1"/>
      <w:lvlText w:val="%1."/>
      <w:lvlJc w:val="right"/>
      <w:pPr>
        <w:ind w:left="2345"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42A5A7B"/>
    <w:multiLevelType w:val="hybridMultilevel"/>
    <w:tmpl w:val="1AEAD8A2"/>
    <w:lvl w:ilvl="0" w:tplc="2F64812C">
      <w:start w:val="8"/>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nsid w:val="39C15606"/>
    <w:multiLevelType w:val="hybridMultilevel"/>
    <w:tmpl w:val="F28A3102"/>
    <w:lvl w:ilvl="0" w:tplc="04270019">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nsid w:val="437066B5"/>
    <w:multiLevelType w:val="hybridMultilevel"/>
    <w:tmpl w:val="04A47B62"/>
    <w:lvl w:ilvl="0" w:tplc="04090003">
      <w:start w:val="1"/>
      <w:numFmt w:val="bullet"/>
      <w:lvlText w:val="o"/>
      <w:lvlJc w:val="left"/>
      <w:pPr>
        <w:ind w:left="1146" w:hanging="360"/>
      </w:pPr>
      <w:rPr>
        <w:rFonts w:ascii="Courier New" w:hAnsi="Courier New" w:cs="Courier New"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nsid w:val="48D97DBF"/>
    <w:multiLevelType w:val="hybridMultilevel"/>
    <w:tmpl w:val="882A40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E7B6166"/>
    <w:multiLevelType w:val="hybridMultilevel"/>
    <w:tmpl w:val="7326DB5E"/>
    <w:lvl w:ilvl="0" w:tplc="F9944C8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nsid w:val="76101E87"/>
    <w:multiLevelType w:val="hybridMultilevel"/>
    <w:tmpl w:val="A9D84F6C"/>
    <w:lvl w:ilvl="0" w:tplc="E5E2A808">
      <w:numFmt w:val="bullet"/>
      <w:lvlText w:val="-"/>
      <w:lvlJc w:val="left"/>
      <w:pPr>
        <w:ind w:left="405" w:hanging="360"/>
      </w:pPr>
      <w:rPr>
        <w:rFonts w:ascii="Times New Roman" w:eastAsia="Times New Roman" w:hAnsi="Times New Roman" w:cs="Times New Roman" w:hint="default"/>
      </w:rPr>
    </w:lvl>
    <w:lvl w:ilvl="1" w:tplc="04270003" w:tentative="1">
      <w:start w:val="1"/>
      <w:numFmt w:val="bullet"/>
      <w:lvlText w:val="o"/>
      <w:lvlJc w:val="left"/>
      <w:pPr>
        <w:ind w:left="1125" w:hanging="360"/>
      </w:pPr>
      <w:rPr>
        <w:rFonts w:ascii="Courier New" w:hAnsi="Courier New" w:cs="Courier New" w:hint="default"/>
      </w:rPr>
    </w:lvl>
    <w:lvl w:ilvl="2" w:tplc="04270005" w:tentative="1">
      <w:start w:val="1"/>
      <w:numFmt w:val="bullet"/>
      <w:lvlText w:val=""/>
      <w:lvlJc w:val="left"/>
      <w:pPr>
        <w:ind w:left="1845" w:hanging="360"/>
      </w:pPr>
      <w:rPr>
        <w:rFonts w:ascii="Wingdings" w:hAnsi="Wingdings" w:hint="default"/>
      </w:rPr>
    </w:lvl>
    <w:lvl w:ilvl="3" w:tplc="04270001" w:tentative="1">
      <w:start w:val="1"/>
      <w:numFmt w:val="bullet"/>
      <w:lvlText w:val=""/>
      <w:lvlJc w:val="left"/>
      <w:pPr>
        <w:ind w:left="2565" w:hanging="360"/>
      </w:pPr>
      <w:rPr>
        <w:rFonts w:ascii="Symbol" w:hAnsi="Symbol" w:hint="default"/>
      </w:rPr>
    </w:lvl>
    <w:lvl w:ilvl="4" w:tplc="04270003" w:tentative="1">
      <w:start w:val="1"/>
      <w:numFmt w:val="bullet"/>
      <w:lvlText w:val="o"/>
      <w:lvlJc w:val="left"/>
      <w:pPr>
        <w:ind w:left="3285" w:hanging="360"/>
      </w:pPr>
      <w:rPr>
        <w:rFonts w:ascii="Courier New" w:hAnsi="Courier New" w:cs="Courier New" w:hint="default"/>
      </w:rPr>
    </w:lvl>
    <w:lvl w:ilvl="5" w:tplc="04270005" w:tentative="1">
      <w:start w:val="1"/>
      <w:numFmt w:val="bullet"/>
      <w:lvlText w:val=""/>
      <w:lvlJc w:val="left"/>
      <w:pPr>
        <w:ind w:left="4005" w:hanging="360"/>
      </w:pPr>
      <w:rPr>
        <w:rFonts w:ascii="Wingdings" w:hAnsi="Wingdings" w:hint="default"/>
      </w:rPr>
    </w:lvl>
    <w:lvl w:ilvl="6" w:tplc="04270001" w:tentative="1">
      <w:start w:val="1"/>
      <w:numFmt w:val="bullet"/>
      <w:lvlText w:val=""/>
      <w:lvlJc w:val="left"/>
      <w:pPr>
        <w:ind w:left="4725" w:hanging="360"/>
      </w:pPr>
      <w:rPr>
        <w:rFonts w:ascii="Symbol" w:hAnsi="Symbol" w:hint="default"/>
      </w:rPr>
    </w:lvl>
    <w:lvl w:ilvl="7" w:tplc="04270003" w:tentative="1">
      <w:start w:val="1"/>
      <w:numFmt w:val="bullet"/>
      <w:lvlText w:val="o"/>
      <w:lvlJc w:val="left"/>
      <w:pPr>
        <w:ind w:left="5445" w:hanging="360"/>
      </w:pPr>
      <w:rPr>
        <w:rFonts w:ascii="Courier New" w:hAnsi="Courier New" w:cs="Courier New" w:hint="default"/>
      </w:rPr>
    </w:lvl>
    <w:lvl w:ilvl="8" w:tplc="04270005" w:tentative="1">
      <w:start w:val="1"/>
      <w:numFmt w:val="bullet"/>
      <w:lvlText w:val=""/>
      <w:lvlJc w:val="left"/>
      <w:pPr>
        <w:ind w:left="6165" w:hanging="360"/>
      </w:pPr>
      <w:rPr>
        <w:rFonts w:ascii="Wingdings" w:hAnsi="Wingdings" w:hint="default"/>
      </w:rPr>
    </w:lvl>
  </w:abstractNum>
  <w:num w:numId="1">
    <w:abstractNumId w:val="2"/>
  </w:num>
  <w:num w:numId="2">
    <w:abstractNumId w:val="5"/>
  </w:num>
  <w:num w:numId="3">
    <w:abstractNumId w:val="6"/>
  </w:num>
  <w:num w:numId="4">
    <w:abstractNumId w:val="4"/>
  </w:num>
  <w:num w:numId="5">
    <w:abstractNumId w:val="1"/>
  </w:num>
  <w:num w:numId="6">
    <w:abstractNumId w:val="2"/>
    <w:lvlOverride w:ilvl="0">
      <w:startOverride w:val="1"/>
    </w:lvlOverride>
  </w:num>
  <w:num w:numId="7">
    <w:abstractNumId w:val="2"/>
  </w:num>
  <w:num w:numId="8">
    <w:abstractNumId w:val="7"/>
  </w:num>
  <w:num w:numId="9">
    <w:abstractNumId w:val="0"/>
  </w:num>
  <w:num w:numId="10">
    <w:abstractNumId w:val="8"/>
  </w:num>
  <w:num w:numId="11">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formatting="1" w:enforcement="0"/>
  <w:defaultTabStop w:val="1296"/>
  <w:hyphenationZone w:val="396"/>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A36"/>
    <w:rsid w:val="00000086"/>
    <w:rsid w:val="00000A8B"/>
    <w:rsid w:val="00001867"/>
    <w:rsid w:val="00001905"/>
    <w:rsid w:val="0000192D"/>
    <w:rsid w:val="00001A53"/>
    <w:rsid w:val="0000262B"/>
    <w:rsid w:val="0000367F"/>
    <w:rsid w:val="000038D6"/>
    <w:rsid w:val="00004454"/>
    <w:rsid w:val="00005647"/>
    <w:rsid w:val="000058CC"/>
    <w:rsid w:val="0000592B"/>
    <w:rsid w:val="00005D87"/>
    <w:rsid w:val="000061AD"/>
    <w:rsid w:val="0000643A"/>
    <w:rsid w:val="0000760A"/>
    <w:rsid w:val="00007F90"/>
    <w:rsid w:val="000102C5"/>
    <w:rsid w:val="000104C4"/>
    <w:rsid w:val="00010C7F"/>
    <w:rsid w:val="00010CFA"/>
    <w:rsid w:val="00010F32"/>
    <w:rsid w:val="00011121"/>
    <w:rsid w:val="0001113C"/>
    <w:rsid w:val="000112AF"/>
    <w:rsid w:val="00011729"/>
    <w:rsid w:val="0001197F"/>
    <w:rsid w:val="0001198C"/>
    <w:rsid w:val="00011E10"/>
    <w:rsid w:val="00012338"/>
    <w:rsid w:val="0001242D"/>
    <w:rsid w:val="00012D02"/>
    <w:rsid w:val="0001301A"/>
    <w:rsid w:val="00013643"/>
    <w:rsid w:val="0001398C"/>
    <w:rsid w:val="0001517B"/>
    <w:rsid w:val="000153B4"/>
    <w:rsid w:val="00015444"/>
    <w:rsid w:val="00015BAD"/>
    <w:rsid w:val="00016210"/>
    <w:rsid w:val="000164B1"/>
    <w:rsid w:val="000165E2"/>
    <w:rsid w:val="00016996"/>
    <w:rsid w:val="0001708F"/>
    <w:rsid w:val="0001737F"/>
    <w:rsid w:val="000175D7"/>
    <w:rsid w:val="0001784F"/>
    <w:rsid w:val="00017AE5"/>
    <w:rsid w:val="00017C89"/>
    <w:rsid w:val="000209FC"/>
    <w:rsid w:val="00020BAB"/>
    <w:rsid w:val="00020BE0"/>
    <w:rsid w:val="00020D31"/>
    <w:rsid w:val="0002138B"/>
    <w:rsid w:val="00021951"/>
    <w:rsid w:val="00022531"/>
    <w:rsid w:val="000226EE"/>
    <w:rsid w:val="00022718"/>
    <w:rsid w:val="00022B97"/>
    <w:rsid w:val="0002379C"/>
    <w:rsid w:val="00023C54"/>
    <w:rsid w:val="00023E5E"/>
    <w:rsid w:val="00024153"/>
    <w:rsid w:val="0002426C"/>
    <w:rsid w:val="000245F8"/>
    <w:rsid w:val="00024CF4"/>
    <w:rsid w:val="0002540D"/>
    <w:rsid w:val="00025633"/>
    <w:rsid w:val="00025986"/>
    <w:rsid w:val="00026181"/>
    <w:rsid w:val="00026605"/>
    <w:rsid w:val="00026979"/>
    <w:rsid w:val="00026A23"/>
    <w:rsid w:val="00026DCF"/>
    <w:rsid w:val="00026E21"/>
    <w:rsid w:val="000270EE"/>
    <w:rsid w:val="0002759C"/>
    <w:rsid w:val="000276A8"/>
    <w:rsid w:val="000277AC"/>
    <w:rsid w:val="00027B58"/>
    <w:rsid w:val="00027DC5"/>
    <w:rsid w:val="000305AE"/>
    <w:rsid w:val="00030721"/>
    <w:rsid w:val="000309AE"/>
    <w:rsid w:val="00030B2B"/>
    <w:rsid w:val="00030E87"/>
    <w:rsid w:val="000319F9"/>
    <w:rsid w:val="00031D09"/>
    <w:rsid w:val="00031E0B"/>
    <w:rsid w:val="000326F4"/>
    <w:rsid w:val="00033060"/>
    <w:rsid w:val="00033398"/>
    <w:rsid w:val="00033C1B"/>
    <w:rsid w:val="00033DA1"/>
    <w:rsid w:val="0003408E"/>
    <w:rsid w:val="0003449B"/>
    <w:rsid w:val="0003478D"/>
    <w:rsid w:val="00034A12"/>
    <w:rsid w:val="00034BB3"/>
    <w:rsid w:val="00035123"/>
    <w:rsid w:val="000354C0"/>
    <w:rsid w:val="0003583B"/>
    <w:rsid w:val="00035A9F"/>
    <w:rsid w:val="00035C9C"/>
    <w:rsid w:val="00035E4D"/>
    <w:rsid w:val="00036131"/>
    <w:rsid w:val="000361F4"/>
    <w:rsid w:val="000372DD"/>
    <w:rsid w:val="00037E5E"/>
    <w:rsid w:val="00037F30"/>
    <w:rsid w:val="0004050A"/>
    <w:rsid w:val="000406F5"/>
    <w:rsid w:val="000408D4"/>
    <w:rsid w:val="00042FE6"/>
    <w:rsid w:val="000433B6"/>
    <w:rsid w:val="000435B9"/>
    <w:rsid w:val="00043745"/>
    <w:rsid w:val="00044BF8"/>
    <w:rsid w:val="00044E0F"/>
    <w:rsid w:val="00044F50"/>
    <w:rsid w:val="00045D29"/>
    <w:rsid w:val="00045F66"/>
    <w:rsid w:val="00046004"/>
    <w:rsid w:val="0004611B"/>
    <w:rsid w:val="0004665E"/>
    <w:rsid w:val="000466F5"/>
    <w:rsid w:val="000468BB"/>
    <w:rsid w:val="00046983"/>
    <w:rsid w:val="000471B8"/>
    <w:rsid w:val="00047362"/>
    <w:rsid w:val="0004739D"/>
    <w:rsid w:val="0004758C"/>
    <w:rsid w:val="000500A6"/>
    <w:rsid w:val="000509AB"/>
    <w:rsid w:val="00050A45"/>
    <w:rsid w:val="00050C53"/>
    <w:rsid w:val="000514FF"/>
    <w:rsid w:val="00051619"/>
    <w:rsid w:val="00051BE5"/>
    <w:rsid w:val="00051CA2"/>
    <w:rsid w:val="00051F96"/>
    <w:rsid w:val="00052893"/>
    <w:rsid w:val="00052F98"/>
    <w:rsid w:val="00053130"/>
    <w:rsid w:val="0005332A"/>
    <w:rsid w:val="000534E5"/>
    <w:rsid w:val="00053534"/>
    <w:rsid w:val="00053645"/>
    <w:rsid w:val="0005370A"/>
    <w:rsid w:val="00053C6A"/>
    <w:rsid w:val="00053DB6"/>
    <w:rsid w:val="000540BD"/>
    <w:rsid w:val="000548EF"/>
    <w:rsid w:val="00054913"/>
    <w:rsid w:val="00054C4D"/>
    <w:rsid w:val="00055BCB"/>
    <w:rsid w:val="00055E9D"/>
    <w:rsid w:val="000561BA"/>
    <w:rsid w:val="000562E8"/>
    <w:rsid w:val="0005635C"/>
    <w:rsid w:val="000564EB"/>
    <w:rsid w:val="00056557"/>
    <w:rsid w:val="00056949"/>
    <w:rsid w:val="00056DC0"/>
    <w:rsid w:val="000572F7"/>
    <w:rsid w:val="000575C5"/>
    <w:rsid w:val="00057D22"/>
    <w:rsid w:val="00057DF3"/>
    <w:rsid w:val="00060F38"/>
    <w:rsid w:val="000617F5"/>
    <w:rsid w:val="00061C76"/>
    <w:rsid w:val="00061EB0"/>
    <w:rsid w:val="000620F0"/>
    <w:rsid w:val="0006214E"/>
    <w:rsid w:val="000628F2"/>
    <w:rsid w:val="00062E17"/>
    <w:rsid w:val="00063419"/>
    <w:rsid w:val="000635ED"/>
    <w:rsid w:val="00063A24"/>
    <w:rsid w:val="00063EF4"/>
    <w:rsid w:val="00064037"/>
    <w:rsid w:val="000644F2"/>
    <w:rsid w:val="000648A5"/>
    <w:rsid w:val="00064A47"/>
    <w:rsid w:val="00065231"/>
    <w:rsid w:val="000652F9"/>
    <w:rsid w:val="0006540D"/>
    <w:rsid w:val="000656BB"/>
    <w:rsid w:val="00065EBA"/>
    <w:rsid w:val="000663F5"/>
    <w:rsid w:val="00066926"/>
    <w:rsid w:val="00066F8D"/>
    <w:rsid w:val="000672AC"/>
    <w:rsid w:val="0007040F"/>
    <w:rsid w:val="000704F3"/>
    <w:rsid w:val="00070DE6"/>
    <w:rsid w:val="00071373"/>
    <w:rsid w:val="000718C2"/>
    <w:rsid w:val="000719C4"/>
    <w:rsid w:val="000719D4"/>
    <w:rsid w:val="000722AF"/>
    <w:rsid w:val="0007282F"/>
    <w:rsid w:val="00072883"/>
    <w:rsid w:val="00072EA2"/>
    <w:rsid w:val="00073427"/>
    <w:rsid w:val="00073432"/>
    <w:rsid w:val="000734D2"/>
    <w:rsid w:val="00073F49"/>
    <w:rsid w:val="0007415C"/>
    <w:rsid w:val="00074546"/>
    <w:rsid w:val="0007544B"/>
    <w:rsid w:val="00075538"/>
    <w:rsid w:val="00075889"/>
    <w:rsid w:val="000758EC"/>
    <w:rsid w:val="00076115"/>
    <w:rsid w:val="00076783"/>
    <w:rsid w:val="00076A27"/>
    <w:rsid w:val="00076C3E"/>
    <w:rsid w:val="00076DE0"/>
    <w:rsid w:val="00077876"/>
    <w:rsid w:val="00077B03"/>
    <w:rsid w:val="00077B70"/>
    <w:rsid w:val="00080A4E"/>
    <w:rsid w:val="00080B81"/>
    <w:rsid w:val="00080EFF"/>
    <w:rsid w:val="00081321"/>
    <w:rsid w:val="000813C4"/>
    <w:rsid w:val="00081B8D"/>
    <w:rsid w:val="000826EE"/>
    <w:rsid w:val="00082902"/>
    <w:rsid w:val="00082E20"/>
    <w:rsid w:val="00083426"/>
    <w:rsid w:val="00083900"/>
    <w:rsid w:val="00084269"/>
    <w:rsid w:val="000844C6"/>
    <w:rsid w:val="0008477E"/>
    <w:rsid w:val="00084B50"/>
    <w:rsid w:val="00084B53"/>
    <w:rsid w:val="00084F7F"/>
    <w:rsid w:val="000852CA"/>
    <w:rsid w:val="0008562D"/>
    <w:rsid w:val="00085A1E"/>
    <w:rsid w:val="00085CCF"/>
    <w:rsid w:val="0008601D"/>
    <w:rsid w:val="000868D4"/>
    <w:rsid w:val="00086AA8"/>
    <w:rsid w:val="00086CF9"/>
    <w:rsid w:val="000871A8"/>
    <w:rsid w:val="0008720D"/>
    <w:rsid w:val="00087DEF"/>
    <w:rsid w:val="0009043F"/>
    <w:rsid w:val="000904FD"/>
    <w:rsid w:val="00090809"/>
    <w:rsid w:val="00090893"/>
    <w:rsid w:val="000909CF"/>
    <w:rsid w:val="00090B5E"/>
    <w:rsid w:val="00090C5D"/>
    <w:rsid w:val="00091124"/>
    <w:rsid w:val="00091548"/>
    <w:rsid w:val="00091716"/>
    <w:rsid w:val="00091A08"/>
    <w:rsid w:val="00091CB0"/>
    <w:rsid w:val="00091D81"/>
    <w:rsid w:val="000924FC"/>
    <w:rsid w:val="00092B25"/>
    <w:rsid w:val="00092E74"/>
    <w:rsid w:val="000930DD"/>
    <w:rsid w:val="00093918"/>
    <w:rsid w:val="000939BB"/>
    <w:rsid w:val="00093FBE"/>
    <w:rsid w:val="000947E8"/>
    <w:rsid w:val="000948C9"/>
    <w:rsid w:val="00094ABF"/>
    <w:rsid w:val="00094DCD"/>
    <w:rsid w:val="00095032"/>
    <w:rsid w:val="000950EE"/>
    <w:rsid w:val="0009510C"/>
    <w:rsid w:val="00095317"/>
    <w:rsid w:val="000954B9"/>
    <w:rsid w:val="00095E81"/>
    <w:rsid w:val="00095F43"/>
    <w:rsid w:val="00097180"/>
    <w:rsid w:val="00097564"/>
    <w:rsid w:val="00097652"/>
    <w:rsid w:val="0009776B"/>
    <w:rsid w:val="00097D5D"/>
    <w:rsid w:val="000A0269"/>
    <w:rsid w:val="000A04A2"/>
    <w:rsid w:val="000A0541"/>
    <w:rsid w:val="000A0917"/>
    <w:rsid w:val="000A0922"/>
    <w:rsid w:val="000A0B43"/>
    <w:rsid w:val="000A0C09"/>
    <w:rsid w:val="000A0C4D"/>
    <w:rsid w:val="000A0D10"/>
    <w:rsid w:val="000A0E2E"/>
    <w:rsid w:val="000A1574"/>
    <w:rsid w:val="000A17E4"/>
    <w:rsid w:val="000A1C84"/>
    <w:rsid w:val="000A221E"/>
    <w:rsid w:val="000A23FE"/>
    <w:rsid w:val="000A2415"/>
    <w:rsid w:val="000A2B78"/>
    <w:rsid w:val="000A2CCA"/>
    <w:rsid w:val="000A31B8"/>
    <w:rsid w:val="000A3260"/>
    <w:rsid w:val="000A335F"/>
    <w:rsid w:val="000A336F"/>
    <w:rsid w:val="000A3461"/>
    <w:rsid w:val="000A34AD"/>
    <w:rsid w:val="000A3A87"/>
    <w:rsid w:val="000A3CEE"/>
    <w:rsid w:val="000A4573"/>
    <w:rsid w:val="000A4A70"/>
    <w:rsid w:val="000A563F"/>
    <w:rsid w:val="000A5838"/>
    <w:rsid w:val="000A5C43"/>
    <w:rsid w:val="000A5D83"/>
    <w:rsid w:val="000A63E6"/>
    <w:rsid w:val="000A68B8"/>
    <w:rsid w:val="000A6CA8"/>
    <w:rsid w:val="000A71BF"/>
    <w:rsid w:val="000A788A"/>
    <w:rsid w:val="000A7929"/>
    <w:rsid w:val="000A7F83"/>
    <w:rsid w:val="000B00FE"/>
    <w:rsid w:val="000B0356"/>
    <w:rsid w:val="000B0A89"/>
    <w:rsid w:val="000B0E1B"/>
    <w:rsid w:val="000B117F"/>
    <w:rsid w:val="000B148A"/>
    <w:rsid w:val="000B1A94"/>
    <w:rsid w:val="000B1B2F"/>
    <w:rsid w:val="000B20A1"/>
    <w:rsid w:val="000B2202"/>
    <w:rsid w:val="000B2663"/>
    <w:rsid w:val="000B274F"/>
    <w:rsid w:val="000B285E"/>
    <w:rsid w:val="000B2B31"/>
    <w:rsid w:val="000B3A28"/>
    <w:rsid w:val="000B3D46"/>
    <w:rsid w:val="000B3E6F"/>
    <w:rsid w:val="000B5082"/>
    <w:rsid w:val="000B549E"/>
    <w:rsid w:val="000B59A2"/>
    <w:rsid w:val="000B6072"/>
    <w:rsid w:val="000B6579"/>
    <w:rsid w:val="000B66F2"/>
    <w:rsid w:val="000B695A"/>
    <w:rsid w:val="000B6BCB"/>
    <w:rsid w:val="000B7133"/>
    <w:rsid w:val="000B725C"/>
    <w:rsid w:val="000B7F6C"/>
    <w:rsid w:val="000C00AF"/>
    <w:rsid w:val="000C0722"/>
    <w:rsid w:val="000C0CDE"/>
    <w:rsid w:val="000C0EE7"/>
    <w:rsid w:val="000C1001"/>
    <w:rsid w:val="000C1074"/>
    <w:rsid w:val="000C1B7A"/>
    <w:rsid w:val="000C1CE1"/>
    <w:rsid w:val="000C23B5"/>
    <w:rsid w:val="000C2F19"/>
    <w:rsid w:val="000C34C8"/>
    <w:rsid w:val="000C3954"/>
    <w:rsid w:val="000C3B29"/>
    <w:rsid w:val="000C3F66"/>
    <w:rsid w:val="000C43A6"/>
    <w:rsid w:val="000C44F4"/>
    <w:rsid w:val="000C45F4"/>
    <w:rsid w:val="000C4B38"/>
    <w:rsid w:val="000C4C16"/>
    <w:rsid w:val="000C51D2"/>
    <w:rsid w:val="000C558A"/>
    <w:rsid w:val="000C57CC"/>
    <w:rsid w:val="000C58BB"/>
    <w:rsid w:val="000C593A"/>
    <w:rsid w:val="000C5DE1"/>
    <w:rsid w:val="000C60E5"/>
    <w:rsid w:val="000C61CC"/>
    <w:rsid w:val="000C62AE"/>
    <w:rsid w:val="000C6E6E"/>
    <w:rsid w:val="000C7211"/>
    <w:rsid w:val="000C7298"/>
    <w:rsid w:val="000C7711"/>
    <w:rsid w:val="000D0954"/>
    <w:rsid w:val="000D09C5"/>
    <w:rsid w:val="000D0C33"/>
    <w:rsid w:val="000D0D0C"/>
    <w:rsid w:val="000D107D"/>
    <w:rsid w:val="000D1308"/>
    <w:rsid w:val="000D13DF"/>
    <w:rsid w:val="000D13F9"/>
    <w:rsid w:val="000D18C0"/>
    <w:rsid w:val="000D19A0"/>
    <w:rsid w:val="000D1A53"/>
    <w:rsid w:val="000D1AA2"/>
    <w:rsid w:val="000D1AA6"/>
    <w:rsid w:val="000D1D56"/>
    <w:rsid w:val="000D1D7C"/>
    <w:rsid w:val="000D209E"/>
    <w:rsid w:val="000D3113"/>
    <w:rsid w:val="000D31EC"/>
    <w:rsid w:val="000D3F84"/>
    <w:rsid w:val="000D3FD5"/>
    <w:rsid w:val="000D40CB"/>
    <w:rsid w:val="000D43A9"/>
    <w:rsid w:val="000D45E0"/>
    <w:rsid w:val="000D4928"/>
    <w:rsid w:val="000D4B13"/>
    <w:rsid w:val="000D4CEA"/>
    <w:rsid w:val="000D4DF9"/>
    <w:rsid w:val="000D4E4B"/>
    <w:rsid w:val="000D61AF"/>
    <w:rsid w:val="000D6638"/>
    <w:rsid w:val="000D68A8"/>
    <w:rsid w:val="000D691B"/>
    <w:rsid w:val="000D6BBE"/>
    <w:rsid w:val="000D6CD6"/>
    <w:rsid w:val="000D7106"/>
    <w:rsid w:val="000D7777"/>
    <w:rsid w:val="000D78DD"/>
    <w:rsid w:val="000D7D76"/>
    <w:rsid w:val="000E00DC"/>
    <w:rsid w:val="000E05AC"/>
    <w:rsid w:val="000E086E"/>
    <w:rsid w:val="000E134F"/>
    <w:rsid w:val="000E19F5"/>
    <w:rsid w:val="000E20AC"/>
    <w:rsid w:val="000E2D43"/>
    <w:rsid w:val="000E2D44"/>
    <w:rsid w:val="000E300B"/>
    <w:rsid w:val="000E3183"/>
    <w:rsid w:val="000E3377"/>
    <w:rsid w:val="000E378A"/>
    <w:rsid w:val="000E4034"/>
    <w:rsid w:val="000E52E6"/>
    <w:rsid w:val="000E531D"/>
    <w:rsid w:val="000E58EE"/>
    <w:rsid w:val="000E5A04"/>
    <w:rsid w:val="000E5A3A"/>
    <w:rsid w:val="000E5DB0"/>
    <w:rsid w:val="000E6459"/>
    <w:rsid w:val="000E6639"/>
    <w:rsid w:val="000E6900"/>
    <w:rsid w:val="000E6F6A"/>
    <w:rsid w:val="000E73BB"/>
    <w:rsid w:val="000E78EE"/>
    <w:rsid w:val="000E78F3"/>
    <w:rsid w:val="000E7D08"/>
    <w:rsid w:val="000E7F29"/>
    <w:rsid w:val="000F063D"/>
    <w:rsid w:val="000F090C"/>
    <w:rsid w:val="000F0E27"/>
    <w:rsid w:val="000F0FBA"/>
    <w:rsid w:val="000F2185"/>
    <w:rsid w:val="000F22B7"/>
    <w:rsid w:val="000F2C09"/>
    <w:rsid w:val="000F34CA"/>
    <w:rsid w:val="000F352D"/>
    <w:rsid w:val="000F353C"/>
    <w:rsid w:val="000F3F41"/>
    <w:rsid w:val="000F40E3"/>
    <w:rsid w:val="000F4230"/>
    <w:rsid w:val="000F4483"/>
    <w:rsid w:val="000F4641"/>
    <w:rsid w:val="000F46ED"/>
    <w:rsid w:val="000F5159"/>
    <w:rsid w:val="000F59D2"/>
    <w:rsid w:val="000F62E8"/>
    <w:rsid w:val="000F648D"/>
    <w:rsid w:val="000F6A28"/>
    <w:rsid w:val="000F6A97"/>
    <w:rsid w:val="000F6C44"/>
    <w:rsid w:val="000F6D24"/>
    <w:rsid w:val="000F6F26"/>
    <w:rsid w:val="000F701E"/>
    <w:rsid w:val="000F7101"/>
    <w:rsid w:val="000F746B"/>
    <w:rsid w:val="000F750E"/>
    <w:rsid w:val="000F75A7"/>
    <w:rsid w:val="000F7AA4"/>
    <w:rsid w:val="001004A9"/>
    <w:rsid w:val="001007A9"/>
    <w:rsid w:val="00100C9D"/>
    <w:rsid w:val="00100D2D"/>
    <w:rsid w:val="00100F76"/>
    <w:rsid w:val="0010181F"/>
    <w:rsid w:val="001018C0"/>
    <w:rsid w:val="00101A01"/>
    <w:rsid w:val="0010258D"/>
    <w:rsid w:val="001026EE"/>
    <w:rsid w:val="001026FD"/>
    <w:rsid w:val="00102707"/>
    <w:rsid w:val="00102DE8"/>
    <w:rsid w:val="00102E65"/>
    <w:rsid w:val="00102FF0"/>
    <w:rsid w:val="00103021"/>
    <w:rsid w:val="0010394A"/>
    <w:rsid w:val="00103ACF"/>
    <w:rsid w:val="0010403D"/>
    <w:rsid w:val="00104118"/>
    <w:rsid w:val="001046F3"/>
    <w:rsid w:val="0010470F"/>
    <w:rsid w:val="00104CB5"/>
    <w:rsid w:val="00105616"/>
    <w:rsid w:val="00105646"/>
    <w:rsid w:val="00105A8E"/>
    <w:rsid w:val="001062BF"/>
    <w:rsid w:val="00106330"/>
    <w:rsid w:val="00106792"/>
    <w:rsid w:val="0010694A"/>
    <w:rsid w:val="00106FF7"/>
    <w:rsid w:val="00107081"/>
    <w:rsid w:val="001074AE"/>
    <w:rsid w:val="00107D56"/>
    <w:rsid w:val="00107F5E"/>
    <w:rsid w:val="00110367"/>
    <w:rsid w:val="00110664"/>
    <w:rsid w:val="0011075C"/>
    <w:rsid w:val="00110AD0"/>
    <w:rsid w:val="00110F88"/>
    <w:rsid w:val="00110FD8"/>
    <w:rsid w:val="00111FAD"/>
    <w:rsid w:val="00112326"/>
    <w:rsid w:val="00112455"/>
    <w:rsid w:val="00112877"/>
    <w:rsid w:val="00112979"/>
    <w:rsid w:val="00112D87"/>
    <w:rsid w:val="00112FA7"/>
    <w:rsid w:val="00113149"/>
    <w:rsid w:val="00113171"/>
    <w:rsid w:val="0011343C"/>
    <w:rsid w:val="0011385C"/>
    <w:rsid w:val="00113CD6"/>
    <w:rsid w:val="00113DB8"/>
    <w:rsid w:val="00113F16"/>
    <w:rsid w:val="001149EE"/>
    <w:rsid w:val="0011505C"/>
    <w:rsid w:val="001154C4"/>
    <w:rsid w:val="00115610"/>
    <w:rsid w:val="00115943"/>
    <w:rsid w:val="001159B4"/>
    <w:rsid w:val="00115EFF"/>
    <w:rsid w:val="001167B6"/>
    <w:rsid w:val="00117707"/>
    <w:rsid w:val="001179A8"/>
    <w:rsid w:val="00117B40"/>
    <w:rsid w:val="00117BBF"/>
    <w:rsid w:val="00120354"/>
    <w:rsid w:val="00120446"/>
    <w:rsid w:val="0012087B"/>
    <w:rsid w:val="00120A6E"/>
    <w:rsid w:val="00120F5A"/>
    <w:rsid w:val="00120F6E"/>
    <w:rsid w:val="0012127A"/>
    <w:rsid w:val="00121504"/>
    <w:rsid w:val="00121F18"/>
    <w:rsid w:val="001222E3"/>
    <w:rsid w:val="00122388"/>
    <w:rsid w:val="001225F4"/>
    <w:rsid w:val="0012290C"/>
    <w:rsid w:val="00122F67"/>
    <w:rsid w:val="0012319B"/>
    <w:rsid w:val="00123380"/>
    <w:rsid w:val="001233E3"/>
    <w:rsid w:val="00123C75"/>
    <w:rsid w:val="0012414F"/>
    <w:rsid w:val="00124292"/>
    <w:rsid w:val="00124404"/>
    <w:rsid w:val="00124E34"/>
    <w:rsid w:val="00124F7F"/>
    <w:rsid w:val="00125045"/>
    <w:rsid w:val="00125571"/>
    <w:rsid w:val="001259A4"/>
    <w:rsid w:val="00125D21"/>
    <w:rsid w:val="00125D38"/>
    <w:rsid w:val="00126130"/>
    <w:rsid w:val="0012624E"/>
    <w:rsid w:val="00126CF4"/>
    <w:rsid w:val="00126D4B"/>
    <w:rsid w:val="00126FF6"/>
    <w:rsid w:val="00127750"/>
    <w:rsid w:val="001278F0"/>
    <w:rsid w:val="0013060F"/>
    <w:rsid w:val="00130924"/>
    <w:rsid w:val="001325CE"/>
    <w:rsid w:val="0013264D"/>
    <w:rsid w:val="001326D9"/>
    <w:rsid w:val="00132EE5"/>
    <w:rsid w:val="001333FD"/>
    <w:rsid w:val="00133FBD"/>
    <w:rsid w:val="001343CE"/>
    <w:rsid w:val="00134448"/>
    <w:rsid w:val="00134509"/>
    <w:rsid w:val="0013455D"/>
    <w:rsid w:val="00134652"/>
    <w:rsid w:val="001346EF"/>
    <w:rsid w:val="00134A9A"/>
    <w:rsid w:val="00134A9D"/>
    <w:rsid w:val="00134D2C"/>
    <w:rsid w:val="00135619"/>
    <w:rsid w:val="00135F30"/>
    <w:rsid w:val="00135F37"/>
    <w:rsid w:val="0013679D"/>
    <w:rsid w:val="0013704D"/>
    <w:rsid w:val="0013780C"/>
    <w:rsid w:val="00137994"/>
    <w:rsid w:val="001400E4"/>
    <w:rsid w:val="00140646"/>
    <w:rsid w:val="001409D4"/>
    <w:rsid w:val="00140EB5"/>
    <w:rsid w:val="00141359"/>
    <w:rsid w:val="00141755"/>
    <w:rsid w:val="001419F4"/>
    <w:rsid w:val="0014204A"/>
    <w:rsid w:val="0014307F"/>
    <w:rsid w:val="0014330F"/>
    <w:rsid w:val="00143839"/>
    <w:rsid w:val="00143ACE"/>
    <w:rsid w:val="0014483E"/>
    <w:rsid w:val="001448F5"/>
    <w:rsid w:val="00144B35"/>
    <w:rsid w:val="00144B76"/>
    <w:rsid w:val="00144C56"/>
    <w:rsid w:val="00144CFA"/>
    <w:rsid w:val="00144DA5"/>
    <w:rsid w:val="00145365"/>
    <w:rsid w:val="001453B1"/>
    <w:rsid w:val="0014577B"/>
    <w:rsid w:val="0014597B"/>
    <w:rsid w:val="00145E6F"/>
    <w:rsid w:val="00145EC7"/>
    <w:rsid w:val="00146642"/>
    <w:rsid w:val="00146705"/>
    <w:rsid w:val="00146EED"/>
    <w:rsid w:val="00147884"/>
    <w:rsid w:val="0014795B"/>
    <w:rsid w:val="00147D13"/>
    <w:rsid w:val="00147DCD"/>
    <w:rsid w:val="0015005B"/>
    <w:rsid w:val="0015062E"/>
    <w:rsid w:val="001508A6"/>
    <w:rsid w:val="00150BA3"/>
    <w:rsid w:val="00150C17"/>
    <w:rsid w:val="001515A3"/>
    <w:rsid w:val="001515AC"/>
    <w:rsid w:val="001519FB"/>
    <w:rsid w:val="00151FAE"/>
    <w:rsid w:val="001525C4"/>
    <w:rsid w:val="001526C0"/>
    <w:rsid w:val="00152910"/>
    <w:rsid w:val="001529E2"/>
    <w:rsid w:val="0015338C"/>
    <w:rsid w:val="0015343C"/>
    <w:rsid w:val="001539CD"/>
    <w:rsid w:val="00154001"/>
    <w:rsid w:val="00154700"/>
    <w:rsid w:val="001547CA"/>
    <w:rsid w:val="001550C6"/>
    <w:rsid w:val="00155125"/>
    <w:rsid w:val="0015531C"/>
    <w:rsid w:val="001554A6"/>
    <w:rsid w:val="00155832"/>
    <w:rsid w:val="00155C15"/>
    <w:rsid w:val="00156342"/>
    <w:rsid w:val="00156662"/>
    <w:rsid w:val="00156832"/>
    <w:rsid w:val="001569C0"/>
    <w:rsid w:val="00156A0C"/>
    <w:rsid w:val="00156DD9"/>
    <w:rsid w:val="001574D0"/>
    <w:rsid w:val="00160412"/>
    <w:rsid w:val="00160494"/>
    <w:rsid w:val="0016076D"/>
    <w:rsid w:val="00160D9B"/>
    <w:rsid w:val="0016138C"/>
    <w:rsid w:val="001616A3"/>
    <w:rsid w:val="001617B3"/>
    <w:rsid w:val="00161843"/>
    <w:rsid w:val="00161BE8"/>
    <w:rsid w:val="00162012"/>
    <w:rsid w:val="001622F6"/>
    <w:rsid w:val="001624C7"/>
    <w:rsid w:val="00162867"/>
    <w:rsid w:val="00162A74"/>
    <w:rsid w:val="00162BAD"/>
    <w:rsid w:val="00162F14"/>
    <w:rsid w:val="00162F20"/>
    <w:rsid w:val="00163257"/>
    <w:rsid w:val="001638D4"/>
    <w:rsid w:val="001639F6"/>
    <w:rsid w:val="00163CC0"/>
    <w:rsid w:val="0016457F"/>
    <w:rsid w:val="001647B3"/>
    <w:rsid w:val="00164BCB"/>
    <w:rsid w:val="00164CED"/>
    <w:rsid w:val="00164DAF"/>
    <w:rsid w:val="0016561A"/>
    <w:rsid w:val="00165BAD"/>
    <w:rsid w:val="00166266"/>
    <w:rsid w:val="001662C5"/>
    <w:rsid w:val="001664F0"/>
    <w:rsid w:val="00166A7F"/>
    <w:rsid w:val="00166C68"/>
    <w:rsid w:val="00166D77"/>
    <w:rsid w:val="001673DE"/>
    <w:rsid w:val="0016744A"/>
    <w:rsid w:val="001677B0"/>
    <w:rsid w:val="00170590"/>
    <w:rsid w:val="0017075D"/>
    <w:rsid w:val="001711BE"/>
    <w:rsid w:val="00171769"/>
    <w:rsid w:val="001717B0"/>
    <w:rsid w:val="001719E6"/>
    <w:rsid w:val="00171C63"/>
    <w:rsid w:val="0017241C"/>
    <w:rsid w:val="001726AE"/>
    <w:rsid w:val="001727E6"/>
    <w:rsid w:val="0017297C"/>
    <w:rsid w:val="00172E0E"/>
    <w:rsid w:val="001730A6"/>
    <w:rsid w:val="001741B6"/>
    <w:rsid w:val="00174A8C"/>
    <w:rsid w:val="00174CA1"/>
    <w:rsid w:val="00174D8E"/>
    <w:rsid w:val="00175078"/>
    <w:rsid w:val="00175861"/>
    <w:rsid w:val="00175FF2"/>
    <w:rsid w:val="001761B3"/>
    <w:rsid w:val="001762F6"/>
    <w:rsid w:val="00176970"/>
    <w:rsid w:val="00176A64"/>
    <w:rsid w:val="00176AB9"/>
    <w:rsid w:val="00176B4A"/>
    <w:rsid w:val="00176C75"/>
    <w:rsid w:val="00176D2A"/>
    <w:rsid w:val="0017737D"/>
    <w:rsid w:val="00180117"/>
    <w:rsid w:val="001803D3"/>
    <w:rsid w:val="00180694"/>
    <w:rsid w:val="00180CB0"/>
    <w:rsid w:val="00180DE1"/>
    <w:rsid w:val="001811C2"/>
    <w:rsid w:val="00181662"/>
    <w:rsid w:val="001818E0"/>
    <w:rsid w:val="001819E1"/>
    <w:rsid w:val="00181FD3"/>
    <w:rsid w:val="001821E6"/>
    <w:rsid w:val="0018247A"/>
    <w:rsid w:val="001832C0"/>
    <w:rsid w:val="0018397A"/>
    <w:rsid w:val="0018406B"/>
    <w:rsid w:val="001840C8"/>
    <w:rsid w:val="0018422D"/>
    <w:rsid w:val="001845FF"/>
    <w:rsid w:val="0018477F"/>
    <w:rsid w:val="00185654"/>
    <w:rsid w:val="00185743"/>
    <w:rsid w:val="00185F34"/>
    <w:rsid w:val="0018613E"/>
    <w:rsid w:val="0018660C"/>
    <w:rsid w:val="001868F2"/>
    <w:rsid w:val="00187028"/>
    <w:rsid w:val="00187059"/>
    <w:rsid w:val="0018714C"/>
    <w:rsid w:val="001871EE"/>
    <w:rsid w:val="00187496"/>
    <w:rsid w:val="001876D9"/>
    <w:rsid w:val="00187C30"/>
    <w:rsid w:val="001909EC"/>
    <w:rsid w:val="00190F27"/>
    <w:rsid w:val="00190FF1"/>
    <w:rsid w:val="001910CE"/>
    <w:rsid w:val="00191B70"/>
    <w:rsid w:val="00191CB1"/>
    <w:rsid w:val="0019264E"/>
    <w:rsid w:val="00192BEC"/>
    <w:rsid w:val="001930E9"/>
    <w:rsid w:val="00193104"/>
    <w:rsid w:val="00193668"/>
    <w:rsid w:val="00193AEC"/>
    <w:rsid w:val="00193C82"/>
    <w:rsid w:val="00194115"/>
    <w:rsid w:val="001957F8"/>
    <w:rsid w:val="0019629E"/>
    <w:rsid w:val="00196426"/>
    <w:rsid w:val="00197829"/>
    <w:rsid w:val="00197952"/>
    <w:rsid w:val="00197B91"/>
    <w:rsid w:val="00197C63"/>
    <w:rsid w:val="00197DDC"/>
    <w:rsid w:val="001A00DC"/>
    <w:rsid w:val="001A06A7"/>
    <w:rsid w:val="001A07C5"/>
    <w:rsid w:val="001A1048"/>
    <w:rsid w:val="001A19A8"/>
    <w:rsid w:val="001A1EC3"/>
    <w:rsid w:val="001A1FCA"/>
    <w:rsid w:val="001A2063"/>
    <w:rsid w:val="001A2101"/>
    <w:rsid w:val="001A2317"/>
    <w:rsid w:val="001A23B9"/>
    <w:rsid w:val="001A2739"/>
    <w:rsid w:val="001A27F2"/>
    <w:rsid w:val="001A2B7B"/>
    <w:rsid w:val="001A301D"/>
    <w:rsid w:val="001A30F7"/>
    <w:rsid w:val="001A3418"/>
    <w:rsid w:val="001A365A"/>
    <w:rsid w:val="001A3C28"/>
    <w:rsid w:val="001A3D3E"/>
    <w:rsid w:val="001A484B"/>
    <w:rsid w:val="001A48EC"/>
    <w:rsid w:val="001A4D04"/>
    <w:rsid w:val="001A4D29"/>
    <w:rsid w:val="001A4D77"/>
    <w:rsid w:val="001A4E4D"/>
    <w:rsid w:val="001A51A9"/>
    <w:rsid w:val="001A534B"/>
    <w:rsid w:val="001A6299"/>
    <w:rsid w:val="001A63BB"/>
    <w:rsid w:val="001A63D4"/>
    <w:rsid w:val="001A7051"/>
    <w:rsid w:val="001A7174"/>
    <w:rsid w:val="001B0BE9"/>
    <w:rsid w:val="001B10D8"/>
    <w:rsid w:val="001B11A6"/>
    <w:rsid w:val="001B1456"/>
    <w:rsid w:val="001B1655"/>
    <w:rsid w:val="001B1659"/>
    <w:rsid w:val="001B181B"/>
    <w:rsid w:val="001B1A7C"/>
    <w:rsid w:val="001B1D69"/>
    <w:rsid w:val="001B2278"/>
    <w:rsid w:val="001B245A"/>
    <w:rsid w:val="001B26EA"/>
    <w:rsid w:val="001B2A46"/>
    <w:rsid w:val="001B3690"/>
    <w:rsid w:val="001B3DDC"/>
    <w:rsid w:val="001B3F92"/>
    <w:rsid w:val="001B4313"/>
    <w:rsid w:val="001B4771"/>
    <w:rsid w:val="001B4A8D"/>
    <w:rsid w:val="001B4D96"/>
    <w:rsid w:val="001B4DDA"/>
    <w:rsid w:val="001B4EAA"/>
    <w:rsid w:val="001B5055"/>
    <w:rsid w:val="001B60BE"/>
    <w:rsid w:val="001B61CB"/>
    <w:rsid w:val="001B62DA"/>
    <w:rsid w:val="001B643B"/>
    <w:rsid w:val="001B66B4"/>
    <w:rsid w:val="001B68C7"/>
    <w:rsid w:val="001B68D6"/>
    <w:rsid w:val="001B6988"/>
    <w:rsid w:val="001B6EE7"/>
    <w:rsid w:val="001B70E9"/>
    <w:rsid w:val="001B7517"/>
    <w:rsid w:val="001B7835"/>
    <w:rsid w:val="001B79D2"/>
    <w:rsid w:val="001C0373"/>
    <w:rsid w:val="001C03DD"/>
    <w:rsid w:val="001C0904"/>
    <w:rsid w:val="001C0D00"/>
    <w:rsid w:val="001C147F"/>
    <w:rsid w:val="001C15CE"/>
    <w:rsid w:val="001C1872"/>
    <w:rsid w:val="001C2944"/>
    <w:rsid w:val="001C2F31"/>
    <w:rsid w:val="001C2F3C"/>
    <w:rsid w:val="001C383D"/>
    <w:rsid w:val="001C3D79"/>
    <w:rsid w:val="001C3F22"/>
    <w:rsid w:val="001C4325"/>
    <w:rsid w:val="001C4977"/>
    <w:rsid w:val="001C4A10"/>
    <w:rsid w:val="001C4C98"/>
    <w:rsid w:val="001C4F2F"/>
    <w:rsid w:val="001C52A0"/>
    <w:rsid w:val="001C52A1"/>
    <w:rsid w:val="001C554F"/>
    <w:rsid w:val="001C5C85"/>
    <w:rsid w:val="001C6370"/>
    <w:rsid w:val="001C6B5A"/>
    <w:rsid w:val="001C74DC"/>
    <w:rsid w:val="001C7605"/>
    <w:rsid w:val="001C7954"/>
    <w:rsid w:val="001C7DDA"/>
    <w:rsid w:val="001C7DF6"/>
    <w:rsid w:val="001D01B4"/>
    <w:rsid w:val="001D0325"/>
    <w:rsid w:val="001D075C"/>
    <w:rsid w:val="001D080D"/>
    <w:rsid w:val="001D0859"/>
    <w:rsid w:val="001D0EC0"/>
    <w:rsid w:val="001D0F90"/>
    <w:rsid w:val="001D1A2B"/>
    <w:rsid w:val="001D2052"/>
    <w:rsid w:val="001D2187"/>
    <w:rsid w:val="001D3045"/>
    <w:rsid w:val="001D3241"/>
    <w:rsid w:val="001D3246"/>
    <w:rsid w:val="001D3B23"/>
    <w:rsid w:val="001D3E5C"/>
    <w:rsid w:val="001D45D6"/>
    <w:rsid w:val="001D495D"/>
    <w:rsid w:val="001D4BAC"/>
    <w:rsid w:val="001D4F93"/>
    <w:rsid w:val="001D52BA"/>
    <w:rsid w:val="001D572F"/>
    <w:rsid w:val="001D5EA8"/>
    <w:rsid w:val="001D5FD3"/>
    <w:rsid w:val="001D679F"/>
    <w:rsid w:val="001D6C78"/>
    <w:rsid w:val="001D70E5"/>
    <w:rsid w:val="001D7532"/>
    <w:rsid w:val="001D757F"/>
    <w:rsid w:val="001D75D9"/>
    <w:rsid w:val="001D7D43"/>
    <w:rsid w:val="001E0188"/>
    <w:rsid w:val="001E034E"/>
    <w:rsid w:val="001E04D6"/>
    <w:rsid w:val="001E0C1F"/>
    <w:rsid w:val="001E0E9B"/>
    <w:rsid w:val="001E1465"/>
    <w:rsid w:val="001E1E22"/>
    <w:rsid w:val="001E1ECD"/>
    <w:rsid w:val="001E201D"/>
    <w:rsid w:val="001E220F"/>
    <w:rsid w:val="001E27E2"/>
    <w:rsid w:val="001E2A30"/>
    <w:rsid w:val="001E2D7D"/>
    <w:rsid w:val="001E35E9"/>
    <w:rsid w:val="001E3784"/>
    <w:rsid w:val="001E3BEA"/>
    <w:rsid w:val="001E44F9"/>
    <w:rsid w:val="001E46E9"/>
    <w:rsid w:val="001E48D5"/>
    <w:rsid w:val="001E4ACE"/>
    <w:rsid w:val="001E53AA"/>
    <w:rsid w:val="001E5415"/>
    <w:rsid w:val="001E5468"/>
    <w:rsid w:val="001E5FDE"/>
    <w:rsid w:val="001E60CB"/>
    <w:rsid w:val="001E6672"/>
    <w:rsid w:val="001E66F8"/>
    <w:rsid w:val="001E6876"/>
    <w:rsid w:val="001E716C"/>
    <w:rsid w:val="001E7F51"/>
    <w:rsid w:val="001F0005"/>
    <w:rsid w:val="001F0260"/>
    <w:rsid w:val="001F06FB"/>
    <w:rsid w:val="001F11B0"/>
    <w:rsid w:val="001F1302"/>
    <w:rsid w:val="001F211F"/>
    <w:rsid w:val="001F215A"/>
    <w:rsid w:val="001F241F"/>
    <w:rsid w:val="001F254E"/>
    <w:rsid w:val="001F2585"/>
    <w:rsid w:val="001F2C3B"/>
    <w:rsid w:val="001F2F5E"/>
    <w:rsid w:val="001F3087"/>
    <w:rsid w:val="001F3196"/>
    <w:rsid w:val="001F32FF"/>
    <w:rsid w:val="001F345D"/>
    <w:rsid w:val="001F3594"/>
    <w:rsid w:val="001F36FD"/>
    <w:rsid w:val="001F4269"/>
    <w:rsid w:val="001F48E5"/>
    <w:rsid w:val="001F52AB"/>
    <w:rsid w:val="001F5670"/>
    <w:rsid w:val="001F6149"/>
    <w:rsid w:val="001F6E3D"/>
    <w:rsid w:val="001F6E5D"/>
    <w:rsid w:val="001F71CA"/>
    <w:rsid w:val="001F745A"/>
    <w:rsid w:val="001F798F"/>
    <w:rsid w:val="001F7AFD"/>
    <w:rsid w:val="001F7C7A"/>
    <w:rsid w:val="001F7C83"/>
    <w:rsid w:val="001F7F6F"/>
    <w:rsid w:val="0020012D"/>
    <w:rsid w:val="00200217"/>
    <w:rsid w:val="00200324"/>
    <w:rsid w:val="002004D0"/>
    <w:rsid w:val="00200B79"/>
    <w:rsid w:val="00200CF0"/>
    <w:rsid w:val="00200E31"/>
    <w:rsid w:val="00200EAB"/>
    <w:rsid w:val="002010C0"/>
    <w:rsid w:val="002011B7"/>
    <w:rsid w:val="0020179B"/>
    <w:rsid w:val="00201E6B"/>
    <w:rsid w:val="0020212F"/>
    <w:rsid w:val="00202925"/>
    <w:rsid w:val="00202CA1"/>
    <w:rsid w:val="0020402F"/>
    <w:rsid w:val="002040B5"/>
    <w:rsid w:val="00204A82"/>
    <w:rsid w:val="00205638"/>
    <w:rsid w:val="00205776"/>
    <w:rsid w:val="00205E86"/>
    <w:rsid w:val="00206C31"/>
    <w:rsid w:val="0020704C"/>
    <w:rsid w:val="00207261"/>
    <w:rsid w:val="0020754E"/>
    <w:rsid w:val="00207F4E"/>
    <w:rsid w:val="00207F62"/>
    <w:rsid w:val="00210639"/>
    <w:rsid w:val="00210876"/>
    <w:rsid w:val="00210B4D"/>
    <w:rsid w:val="00210C2E"/>
    <w:rsid w:val="00211C85"/>
    <w:rsid w:val="00211C98"/>
    <w:rsid w:val="00212068"/>
    <w:rsid w:val="0021213A"/>
    <w:rsid w:val="002121E2"/>
    <w:rsid w:val="002122CC"/>
    <w:rsid w:val="00212C08"/>
    <w:rsid w:val="00212C9D"/>
    <w:rsid w:val="00212E55"/>
    <w:rsid w:val="00212E66"/>
    <w:rsid w:val="00213176"/>
    <w:rsid w:val="002132B0"/>
    <w:rsid w:val="0021339C"/>
    <w:rsid w:val="00213EB0"/>
    <w:rsid w:val="00213F14"/>
    <w:rsid w:val="00214032"/>
    <w:rsid w:val="002147D9"/>
    <w:rsid w:val="0021483E"/>
    <w:rsid w:val="002148A2"/>
    <w:rsid w:val="002157D9"/>
    <w:rsid w:val="00215B56"/>
    <w:rsid w:val="00215B8B"/>
    <w:rsid w:val="0021694B"/>
    <w:rsid w:val="0021699C"/>
    <w:rsid w:val="00216D3C"/>
    <w:rsid w:val="00217253"/>
    <w:rsid w:val="0021773D"/>
    <w:rsid w:val="00217C67"/>
    <w:rsid w:val="00217CE3"/>
    <w:rsid w:val="00217E7C"/>
    <w:rsid w:val="0022022E"/>
    <w:rsid w:val="002202D0"/>
    <w:rsid w:val="00220858"/>
    <w:rsid w:val="00220BEA"/>
    <w:rsid w:val="00220C24"/>
    <w:rsid w:val="00220D40"/>
    <w:rsid w:val="00221BD1"/>
    <w:rsid w:val="00221E5F"/>
    <w:rsid w:val="00221FB6"/>
    <w:rsid w:val="0022302E"/>
    <w:rsid w:val="0022377F"/>
    <w:rsid w:val="002239B8"/>
    <w:rsid w:val="00223DF0"/>
    <w:rsid w:val="002241CB"/>
    <w:rsid w:val="00224241"/>
    <w:rsid w:val="002246DF"/>
    <w:rsid w:val="002246FA"/>
    <w:rsid w:val="00224955"/>
    <w:rsid w:val="00224B58"/>
    <w:rsid w:val="00224B6B"/>
    <w:rsid w:val="002250E1"/>
    <w:rsid w:val="0022547C"/>
    <w:rsid w:val="002254A0"/>
    <w:rsid w:val="002255C3"/>
    <w:rsid w:val="0022571A"/>
    <w:rsid w:val="002257F8"/>
    <w:rsid w:val="00225BE9"/>
    <w:rsid w:val="00225CA0"/>
    <w:rsid w:val="00226724"/>
    <w:rsid w:val="00226791"/>
    <w:rsid w:val="0022746C"/>
    <w:rsid w:val="00227751"/>
    <w:rsid w:val="0022784D"/>
    <w:rsid w:val="00227CC3"/>
    <w:rsid w:val="00227DB8"/>
    <w:rsid w:val="00227EAE"/>
    <w:rsid w:val="00230062"/>
    <w:rsid w:val="0023024D"/>
    <w:rsid w:val="002302BC"/>
    <w:rsid w:val="00230C27"/>
    <w:rsid w:val="00230E38"/>
    <w:rsid w:val="00231145"/>
    <w:rsid w:val="002312BE"/>
    <w:rsid w:val="002313F5"/>
    <w:rsid w:val="002315BE"/>
    <w:rsid w:val="00231775"/>
    <w:rsid w:val="002322AD"/>
    <w:rsid w:val="00232F80"/>
    <w:rsid w:val="0023589A"/>
    <w:rsid w:val="00235966"/>
    <w:rsid w:val="00235A38"/>
    <w:rsid w:val="00235BAA"/>
    <w:rsid w:val="00235DE7"/>
    <w:rsid w:val="002362BC"/>
    <w:rsid w:val="00236573"/>
    <w:rsid w:val="002366BD"/>
    <w:rsid w:val="00237527"/>
    <w:rsid w:val="00237D4B"/>
    <w:rsid w:val="00237F56"/>
    <w:rsid w:val="00240304"/>
    <w:rsid w:val="00240584"/>
    <w:rsid w:val="00240753"/>
    <w:rsid w:val="00240928"/>
    <w:rsid w:val="00240980"/>
    <w:rsid w:val="00240D0B"/>
    <w:rsid w:val="0024152D"/>
    <w:rsid w:val="0024162E"/>
    <w:rsid w:val="002417E9"/>
    <w:rsid w:val="002419EC"/>
    <w:rsid w:val="00241A57"/>
    <w:rsid w:val="00241B30"/>
    <w:rsid w:val="00241D3E"/>
    <w:rsid w:val="00241FE1"/>
    <w:rsid w:val="00242404"/>
    <w:rsid w:val="00242661"/>
    <w:rsid w:val="00242795"/>
    <w:rsid w:val="00242A8C"/>
    <w:rsid w:val="00242D6C"/>
    <w:rsid w:val="00243E04"/>
    <w:rsid w:val="0024472B"/>
    <w:rsid w:val="00244A15"/>
    <w:rsid w:val="00244B2A"/>
    <w:rsid w:val="00244F4E"/>
    <w:rsid w:val="002452D7"/>
    <w:rsid w:val="0024536B"/>
    <w:rsid w:val="0024566C"/>
    <w:rsid w:val="00245891"/>
    <w:rsid w:val="002458A9"/>
    <w:rsid w:val="00245CF8"/>
    <w:rsid w:val="00245FF1"/>
    <w:rsid w:val="00246040"/>
    <w:rsid w:val="00246140"/>
    <w:rsid w:val="00246567"/>
    <w:rsid w:val="002465E2"/>
    <w:rsid w:val="002468A1"/>
    <w:rsid w:val="00246F54"/>
    <w:rsid w:val="00247047"/>
    <w:rsid w:val="0024779C"/>
    <w:rsid w:val="00247841"/>
    <w:rsid w:val="002502A6"/>
    <w:rsid w:val="002507E8"/>
    <w:rsid w:val="00250E1A"/>
    <w:rsid w:val="00250E40"/>
    <w:rsid w:val="0025104F"/>
    <w:rsid w:val="0025111E"/>
    <w:rsid w:val="00251559"/>
    <w:rsid w:val="00251717"/>
    <w:rsid w:val="00251AA5"/>
    <w:rsid w:val="00251D94"/>
    <w:rsid w:val="00251E77"/>
    <w:rsid w:val="002525F6"/>
    <w:rsid w:val="0025297E"/>
    <w:rsid w:val="00252C86"/>
    <w:rsid w:val="00252FF3"/>
    <w:rsid w:val="002536AE"/>
    <w:rsid w:val="00253966"/>
    <w:rsid w:val="00254019"/>
    <w:rsid w:val="0025411B"/>
    <w:rsid w:val="00254506"/>
    <w:rsid w:val="002546F8"/>
    <w:rsid w:val="00254CA7"/>
    <w:rsid w:val="00255044"/>
    <w:rsid w:val="0025505B"/>
    <w:rsid w:val="0025505F"/>
    <w:rsid w:val="00255415"/>
    <w:rsid w:val="0025623E"/>
    <w:rsid w:val="002562D7"/>
    <w:rsid w:val="00256661"/>
    <w:rsid w:val="00256AB7"/>
    <w:rsid w:val="00256BDD"/>
    <w:rsid w:val="00256E87"/>
    <w:rsid w:val="00256EB1"/>
    <w:rsid w:val="0025721E"/>
    <w:rsid w:val="0025754A"/>
    <w:rsid w:val="00257657"/>
    <w:rsid w:val="00257A74"/>
    <w:rsid w:val="00257FEA"/>
    <w:rsid w:val="0026015A"/>
    <w:rsid w:val="0026041A"/>
    <w:rsid w:val="00260659"/>
    <w:rsid w:val="0026070E"/>
    <w:rsid w:val="00260AF8"/>
    <w:rsid w:val="00260D7C"/>
    <w:rsid w:val="002613DA"/>
    <w:rsid w:val="00261D00"/>
    <w:rsid w:val="00261DFE"/>
    <w:rsid w:val="00262765"/>
    <w:rsid w:val="0026300D"/>
    <w:rsid w:val="002633B5"/>
    <w:rsid w:val="002636E7"/>
    <w:rsid w:val="002638CD"/>
    <w:rsid w:val="00263AB1"/>
    <w:rsid w:val="00263EA1"/>
    <w:rsid w:val="00264870"/>
    <w:rsid w:val="00264CC7"/>
    <w:rsid w:val="00264F29"/>
    <w:rsid w:val="00265A85"/>
    <w:rsid w:val="00265ACA"/>
    <w:rsid w:val="00266A96"/>
    <w:rsid w:val="00266B4C"/>
    <w:rsid w:val="00266EC8"/>
    <w:rsid w:val="00267084"/>
    <w:rsid w:val="00267F8A"/>
    <w:rsid w:val="0027075E"/>
    <w:rsid w:val="00270B59"/>
    <w:rsid w:val="002711E4"/>
    <w:rsid w:val="002715CF"/>
    <w:rsid w:val="002717C5"/>
    <w:rsid w:val="00271BC4"/>
    <w:rsid w:val="00272219"/>
    <w:rsid w:val="00272681"/>
    <w:rsid w:val="002729BE"/>
    <w:rsid w:val="00272A88"/>
    <w:rsid w:val="00273324"/>
    <w:rsid w:val="002743FE"/>
    <w:rsid w:val="002747E4"/>
    <w:rsid w:val="002749FF"/>
    <w:rsid w:val="00274C90"/>
    <w:rsid w:val="002750B5"/>
    <w:rsid w:val="0027536F"/>
    <w:rsid w:val="0027573C"/>
    <w:rsid w:val="00275CA2"/>
    <w:rsid w:val="002760BA"/>
    <w:rsid w:val="00276F89"/>
    <w:rsid w:val="00277806"/>
    <w:rsid w:val="00277858"/>
    <w:rsid w:val="00277932"/>
    <w:rsid w:val="00277A0C"/>
    <w:rsid w:val="00277B87"/>
    <w:rsid w:val="002801DC"/>
    <w:rsid w:val="00280855"/>
    <w:rsid w:val="00280AA8"/>
    <w:rsid w:val="00280C71"/>
    <w:rsid w:val="00280D29"/>
    <w:rsid w:val="00280FF5"/>
    <w:rsid w:val="0028102C"/>
    <w:rsid w:val="002810F2"/>
    <w:rsid w:val="00281664"/>
    <w:rsid w:val="002816FA"/>
    <w:rsid w:val="00281736"/>
    <w:rsid w:val="00281963"/>
    <w:rsid w:val="00281BF2"/>
    <w:rsid w:val="00281D3D"/>
    <w:rsid w:val="00281F4E"/>
    <w:rsid w:val="00282BF9"/>
    <w:rsid w:val="00282DFA"/>
    <w:rsid w:val="002830B5"/>
    <w:rsid w:val="00283223"/>
    <w:rsid w:val="00283A8F"/>
    <w:rsid w:val="00283B51"/>
    <w:rsid w:val="00283C07"/>
    <w:rsid w:val="00283CF0"/>
    <w:rsid w:val="0028409F"/>
    <w:rsid w:val="00284507"/>
    <w:rsid w:val="00284927"/>
    <w:rsid w:val="0028505D"/>
    <w:rsid w:val="002855FC"/>
    <w:rsid w:val="002856C0"/>
    <w:rsid w:val="00285916"/>
    <w:rsid w:val="00285CC0"/>
    <w:rsid w:val="00285ECB"/>
    <w:rsid w:val="0028606E"/>
    <w:rsid w:val="002863D5"/>
    <w:rsid w:val="00286A1B"/>
    <w:rsid w:val="00286C0F"/>
    <w:rsid w:val="00286FAB"/>
    <w:rsid w:val="00287BEF"/>
    <w:rsid w:val="00287D37"/>
    <w:rsid w:val="0029086D"/>
    <w:rsid w:val="00290E3A"/>
    <w:rsid w:val="0029162C"/>
    <w:rsid w:val="002916C4"/>
    <w:rsid w:val="00291BD6"/>
    <w:rsid w:val="00291BF5"/>
    <w:rsid w:val="00291EB9"/>
    <w:rsid w:val="002920BE"/>
    <w:rsid w:val="00292D89"/>
    <w:rsid w:val="00292E19"/>
    <w:rsid w:val="00292FB9"/>
    <w:rsid w:val="002938E0"/>
    <w:rsid w:val="00293B58"/>
    <w:rsid w:val="00293BE2"/>
    <w:rsid w:val="00293F36"/>
    <w:rsid w:val="0029437D"/>
    <w:rsid w:val="002943CB"/>
    <w:rsid w:val="002944A8"/>
    <w:rsid w:val="00294647"/>
    <w:rsid w:val="002946AC"/>
    <w:rsid w:val="00294930"/>
    <w:rsid w:val="00294AFB"/>
    <w:rsid w:val="00294C36"/>
    <w:rsid w:val="002952F0"/>
    <w:rsid w:val="00295E84"/>
    <w:rsid w:val="00295ECB"/>
    <w:rsid w:val="00296332"/>
    <w:rsid w:val="00296850"/>
    <w:rsid w:val="0029781C"/>
    <w:rsid w:val="002A0070"/>
    <w:rsid w:val="002A0208"/>
    <w:rsid w:val="002A02A3"/>
    <w:rsid w:val="002A03D5"/>
    <w:rsid w:val="002A0973"/>
    <w:rsid w:val="002A0D84"/>
    <w:rsid w:val="002A0EBC"/>
    <w:rsid w:val="002A1B6A"/>
    <w:rsid w:val="002A1F88"/>
    <w:rsid w:val="002A2A51"/>
    <w:rsid w:val="002A30F7"/>
    <w:rsid w:val="002A3332"/>
    <w:rsid w:val="002A3CC0"/>
    <w:rsid w:val="002A3E0C"/>
    <w:rsid w:val="002A407C"/>
    <w:rsid w:val="002A437F"/>
    <w:rsid w:val="002A49B9"/>
    <w:rsid w:val="002A4A40"/>
    <w:rsid w:val="002A4B79"/>
    <w:rsid w:val="002A4E7F"/>
    <w:rsid w:val="002A518C"/>
    <w:rsid w:val="002A5825"/>
    <w:rsid w:val="002A5DA9"/>
    <w:rsid w:val="002A5E6F"/>
    <w:rsid w:val="002A6017"/>
    <w:rsid w:val="002A6108"/>
    <w:rsid w:val="002A69D6"/>
    <w:rsid w:val="002A710D"/>
    <w:rsid w:val="002A7760"/>
    <w:rsid w:val="002A7F42"/>
    <w:rsid w:val="002B0217"/>
    <w:rsid w:val="002B02A4"/>
    <w:rsid w:val="002B056D"/>
    <w:rsid w:val="002B0B74"/>
    <w:rsid w:val="002B0CEC"/>
    <w:rsid w:val="002B11B9"/>
    <w:rsid w:val="002B13F9"/>
    <w:rsid w:val="002B1433"/>
    <w:rsid w:val="002B149C"/>
    <w:rsid w:val="002B1727"/>
    <w:rsid w:val="002B1A87"/>
    <w:rsid w:val="002B2445"/>
    <w:rsid w:val="002B276B"/>
    <w:rsid w:val="002B2987"/>
    <w:rsid w:val="002B2EEE"/>
    <w:rsid w:val="002B3830"/>
    <w:rsid w:val="002B3B27"/>
    <w:rsid w:val="002B3B4F"/>
    <w:rsid w:val="002B3D1C"/>
    <w:rsid w:val="002B40B5"/>
    <w:rsid w:val="002B43F5"/>
    <w:rsid w:val="002B467F"/>
    <w:rsid w:val="002B49FC"/>
    <w:rsid w:val="002B4B4D"/>
    <w:rsid w:val="002B4D00"/>
    <w:rsid w:val="002B535E"/>
    <w:rsid w:val="002B562C"/>
    <w:rsid w:val="002B56D7"/>
    <w:rsid w:val="002B587B"/>
    <w:rsid w:val="002B58A9"/>
    <w:rsid w:val="002B5A81"/>
    <w:rsid w:val="002B5AF2"/>
    <w:rsid w:val="002B6443"/>
    <w:rsid w:val="002B66CE"/>
    <w:rsid w:val="002B6E33"/>
    <w:rsid w:val="002B7968"/>
    <w:rsid w:val="002B7F48"/>
    <w:rsid w:val="002C0D17"/>
    <w:rsid w:val="002C13DD"/>
    <w:rsid w:val="002C1ABE"/>
    <w:rsid w:val="002C1D2A"/>
    <w:rsid w:val="002C1E96"/>
    <w:rsid w:val="002C214D"/>
    <w:rsid w:val="002C26DE"/>
    <w:rsid w:val="002C2940"/>
    <w:rsid w:val="002C2E64"/>
    <w:rsid w:val="002C3009"/>
    <w:rsid w:val="002C37F4"/>
    <w:rsid w:val="002C3850"/>
    <w:rsid w:val="002C38AC"/>
    <w:rsid w:val="002C3D5D"/>
    <w:rsid w:val="002C3DB6"/>
    <w:rsid w:val="002C3E2D"/>
    <w:rsid w:val="002C3F06"/>
    <w:rsid w:val="002C3FB4"/>
    <w:rsid w:val="002C4D76"/>
    <w:rsid w:val="002C51F5"/>
    <w:rsid w:val="002C6099"/>
    <w:rsid w:val="002C636B"/>
    <w:rsid w:val="002C7543"/>
    <w:rsid w:val="002C75BD"/>
    <w:rsid w:val="002C789D"/>
    <w:rsid w:val="002C7F15"/>
    <w:rsid w:val="002D008F"/>
    <w:rsid w:val="002D0A51"/>
    <w:rsid w:val="002D0C55"/>
    <w:rsid w:val="002D1084"/>
    <w:rsid w:val="002D1347"/>
    <w:rsid w:val="002D177D"/>
    <w:rsid w:val="002D181F"/>
    <w:rsid w:val="002D1D9A"/>
    <w:rsid w:val="002D23F0"/>
    <w:rsid w:val="002D27A6"/>
    <w:rsid w:val="002D2A87"/>
    <w:rsid w:val="002D2C9E"/>
    <w:rsid w:val="002D3120"/>
    <w:rsid w:val="002D326D"/>
    <w:rsid w:val="002D32F2"/>
    <w:rsid w:val="002D3801"/>
    <w:rsid w:val="002D3956"/>
    <w:rsid w:val="002D3D45"/>
    <w:rsid w:val="002D3F49"/>
    <w:rsid w:val="002D41E2"/>
    <w:rsid w:val="002D43D9"/>
    <w:rsid w:val="002D47E7"/>
    <w:rsid w:val="002D4D02"/>
    <w:rsid w:val="002D4DB3"/>
    <w:rsid w:val="002D4E35"/>
    <w:rsid w:val="002D507D"/>
    <w:rsid w:val="002D52C5"/>
    <w:rsid w:val="002D58EE"/>
    <w:rsid w:val="002D5972"/>
    <w:rsid w:val="002D59C3"/>
    <w:rsid w:val="002D6066"/>
    <w:rsid w:val="002D663D"/>
    <w:rsid w:val="002D6BD9"/>
    <w:rsid w:val="002D6DCA"/>
    <w:rsid w:val="002D6E41"/>
    <w:rsid w:val="002D6EF7"/>
    <w:rsid w:val="002D75E0"/>
    <w:rsid w:val="002D7D3F"/>
    <w:rsid w:val="002E05C1"/>
    <w:rsid w:val="002E08E2"/>
    <w:rsid w:val="002E09D8"/>
    <w:rsid w:val="002E12CE"/>
    <w:rsid w:val="002E12F5"/>
    <w:rsid w:val="002E1F96"/>
    <w:rsid w:val="002E2A3C"/>
    <w:rsid w:val="002E2B46"/>
    <w:rsid w:val="002E2FBC"/>
    <w:rsid w:val="002E356D"/>
    <w:rsid w:val="002E3A12"/>
    <w:rsid w:val="002E3B59"/>
    <w:rsid w:val="002E3D4F"/>
    <w:rsid w:val="002E3FD5"/>
    <w:rsid w:val="002E411D"/>
    <w:rsid w:val="002E4FFD"/>
    <w:rsid w:val="002E51B6"/>
    <w:rsid w:val="002E553D"/>
    <w:rsid w:val="002E588D"/>
    <w:rsid w:val="002E58C9"/>
    <w:rsid w:val="002E5AF1"/>
    <w:rsid w:val="002E5B8A"/>
    <w:rsid w:val="002E5F43"/>
    <w:rsid w:val="002E62DD"/>
    <w:rsid w:val="002E64FA"/>
    <w:rsid w:val="002E6890"/>
    <w:rsid w:val="002E6DDB"/>
    <w:rsid w:val="002E6EB9"/>
    <w:rsid w:val="002E7440"/>
    <w:rsid w:val="002E7769"/>
    <w:rsid w:val="002E7FB3"/>
    <w:rsid w:val="002F0AE3"/>
    <w:rsid w:val="002F0C55"/>
    <w:rsid w:val="002F0E62"/>
    <w:rsid w:val="002F1702"/>
    <w:rsid w:val="002F1EB2"/>
    <w:rsid w:val="002F2226"/>
    <w:rsid w:val="002F2A7D"/>
    <w:rsid w:val="002F3011"/>
    <w:rsid w:val="002F324B"/>
    <w:rsid w:val="002F35F0"/>
    <w:rsid w:val="002F37BD"/>
    <w:rsid w:val="002F39C2"/>
    <w:rsid w:val="002F39D9"/>
    <w:rsid w:val="002F3DDB"/>
    <w:rsid w:val="002F414B"/>
    <w:rsid w:val="002F4413"/>
    <w:rsid w:val="002F455C"/>
    <w:rsid w:val="002F571F"/>
    <w:rsid w:val="002F584B"/>
    <w:rsid w:val="002F587E"/>
    <w:rsid w:val="002F5A4E"/>
    <w:rsid w:val="002F5C50"/>
    <w:rsid w:val="002F5D29"/>
    <w:rsid w:val="002F6102"/>
    <w:rsid w:val="002F625A"/>
    <w:rsid w:val="002F650B"/>
    <w:rsid w:val="002F7281"/>
    <w:rsid w:val="002F7CCB"/>
    <w:rsid w:val="00300694"/>
    <w:rsid w:val="00300A76"/>
    <w:rsid w:val="00300CDF"/>
    <w:rsid w:val="003010FD"/>
    <w:rsid w:val="00301671"/>
    <w:rsid w:val="003016C7"/>
    <w:rsid w:val="00301B2F"/>
    <w:rsid w:val="00301DB5"/>
    <w:rsid w:val="00301E0F"/>
    <w:rsid w:val="00302465"/>
    <w:rsid w:val="00302974"/>
    <w:rsid w:val="00303C94"/>
    <w:rsid w:val="00303D19"/>
    <w:rsid w:val="00304160"/>
    <w:rsid w:val="003041B0"/>
    <w:rsid w:val="003043F4"/>
    <w:rsid w:val="0030462D"/>
    <w:rsid w:val="00304924"/>
    <w:rsid w:val="00304941"/>
    <w:rsid w:val="00304E76"/>
    <w:rsid w:val="0030506E"/>
    <w:rsid w:val="00305097"/>
    <w:rsid w:val="00305103"/>
    <w:rsid w:val="00305455"/>
    <w:rsid w:val="00305AD4"/>
    <w:rsid w:val="003061F0"/>
    <w:rsid w:val="003062BD"/>
    <w:rsid w:val="00307066"/>
    <w:rsid w:val="003073CD"/>
    <w:rsid w:val="0030744A"/>
    <w:rsid w:val="00307857"/>
    <w:rsid w:val="00307F64"/>
    <w:rsid w:val="00310410"/>
    <w:rsid w:val="00310841"/>
    <w:rsid w:val="00310BB5"/>
    <w:rsid w:val="00310C4E"/>
    <w:rsid w:val="00310D66"/>
    <w:rsid w:val="0031171B"/>
    <w:rsid w:val="00311860"/>
    <w:rsid w:val="003120FA"/>
    <w:rsid w:val="00312AD7"/>
    <w:rsid w:val="00312BE0"/>
    <w:rsid w:val="00312C78"/>
    <w:rsid w:val="00313028"/>
    <w:rsid w:val="003130CA"/>
    <w:rsid w:val="00313516"/>
    <w:rsid w:val="003138B6"/>
    <w:rsid w:val="00313B4E"/>
    <w:rsid w:val="00314318"/>
    <w:rsid w:val="003143EF"/>
    <w:rsid w:val="0031447F"/>
    <w:rsid w:val="00314522"/>
    <w:rsid w:val="00314679"/>
    <w:rsid w:val="00314A41"/>
    <w:rsid w:val="00314B63"/>
    <w:rsid w:val="00314D04"/>
    <w:rsid w:val="00315F53"/>
    <w:rsid w:val="00316544"/>
    <w:rsid w:val="003169B5"/>
    <w:rsid w:val="00316F01"/>
    <w:rsid w:val="00316FA0"/>
    <w:rsid w:val="00317686"/>
    <w:rsid w:val="00317770"/>
    <w:rsid w:val="00317F55"/>
    <w:rsid w:val="003206B5"/>
    <w:rsid w:val="003207A3"/>
    <w:rsid w:val="0032086D"/>
    <w:rsid w:val="00320926"/>
    <w:rsid w:val="00320B35"/>
    <w:rsid w:val="00321647"/>
    <w:rsid w:val="0032184F"/>
    <w:rsid w:val="00322D0E"/>
    <w:rsid w:val="00323E21"/>
    <w:rsid w:val="00324019"/>
    <w:rsid w:val="003241CF"/>
    <w:rsid w:val="00324223"/>
    <w:rsid w:val="00324376"/>
    <w:rsid w:val="00324F9B"/>
    <w:rsid w:val="003250FA"/>
    <w:rsid w:val="003252C2"/>
    <w:rsid w:val="00325C0A"/>
    <w:rsid w:val="0032619B"/>
    <w:rsid w:val="003261FB"/>
    <w:rsid w:val="003262DF"/>
    <w:rsid w:val="00326408"/>
    <w:rsid w:val="003266E1"/>
    <w:rsid w:val="00327D9A"/>
    <w:rsid w:val="00327F66"/>
    <w:rsid w:val="00330FBD"/>
    <w:rsid w:val="00332258"/>
    <w:rsid w:val="003322C3"/>
    <w:rsid w:val="0033252E"/>
    <w:rsid w:val="0033293D"/>
    <w:rsid w:val="00332AC2"/>
    <w:rsid w:val="00333038"/>
    <w:rsid w:val="003333CD"/>
    <w:rsid w:val="0033383F"/>
    <w:rsid w:val="00333E36"/>
    <w:rsid w:val="00333FC2"/>
    <w:rsid w:val="003342A0"/>
    <w:rsid w:val="00334584"/>
    <w:rsid w:val="00334AD3"/>
    <w:rsid w:val="00334DB0"/>
    <w:rsid w:val="00335742"/>
    <w:rsid w:val="00335ACD"/>
    <w:rsid w:val="00335BBA"/>
    <w:rsid w:val="00335E22"/>
    <w:rsid w:val="00336264"/>
    <w:rsid w:val="00336780"/>
    <w:rsid w:val="003367CA"/>
    <w:rsid w:val="0033694F"/>
    <w:rsid w:val="00336BBB"/>
    <w:rsid w:val="00336BE4"/>
    <w:rsid w:val="0033758C"/>
    <w:rsid w:val="0033774C"/>
    <w:rsid w:val="00340010"/>
    <w:rsid w:val="003400EB"/>
    <w:rsid w:val="0034049F"/>
    <w:rsid w:val="003404D0"/>
    <w:rsid w:val="00340EEA"/>
    <w:rsid w:val="00341541"/>
    <w:rsid w:val="00341602"/>
    <w:rsid w:val="0034168F"/>
    <w:rsid w:val="0034172B"/>
    <w:rsid w:val="00341F6A"/>
    <w:rsid w:val="00342CDC"/>
    <w:rsid w:val="00342DA3"/>
    <w:rsid w:val="00343017"/>
    <w:rsid w:val="003438D1"/>
    <w:rsid w:val="003439E7"/>
    <w:rsid w:val="00343B86"/>
    <w:rsid w:val="00343DFE"/>
    <w:rsid w:val="00344226"/>
    <w:rsid w:val="003442FE"/>
    <w:rsid w:val="00344320"/>
    <w:rsid w:val="003446B6"/>
    <w:rsid w:val="00344CE5"/>
    <w:rsid w:val="003454CC"/>
    <w:rsid w:val="00345553"/>
    <w:rsid w:val="00345711"/>
    <w:rsid w:val="0034599B"/>
    <w:rsid w:val="00345CB1"/>
    <w:rsid w:val="0034606C"/>
    <w:rsid w:val="0034618A"/>
    <w:rsid w:val="00346298"/>
    <w:rsid w:val="0034693A"/>
    <w:rsid w:val="00346F7E"/>
    <w:rsid w:val="00347914"/>
    <w:rsid w:val="00347FD9"/>
    <w:rsid w:val="00350112"/>
    <w:rsid w:val="00350351"/>
    <w:rsid w:val="003504A3"/>
    <w:rsid w:val="00350744"/>
    <w:rsid w:val="00350C18"/>
    <w:rsid w:val="0035131B"/>
    <w:rsid w:val="0035134B"/>
    <w:rsid w:val="00351BF2"/>
    <w:rsid w:val="00351D4A"/>
    <w:rsid w:val="00351FE9"/>
    <w:rsid w:val="0035212C"/>
    <w:rsid w:val="003522B9"/>
    <w:rsid w:val="00352303"/>
    <w:rsid w:val="00352403"/>
    <w:rsid w:val="003524AF"/>
    <w:rsid w:val="003525B6"/>
    <w:rsid w:val="00352968"/>
    <w:rsid w:val="00352C21"/>
    <w:rsid w:val="00352C4C"/>
    <w:rsid w:val="00352E11"/>
    <w:rsid w:val="003531CA"/>
    <w:rsid w:val="0035348F"/>
    <w:rsid w:val="0035362B"/>
    <w:rsid w:val="00354584"/>
    <w:rsid w:val="0035489B"/>
    <w:rsid w:val="00354B15"/>
    <w:rsid w:val="00354CD0"/>
    <w:rsid w:val="00355113"/>
    <w:rsid w:val="00355711"/>
    <w:rsid w:val="00355F63"/>
    <w:rsid w:val="00356006"/>
    <w:rsid w:val="0035669F"/>
    <w:rsid w:val="00356CE5"/>
    <w:rsid w:val="00357523"/>
    <w:rsid w:val="003576D6"/>
    <w:rsid w:val="0035796B"/>
    <w:rsid w:val="00357CA4"/>
    <w:rsid w:val="00357DE9"/>
    <w:rsid w:val="00360139"/>
    <w:rsid w:val="003603A2"/>
    <w:rsid w:val="003605C4"/>
    <w:rsid w:val="00360D68"/>
    <w:rsid w:val="00360EE1"/>
    <w:rsid w:val="00361177"/>
    <w:rsid w:val="003617DB"/>
    <w:rsid w:val="0036242A"/>
    <w:rsid w:val="00362489"/>
    <w:rsid w:val="0036295B"/>
    <w:rsid w:val="00362CB7"/>
    <w:rsid w:val="00362F93"/>
    <w:rsid w:val="0036336F"/>
    <w:rsid w:val="00363740"/>
    <w:rsid w:val="003637E6"/>
    <w:rsid w:val="0036397D"/>
    <w:rsid w:val="00363DE8"/>
    <w:rsid w:val="00363FA8"/>
    <w:rsid w:val="0036407C"/>
    <w:rsid w:val="0036439B"/>
    <w:rsid w:val="00364795"/>
    <w:rsid w:val="00364A37"/>
    <w:rsid w:val="00364D8D"/>
    <w:rsid w:val="00365B19"/>
    <w:rsid w:val="00365F13"/>
    <w:rsid w:val="00365FA4"/>
    <w:rsid w:val="0036619A"/>
    <w:rsid w:val="003661B4"/>
    <w:rsid w:val="003662E2"/>
    <w:rsid w:val="00366D40"/>
    <w:rsid w:val="00366DD6"/>
    <w:rsid w:val="003675E9"/>
    <w:rsid w:val="0037019C"/>
    <w:rsid w:val="00370810"/>
    <w:rsid w:val="00370C74"/>
    <w:rsid w:val="00371587"/>
    <w:rsid w:val="003715C7"/>
    <w:rsid w:val="003717C4"/>
    <w:rsid w:val="00371D77"/>
    <w:rsid w:val="003721BF"/>
    <w:rsid w:val="003730A2"/>
    <w:rsid w:val="0037342B"/>
    <w:rsid w:val="00373DAB"/>
    <w:rsid w:val="00373EEE"/>
    <w:rsid w:val="00373F82"/>
    <w:rsid w:val="0037402C"/>
    <w:rsid w:val="003740C1"/>
    <w:rsid w:val="00374605"/>
    <w:rsid w:val="0037496E"/>
    <w:rsid w:val="00374CD8"/>
    <w:rsid w:val="0037502A"/>
    <w:rsid w:val="003752F3"/>
    <w:rsid w:val="00375442"/>
    <w:rsid w:val="003754CC"/>
    <w:rsid w:val="003756F3"/>
    <w:rsid w:val="00375E1C"/>
    <w:rsid w:val="00375E8D"/>
    <w:rsid w:val="00375FE3"/>
    <w:rsid w:val="0037611F"/>
    <w:rsid w:val="0037678F"/>
    <w:rsid w:val="00376929"/>
    <w:rsid w:val="00376B2B"/>
    <w:rsid w:val="003770FE"/>
    <w:rsid w:val="003771AF"/>
    <w:rsid w:val="00377248"/>
    <w:rsid w:val="00377454"/>
    <w:rsid w:val="0037767E"/>
    <w:rsid w:val="00377BB1"/>
    <w:rsid w:val="003801AB"/>
    <w:rsid w:val="0038099F"/>
    <w:rsid w:val="00380B8D"/>
    <w:rsid w:val="00380C51"/>
    <w:rsid w:val="00381044"/>
    <w:rsid w:val="0038175D"/>
    <w:rsid w:val="0038183C"/>
    <w:rsid w:val="00381C2C"/>
    <w:rsid w:val="00381F10"/>
    <w:rsid w:val="0038232D"/>
    <w:rsid w:val="0038281C"/>
    <w:rsid w:val="003829BF"/>
    <w:rsid w:val="00382B25"/>
    <w:rsid w:val="00382D92"/>
    <w:rsid w:val="0038305F"/>
    <w:rsid w:val="00383288"/>
    <w:rsid w:val="003833F9"/>
    <w:rsid w:val="003841B2"/>
    <w:rsid w:val="00384285"/>
    <w:rsid w:val="00384850"/>
    <w:rsid w:val="00384B30"/>
    <w:rsid w:val="00384BCC"/>
    <w:rsid w:val="00384E3C"/>
    <w:rsid w:val="0038508D"/>
    <w:rsid w:val="003855BD"/>
    <w:rsid w:val="00386083"/>
    <w:rsid w:val="003866AB"/>
    <w:rsid w:val="00386E16"/>
    <w:rsid w:val="00386EA8"/>
    <w:rsid w:val="00387507"/>
    <w:rsid w:val="003900F0"/>
    <w:rsid w:val="0039013D"/>
    <w:rsid w:val="003904A1"/>
    <w:rsid w:val="0039079E"/>
    <w:rsid w:val="00390866"/>
    <w:rsid w:val="0039092F"/>
    <w:rsid w:val="00391003"/>
    <w:rsid w:val="0039150E"/>
    <w:rsid w:val="00391611"/>
    <w:rsid w:val="00391775"/>
    <w:rsid w:val="00391A36"/>
    <w:rsid w:val="00391C30"/>
    <w:rsid w:val="00391D8B"/>
    <w:rsid w:val="003928F1"/>
    <w:rsid w:val="00392D99"/>
    <w:rsid w:val="00392EF2"/>
    <w:rsid w:val="0039342C"/>
    <w:rsid w:val="003935EF"/>
    <w:rsid w:val="003936E2"/>
    <w:rsid w:val="00393DF5"/>
    <w:rsid w:val="00394950"/>
    <w:rsid w:val="00395676"/>
    <w:rsid w:val="00395689"/>
    <w:rsid w:val="00395892"/>
    <w:rsid w:val="003959DE"/>
    <w:rsid w:val="00395C7C"/>
    <w:rsid w:val="00395CCC"/>
    <w:rsid w:val="00396005"/>
    <w:rsid w:val="00396156"/>
    <w:rsid w:val="00396446"/>
    <w:rsid w:val="00396715"/>
    <w:rsid w:val="00396C79"/>
    <w:rsid w:val="00396DC9"/>
    <w:rsid w:val="00396FF7"/>
    <w:rsid w:val="00397207"/>
    <w:rsid w:val="00397528"/>
    <w:rsid w:val="0039759F"/>
    <w:rsid w:val="00397C53"/>
    <w:rsid w:val="00397CE0"/>
    <w:rsid w:val="003A0937"/>
    <w:rsid w:val="003A0AD6"/>
    <w:rsid w:val="003A1046"/>
    <w:rsid w:val="003A10EC"/>
    <w:rsid w:val="003A1467"/>
    <w:rsid w:val="003A1862"/>
    <w:rsid w:val="003A1A3C"/>
    <w:rsid w:val="003A25D7"/>
    <w:rsid w:val="003A27F9"/>
    <w:rsid w:val="003A2804"/>
    <w:rsid w:val="003A2DAE"/>
    <w:rsid w:val="003A2FE7"/>
    <w:rsid w:val="003A3848"/>
    <w:rsid w:val="003A3C65"/>
    <w:rsid w:val="003A3D9D"/>
    <w:rsid w:val="003A40EB"/>
    <w:rsid w:val="003A4ADE"/>
    <w:rsid w:val="003A4B77"/>
    <w:rsid w:val="003A590B"/>
    <w:rsid w:val="003A5C4C"/>
    <w:rsid w:val="003A5CC5"/>
    <w:rsid w:val="003A64BF"/>
    <w:rsid w:val="003A66E5"/>
    <w:rsid w:val="003A703B"/>
    <w:rsid w:val="003A7152"/>
    <w:rsid w:val="003A75BD"/>
    <w:rsid w:val="003A776A"/>
    <w:rsid w:val="003A7EF5"/>
    <w:rsid w:val="003B093A"/>
    <w:rsid w:val="003B096D"/>
    <w:rsid w:val="003B0BAF"/>
    <w:rsid w:val="003B0F7F"/>
    <w:rsid w:val="003B10D5"/>
    <w:rsid w:val="003B1585"/>
    <w:rsid w:val="003B1AA8"/>
    <w:rsid w:val="003B1ACB"/>
    <w:rsid w:val="003B1C45"/>
    <w:rsid w:val="003B22FC"/>
    <w:rsid w:val="003B25A8"/>
    <w:rsid w:val="003B28CE"/>
    <w:rsid w:val="003B2CE6"/>
    <w:rsid w:val="003B328B"/>
    <w:rsid w:val="003B3796"/>
    <w:rsid w:val="003B39C3"/>
    <w:rsid w:val="003B4715"/>
    <w:rsid w:val="003B47AB"/>
    <w:rsid w:val="003B4F96"/>
    <w:rsid w:val="003B53DF"/>
    <w:rsid w:val="003B55A5"/>
    <w:rsid w:val="003B6643"/>
    <w:rsid w:val="003B68DE"/>
    <w:rsid w:val="003B6BBD"/>
    <w:rsid w:val="003B6E04"/>
    <w:rsid w:val="003B7098"/>
    <w:rsid w:val="003B72FB"/>
    <w:rsid w:val="003B769B"/>
    <w:rsid w:val="003B7900"/>
    <w:rsid w:val="003B7C0A"/>
    <w:rsid w:val="003B7CED"/>
    <w:rsid w:val="003C028A"/>
    <w:rsid w:val="003C04A3"/>
    <w:rsid w:val="003C05A5"/>
    <w:rsid w:val="003C0BAE"/>
    <w:rsid w:val="003C0C7C"/>
    <w:rsid w:val="003C0CFF"/>
    <w:rsid w:val="003C1515"/>
    <w:rsid w:val="003C1689"/>
    <w:rsid w:val="003C198D"/>
    <w:rsid w:val="003C19DC"/>
    <w:rsid w:val="003C1A1D"/>
    <w:rsid w:val="003C1B33"/>
    <w:rsid w:val="003C1DC0"/>
    <w:rsid w:val="003C202C"/>
    <w:rsid w:val="003C32F7"/>
    <w:rsid w:val="003C3688"/>
    <w:rsid w:val="003C3872"/>
    <w:rsid w:val="003C3D48"/>
    <w:rsid w:val="003C40CC"/>
    <w:rsid w:val="003C4108"/>
    <w:rsid w:val="003C4399"/>
    <w:rsid w:val="003C43C8"/>
    <w:rsid w:val="003C4D8E"/>
    <w:rsid w:val="003C500E"/>
    <w:rsid w:val="003C509D"/>
    <w:rsid w:val="003C5919"/>
    <w:rsid w:val="003C5D53"/>
    <w:rsid w:val="003C6069"/>
    <w:rsid w:val="003C644A"/>
    <w:rsid w:val="003C6D79"/>
    <w:rsid w:val="003C7131"/>
    <w:rsid w:val="003C7158"/>
    <w:rsid w:val="003C73B2"/>
    <w:rsid w:val="003C7D0A"/>
    <w:rsid w:val="003C7D85"/>
    <w:rsid w:val="003C7E22"/>
    <w:rsid w:val="003D0805"/>
    <w:rsid w:val="003D0A4A"/>
    <w:rsid w:val="003D10DA"/>
    <w:rsid w:val="003D11CA"/>
    <w:rsid w:val="003D1219"/>
    <w:rsid w:val="003D1256"/>
    <w:rsid w:val="003D17B5"/>
    <w:rsid w:val="003D19FA"/>
    <w:rsid w:val="003D1AA9"/>
    <w:rsid w:val="003D22D9"/>
    <w:rsid w:val="003D2506"/>
    <w:rsid w:val="003D2772"/>
    <w:rsid w:val="003D2D50"/>
    <w:rsid w:val="003D2FFC"/>
    <w:rsid w:val="003D3657"/>
    <w:rsid w:val="003D379B"/>
    <w:rsid w:val="003D3A68"/>
    <w:rsid w:val="003D4169"/>
    <w:rsid w:val="003D48C5"/>
    <w:rsid w:val="003D49A4"/>
    <w:rsid w:val="003D49B1"/>
    <w:rsid w:val="003D4AC0"/>
    <w:rsid w:val="003D4DA9"/>
    <w:rsid w:val="003D5D64"/>
    <w:rsid w:val="003D5E51"/>
    <w:rsid w:val="003D6A36"/>
    <w:rsid w:val="003D6C2C"/>
    <w:rsid w:val="003D7955"/>
    <w:rsid w:val="003D7A54"/>
    <w:rsid w:val="003D7A78"/>
    <w:rsid w:val="003D7F2E"/>
    <w:rsid w:val="003E000C"/>
    <w:rsid w:val="003E0225"/>
    <w:rsid w:val="003E022E"/>
    <w:rsid w:val="003E0599"/>
    <w:rsid w:val="003E05D7"/>
    <w:rsid w:val="003E0703"/>
    <w:rsid w:val="003E1005"/>
    <w:rsid w:val="003E1136"/>
    <w:rsid w:val="003E113B"/>
    <w:rsid w:val="003E13B9"/>
    <w:rsid w:val="003E1C37"/>
    <w:rsid w:val="003E20BB"/>
    <w:rsid w:val="003E25F8"/>
    <w:rsid w:val="003E28EB"/>
    <w:rsid w:val="003E2E39"/>
    <w:rsid w:val="003E3CF9"/>
    <w:rsid w:val="003E41C4"/>
    <w:rsid w:val="003E41CD"/>
    <w:rsid w:val="003E4CDC"/>
    <w:rsid w:val="003E4DC9"/>
    <w:rsid w:val="003E4FE0"/>
    <w:rsid w:val="003E520E"/>
    <w:rsid w:val="003E554F"/>
    <w:rsid w:val="003E57B4"/>
    <w:rsid w:val="003E589D"/>
    <w:rsid w:val="003E59A5"/>
    <w:rsid w:val="003E5D7B"/>
    <w:rsid w:val="003E6776"/>
    <w:rsid w:val="003E7205"/>
    <w:rsid w:val="003E726A"/>
    <w:rsid w:val="003E768A"/>
    <w:rsid w:val="003F0475"/>
    <w:rsid w:val="003F0782"/>
    <w:rsid w:val="003F07F7"/>
    <w:rsid w:val="003F0F18"/>
    <w:rsid w:val="003F1610"/>
    <w:rsid w:val="003F1768"/>
    <w:rsid w:val="003F183B"/>
    <w:rsid w:val="003F192B"/>
    <w:rsid w:val="003F20D9"/>
    <w:rsid w:val="003F2736"/>
    <w:rsid w:val="003F2F48"/>
    <w:rsid w:val="003F3127"/>
    <w:rsid w:val="003F3533"/>
    <w:rsid w:val="003F3EFB"/>
    <w:rsid w:val="003F43E4"/>
    <w:rsid w:val="003F47EA"/>
    <w:rsid w:val="003F488B"/>
    <w:rsid w:val="003F49E2"/>
    <w:rsid w:val="003F4A48"/>
    <w:rsid w:val="003F4EA2"/>
    <w:rsid w:val="003F584B"/>
    <w:rsid w:val="003F5C48"/>
    <w:rsid w:val="003F6384"/>
    <w:rsid w:val="003F6880"/>
    <w:rsid w:val="003F6D01"/>
    <w:rsid w:val="003F6E2F"/>
    <w:rsid w:val="003F6F59"/>
    <w:rsid w:val="003F70B8"/>
    <w:rsid w:val="003F70DB"/>
    <w:rsid w:val="003F7296"/>
    <w:rsid w:val="003F7647"/>
    <w:rsid w:val="0040037A"/>
    <w:rsid w:val="004007F7"/>
    <w:rsid w:val="00400A2D"/>
    <w:rsid w:val="00400BF5"/>
    <w:rsid w:val="00401555"/>
    <w:rsid w:val="00401696"/>
    <w:rsid w:val="00401A61"/>
    <w:rsid w:val="00401FF5"/>
    <w:rsid w:val="004021BF"/>
    <w:rsid w:val="004022B7"/>
    <w:rsid w:val="004026C1"/>
    <w:rsid w:val="004027A6"/>
    <w:rsid w:val="00402945"/>
    <w:rsid w:val="00403628"/>
    <w:rsid w:val="00403861"/>
    <w:rsid w:val="00404ED5"/>
    <w:rsid w:val="0040501E"/>
    <w:rsid w:val="00405332"/>
    <w:rsid w:val="0040558F"/>
    <w:rsid w:val="004055B7"/>
    <w:rsid w:val="00405B0D"/>
    <w:rsid w:val="004063BC"/>
    <w:rsid w:val="00406729"/>
    <w:rsid w:val="00406966"/>
    <w:rsid w:val="00407089"/>
    <w:rsid w:val="004076E3"/>
    <w:rsid w:val="004077C6"/>
    <w:rsid w:val="00407857"/>
    <w:rsid w:val="0040787A"/>
    <w:rsid w:val="00407C3D"/>
    <w:rsid w:val="00410A3D"/>
    <w:rsid w:val="00410D80"/>
    <w:rsid w:val="00410FCB"/>
    <w:rsid w:val="004114AF"/>
    <w:rsid w:val="00411712"/>
    <w:rsid w:val="00411784"/>
    <w:rsid w:val="0041191C"/>
    <w:rsid w:val="00411F63"/>
    <w:rsid w:val="00411F72"/>
    <w:rsid w:val="004126C9"/>
    <w:rsid w:val="004127C4"/>
    <w:rsid w:val="00412A12"/>
    <w:rsid w:val="00412A1D"/>
    <w:rsid w:val="00413432"/>
    <w:rsid w:val="00413F3E"/>
    <w:rsid w:val="00413FC5"/>
    <w:rsid w:val="004145CE"/>
    <w:rsid w:val="004153E4"/>
    <w:rsid w:val="0041551E"/>
    <w:rsid w:val="00415592"/>
    <w:rsid w:val="00415A13"/>
    <w:rsid w:val="00415AD1"/>
    <w:rsid w:val="00416690"/>
    <w:rsid w:val="00416DC8"/>
    <w:rsid w:val="00417331"/>
    <w:rsid w:val="00417384"/>
    <w:rsid w:val="004200BB"/>
    <w:rsid w:val="004209DF"/>
    <w:rsid w:val="00420BC6"/>
    <w:rsid w:val="00421154"/>
    <w:rsid w:val="0042161F"/>
    <w:rsid w:val="00421B3C"/>
    <w:rsid w:val="00421B59"/>
    <w:rsid w:val="00421E94"/>
    <w:rsid w:val="00422598"/>
    <w:rsid w:val="00422906"/>
    <w:rsid w:val="00423AE3"/>
    <w:rsid w:val="00423F61"/>
    <w:rsid w:val="0042448E"/>
    <w:rsid w:val="004248F4"/>
    <w:rsid w:val="004249AC"/>
    <w:rsid w:val="0042581B"/>
    <w:rsid w:val="00425BCB"/>
    <w:rsid w:val="00426292"/>
    <w:rsid w:val="00426BBE"/>
    <w:rsid w:val="00427683"/>
    <w:rsid w:val="00427855"/>
    <w:rsid w:val="00427C59"/>
    <w:rsid w:val="00427C99"/>
    <w:rsid w:val="00427EE7"/>
    <w:rsid w:val="00427F8D"/>
    <w:rsid w:val="004303DA"/>
    <w:rsid w:val="00430C4B"/>
    <w:rsid w:val="00430F79"/>
    <w:rsid w:val="004318A1"/>
    <w:rsid w:val="00431CFE"/>
    <w:rsid w:val="00432380"/>
    <w:rsid w:val="00432490"/>
    <w:rsid w:val="00433199"/>
    <w:rsid w:val="00433336"/>
    <w:rsid w:val="004333BC"/>
    <w:rsid w:val="0043361A"/>
    <w:rsid w:val="00433A9A"/>
    <w:rsid w:val="00434009"/>
    <w:rsid w:val="00434CA5"/>
    <w:rsid w:val="00435FDC"/>
    <w:rsid w:val="0043698D"/>
    <w:rsid w:val="00436A71"/>
    <w:rsid w:val="00436D5E"/>
    <w:rsid w:val="004371B5"/>
    <w:rsid w:val="004375A2"/>
    <w:rsid w:val="00437AE8"/>
    <w:rsid w:val="00437C39"/>
    <w:rsid w:val="00437F0B"/>
    <w:rsid w:val="00437FE6"/>
    <w:rsid w:val="00440071"/>
    <w:rsid w:val="0044018E"/>
    <w:rsid w:val="0044046A"/>
    <w:rsid w:val="0044056E"/>
    <w:rsid w:val="00440729"/>
    <w:rsid w:val="00440DAE"/>
    <w:rsid w:val="00441532"/>
    <w:rsid w:val="00441928"/>
    <w:rsid w:val="004420A7"/>
    <w:rsid w:val="0044240D"/>
    <w:rsid w:val="0044241E"/>
    <w:rsid w:val="00442AEC"/>
    <w:rsid w:val="00443A13"/>
    <w:rsid w:val="00443A66"/>
    <w:rsid w:val="00443A70"/>
    <w:rsid w:val="00443BE7"/>
    <w:rsid w:val="00443E3F"/>
    <w:rsid w:val="00443EB5"/>
    <w:rsid w:val="004440A5"/>
    <w:rsid w:val="00444214"/>
    <w:rsid w:val="004446F3"/>
    <w:rsid w:val="00444709"/>
    <w:rsid w:val="00444CE0"/>
    <w:rsid w:val="00444F15"/>
    <w:rsid w:val="004451C7"/>
    <w:rsid w:val="00445DE7"/>
    <w:rsid w:val="0044653C"/>
    <w:rsid w:val="00446754"/>
    <w:rsid w:val="00446773"/>
    <w:rsid w:val="00446996"/>
    <w:rsid w:val="00446AB5"/>
    <w:rsid w:val="00446EAE"/>
    <w:rsid w:val="004473EB"/>
    <w:rsid w:val="0045072E"/>
    <w:rsid w:val="00450DE8"/>
    <w:rsid w:val="00450F0C"/>
    <w:rsid w:val="00451714"/>
    <w:rsid w:val="004517BF"/>
    <w:rsid w:val="00451A58"/>
    <w:rsid w:val="00451ABE"/>
    <w:rsid w:val="00451E81"/>
    <w:rsid w:val="004521CB"/>
    <w:rsid w:val="0045246B"/>
    <w:rsid w:val="00452877"/>
    <w:rsid w:val="004528B0"/>
    <w:rsid w:val="0045348B"/>
    <w:rsid w:val="004540C0"/>
    <w:rsid w:val="0045476D"/>
    <w:rsid w:val="00454858"/>
    <w:rsid w:val="00454CF4"/>
    <w:rsid w:val="0045538B"/>
    <w:rsid w:val="004554C5"/>
    <w:rsid w:val="004562EC"/>
    <w:rsid w:val="0045656A"/>
    <w:rsid w:val="0045695B"/>
    <w:rsid w:val="00456B45"/>
    <w:rsid w:val="00456C24"/>
    <w:rsid w:val="00456CCE"/>
    <w:rsid w:val="00456D14"/>
    <w:rsid w:val="00457534"/>
    <w:rsid w:val="00457C96"/>
    <w:rsid w:val="00457F1A"/>
    <w:rsid w:val="00460A87"/>
    <w:rsid w:val="00460B33"/>
    <w:rsid w:val="004610C5"/>
    <w:rsid w:val="0046159B"/>
    <w:rsid w:val="00461EB4"/>
    <w:rsid w:val="004622E6"/>
    <w:rsid w:val="00462573"/>
    <w:rsid w:val="00462C48"/>
    <w:rsid w:val="00462DD2"/>
    <w:rsid w:val="0046309D"/>
    <w:rsid w:val="00463377"/>
    <w:rsid w:val="00463B61"/>
    <w:rsid w:val="00464219"/>
    <w:rsid w:val="00464A9E"/>
    <w:rsid w:val="00465339"/>
    <w:rsid w:val="00465439"/>
    <w:rsid w:val="004659EF"/>
    <w:rsid w:val="00465FF4"/>
    <w:rsid w:val="00466BDC"/>
    <w:rsid w:val="00467050"/>
    <w:rsid w:val="004673E3"/>
    <w:rsid w:val="0046740D"/>
    <w:rsid w:val="00467634"/>
    <w:rsid w:val="0046784E"/>
    <w:rsid w:val="00467E10"/>
    <w:rsid w:val="0047007B"/>
    <w:rsid w:val="004703CF"/>
    <w:rsid w:val="00470B37"/>
    <w:rsid w:val="00470B85"/>
    <w:rsid w:val="004711B5"/>
    <w:rsid w:val="00471472"/>
    <w:rsid w:val="004716A2"/>
    <w:rsid w:val="00471AD1"/>
    <w:rsid w:val="00471C32"/>
    <w:rsid w:val="00472371"/>
    <w:rsid w:val="00472400"/>
    <w:rsid w:val="004730F7"/>
    <w:rsid w:val="004731D9"/>
    <w:rsid w:val="00473599"/>
    <w:rsid w:val="00473C0A"/>
    <w:rsid w:val="00473E36"/>
    <w:rsid w:val="004748FE"/>
    <w:rsid w:val="00474C41"/>
    <w:rsid w:val="00474DB1"/>
    <w:rsid w:val="004751FC"/>
    <w:rsid w:val="004760AF"/>
    <w:rsid w:val="004760CE"/>
    <w:rsid w:val="004763EC"/>
    <w:rsid w:val="00476E74"/>
    <w:rsid w:val="00477A96"/>
    <w:rsid w:val="00477AA1"/>
    <w:rsid w:val="00480023"/>
    <w:rsid w:val="0048002A"/>
    <w:rsid w:val="004800E4"/>
    <w:rsid w:val="00480BCE"/>
    <w:rsid w:val="00480F55"/>
    <w:rsid w:val="004812A3"/>
    <w:rsid w:val="00481719"/>
    <w:rsid w:val="00481C64"/>
    <w:rsid w:val="0048276F"/>
    <w:rsid w:val="004828B3"/>
    <w:rsid w:val="004828C3"/>
    <w:rsid w:val="004836B2"/>
    <w:rsid w:val="004839A8"/>
    <w:rsid w:val="00483AC7"/>
    <w:rsid w:val="00483D55"/>
    <w:rsid w:val="00483EAA"/>
    <w:rsid w:val="0048524B"/>
    <w:rsid w:val="00486C35"/>
    <w:rsid w:val="00487199"/>
    <w:rsid w:val="0048749E"/>
    <w:rsid w:val="0048767F"/>
    <w:rsid w:val="00487749"/>
    <w:rsid w:val="004878F0"/>
    <w:rsid w:val="00490529"/>
    <w:rsid w:val="00490AC4"/>
    <w:rsid w:val="00490F31"/>
    <w:rsid w:val="004910B6"/>
    <w:rsid w:val="00491189"/>
    <w:rsid w:val="00491228"/>
    <w:rsid w:val="004914AA"/>
    <w:rsid w:val="00491631"/>
    <w:rsid w:val="0049201F"/>
    <w:rsid w:val="004922A7"/>
    <w:rsid w:val="00492B03"/>
    <w:rsid w:val="00493489"/>
    <w:rsid w:val="004934CE"/>
    <w:rsid w:val="00493B98"/>
    <w:rsid w:val="00493C5B"/>
    <w:rsid w:val="00493E7D"/>
    <w:rsid w:val="00493EC9"/>
    <w:rsid w:val="00494658"/>
    <w:rsid w:val="00495125"/>
    <w:rsid w:val="0049569D"/>
    <w:rsid w:val="00495713"/>
    <w:rsid w:val="00495871"/>
    <w:rsid w:val="00495D68"/>
    <w:rsid w:val="00495E3E"/>
    <w:rsid w:val="004964C2"/>
    <w:rsid w:val="00496A36"/>
    <w:rsid w:val="00497340"/>
    <w:rsid w:val="00497369"/>
    <w:rsid w:val="004973BC"/>
    <w:rsid w:val="00497535"/>
    <w:rsid w:val="004A02D3"/>
    <w:rsid w:val="004A0D97"/>
    <w:rsid w:val="004A1407"/>
    <w:rsid w:val="004A1896"/>
    <w:rsid w:val="004A1B40"/>
    <w:rsid w:val="004A1C25"/>
    <w:rsid w:val="004A1FC0"/>
    <w:rsid w:val="004A2272"/>
    <w:rsid w:val="004A22F3"/>
    <w:rsid w:val="004A279D"/>
    <w:rsid w:val="004A284C"/>
    <w:rsid w:val="004A2964"/>
    <w:rsid w:val="004A2C02"/>
    <w:rsid w:val="004A31FC"/>
    <w:rsid w:val="004A322B"/>
    <w:rsid w:val="004A3244"/>
    <w:rsid w:val="004A35FF"/>
    <w:rsid w:val="004A37CE"/>
    <w:rsid w:val="004A3852"/>
    <w:rsid w:val="004A38AF"/>
    <w:rsid w:val="004A451E"/>
    <w:rsid w:val="004A4BCB"/>
    <w:rsid w:val="004A509B"/>
    <w:rsid w:val="004A51BD"/>
    <w:rsid w:val="004A5364"/>
    <w:rsid w:val="004A5714"/>
    <w:rsid w:val="004A59C9"/>
    <w:rsid w:val="004A5F71"/>
    <w:rsid w:val="004A6666"/>
    <w:rsid w:val="004A6EE0"/>
    <w:rsid w:val="004A72C1"/>
    <w:rsid w:val="004A7A29"/>
    <w:rsid w:val="004A7D70"/>
    <w:rsid w:val="004A7EE9"/>
    <w:rsid w:val="004B043D"/>
    <w:rsid w:val="004B0AA0"/>
    <w:rsid w:val="004B194D"/>
    <w:rsid w:val="004B1C6A"/>
    <w:rsid w:val="004B1F23"/>
    <w:rsid w:val="004B222C"/>
    <w:rsid w:val="004B305C"/>
    <w:rsid w:val="004B3BE0"/>
    <w:rsid w:val="004B3C5C"/>
    <w:rsid w:val="004B473B"/>
    <w:rsid w:val="004B5047"/>
    <w:rsid w:val="004B51DA"/>
    <w:rsid w:val="004B5B0D"/>
    <w:rsid w:val="004B5B35"/>
    <w:rsid w:val="004B5C6A"/>
    <w:rsid w:val="004B5CC0"/>
    <w:rsid w:val="004B5FAD"/>
    <w:rsid w:val="004B6825"/>
    <w:rsid w:val="004B6E37"/>
    <w:rsid w:val="004B7337"/>
    <w:rsid w:val="004B763C"/>
    <w:rsid w:val="004B779B"/>
    <w:rsid w:val="004B78E9"/>
    <w:rsid w:val="004B7A9D"/>
    <w:rsid w:val="004B7B4D"/>
    <w:rsid w:val="004B7BA0"/>
    <w:rsid w:val="004C07E8"/>
    <w:rsid w:val="004C08AD"/>
    <w:rsid w:val="004C0D0C"/>
    <w:rsid w:val="004C0DBE"/>
    <w:rsid w:val="004C0F88"/>
    <w:rsid w:val="004C1295"/>
    <w:rsid w:val="004C1820"/>
    <w:rsid w:val="004C19C0"/>
    <w:rsid w:val="004C1F33"/>
    <w:rsid w:val="004C210B"/>
    <w:rsid w:val="004C224E"/>
    <w:rsid w:val="004C2927"/>
    <w:rsid w:val="004C2A86"/>
    <w:rsid w:val="004C2D1D"/>
    <w:rsid w:val="004C2F61"/>
    <w:rsid w:val="004C3279"/>
    <w:rsid w:val="004C345F"/>
    <w:rsid w:val="004C39AF"/>
    <w:rsid w:val="004C3D07"/>
    <w:rsid w:val="004C3E2C"/>
    <w:rsid w:val="004C4AB5"/>
    <w:rsid w:val="004C55B2"/>
    <w:rsid w:val="004C682D"/>
    <w:rsid w:val="004C6AFC"/>
    <w:rsid w:val="004C7416"/>
    <w:rsid w:val="004C7CA1"/>
    <w:rsid w:val="004C7DD6"/>
    <w:rsid w:val="004D0FA5"/>
    <w:rsid w:val="004D100E"/>
    <w:rsid w:val="004D12D0"/>
    <w:rsid w:val="004D1490"/>
    <w:rsid w:val="004D15C2"/>
    <w:rsid w:val="004D16E1"/>
    <w:rsid w:val="004D26C9"/>
    <w:rsid w:val="004D27B9"/>
    <w:rsid w:val="004D28C0"/>
    <w:rsid w:val="004D2E84"/>
    <w:rsid w:val="004D30EE"/>
    <w:rsid w:val="004D376C"/>
    <w:rsid w:val="004D3793"/>
    <w:rsid w:val="004D3B59"/>
    <w:rsid w:val="004D4695"/>
    <w:rsid w:val="004D4CA4"/>
    <w:rsid w:val="004D53E2"/>
    <w:rsid w:val="004D5554"/>
    <w:rsid w:val="004D5590"/>
    <w:rsid w:val="004D5A89"/>
    <w:rsid w:val="004D5AD1"/>
    <w:rsid w:val="004D65E4"/>
    <w:rsid w:val="004D68E7"/>
    <w:rsid w:val="004D69D2"/>
    <w:rsid w:val="004D6DE1"/>
    <w:rsid w:val="004D6E05"/>
    <w:rsid w:val="004D6FF2"/>
    <w:rsid w:val="004D7496"/>
    <w:rsid w:val="004D7498"/>
    <w:rsid w:val="004D7FA7"/>
    <w:rsid w:val="004E004D"/>
    <w:rsid w:val="004E0595"/>
    <w:rsid w:val="004E1095"/>
    <w:rsid w:val="004E14B0"/>
    <w:rsid w:val="004E1AA3"/>
    <w:rsid w:val="004E1DD1"/>
    <w:rsid w:val="004E1F09"/>
    <w:rsid w:val="004E1F67"/>
    <w:rsid w:val="004E2048"/>
    <w:rsid w:val="004E2489"/>
    <w:rsid w:val="004E2586"/>
    <w:rsid w:val="004E26EE"/>
    <w:rsid w:val="004E2941"/>
    <w:rsid w:val="004E2EBC"/>
    <w:rsid w:val="004E3380"/>
    <w:rsid w:val="004E42E0"/>
    <w:rsid w:val="004E4ABF"/>
    <w:rsid w:val="004E4C2F"/>
    <w:rsid w:val="004E4CDB"/>
    <w:rsid w:val="004E4E3F"/>
    <w:rsid w:val="004E641F"/>
    <w:rsid w:val="004E6435"/>
    <w:rsid w:val="004E678B"/>
    <w:rsid w:val="004E73A8"/>
    <w:rsid w:val="004E7430"/>
    <w:rsid w:val="004E7AE4"/>
    <w:rsid w:val="004F0790"/>
    <w:rsid w:val="004F0A84"/>
    <w:rsid w:val="004F0E5F"/>
    <w:rsid w:val="004F15AE"/>
    <w:rsid w:val="004F1B3A"/>
    <w:rsid w:val="004F1BDC"/>
    <w:rsid w:val="004F2980"/>
    <w:rsid w:val="004F2F37"/>
    <w:rsid w:val="004F3B93"/>
    <w:rsid w:val="004F3C3D"/>
    <w:rsid w:val="004F3D93"/>
    <w:rsid w:val="004F40BB"/>
    <w:rsid w:val="004F45EA"/>
    <w:rsid w:val="004F5360"/>
    <w:rsid w:val="004F5370"/>
    <w:rsid w:val="004F55E0"/>
    <w:rsid w:val="004F58CF"/>
    <w:rsid w:val="004F5EEC"/>
    <w:rsid w:val="004F642C"/>
    <w:rsid w:val="004F6815"/>
    <w:rsid w:val="004F69A4"/>
    <w:rsid w:val="004F6BC7"/>
    <w:rsid w:val="004F7027"/>
    <w:rsid w:val="004F750A"/>
    <w:rsid w:val="004F7699"/>
    <w:rsid w:val="004F7919"/>
    <w:rsid w:val="004F79BB"/>
    <w:rsid w:val="004F7C2C"/>
    <w:rsid w:val="00500162"/>
    <w:rsid w:val="00500866"/>
    <w:rsid w:val="00500BBE"/>
    <w:rsid w:val="00500D3A"/>
    <w:rsid w:val="005018C2"/>
    <w:rsid w:val="00501FE5"/>
    <w:rsid w:val="0050206E"/>
    <w:rsid w:val="005021A4"/>
    <w:rsid w:val="005027A3"/>
    <w:rsid w:val="00502925"/>
    <w:rsid w:val="00502E59"/>
    <w:rsid w:val="00503B1E"/>
    <w:rsid w:val="00503E90"/>
    <w:rsid w:val="005041CF"/>
    <w:rsid w:val="0050440E"/>
    <w:rsid w:val="0050471D"/>
    <w:rsid w:val="00504879"/>
    <w:rsid w:val="00504B13"/>
    <w:rsid w:val="00504CC0"/>
    <w:rsid w:val="005056E7"/>
    <w:rsid w:val="0050579C"/>
    <w:rsid w:val="00505CBC"/>
    <w:rsid w:val="00505EB1"/>
    <w:rsid w:val="00505F0B"/>
    <w:rsid w:val="00505F18"/>
    <w:rsid w:val="00506000"/>
    <w:rsid w:val="0050616B"/>
    <w:rsid w:val="0050694C"/>
    <w:rsid w:val="00506969"/>
    <w:rsid w:val="005069F6"/>
    <w:rsid w:val="0050704E"/>
    <w:rsid w:val="0050710F"/>
    <w:rsid w:val="0050722F"/>
    <w:rsid w:val="00510179"/>
    <w:rsid w:val="00510F1B"/>
    <w:rsid w:val="00511576"/>
    <w:rsid w:val="00511A3F"/>
    <w:rsid w:val="00511AC3"/>
    <w:rsid w:val="00511E2E"/>
    <w:rsid w:val="00512296"/>
    <w:rsid w:val="0051288B"/>
    <w:rsid w:val="00512E7D"/>
    <w:rsid w:val="0051317D"/>
    <w:rsid w:val="00513253"/>
    <w:rsid w:val="00513BAF"/>
    <w:rsid w:val="00514F63"/>
    <w:rsid w:val="00515355"/>
    <w:rsid w:val="00515371"/>
    <w:rsid w:val="005159FF"/>
    <w:rsid w:val="00516091"/>
    <w:rsid w:val="00516199"/>
    <w:rsid w:val="005164D8"/>
    <w:rsid w:val="00516748"/>
    <w:rsid w:val="00516B6D"/>
    <w:rsid w:val="00516D1D"/>
    <w:rsid w:val="00516E62"/>
    <w:rsid w:val="00516EEA"/>
    <w:rsid w:val="00516F6C"/>
    <w:rsid w:val="0051701E"/>
    <w:rsid w:val="005171C0"/>
    <w:rsid w:val="00517440"/>
    <w:rsid w:val="0052017D"/>
    <w:rsid w:val="0052078D"/>
    <w:rsid w:val="00520EA8"/>
    <w:rsid w:val="005217EB"/>
    <w:rsid w:val="00522487"/>
    <w:rsid w:val="0052267A"/>
    <w:rsid w:val="00522C83"/>
    <w:rsid w:val="00522DA0"/>
    <w:rsid w:val="00522E2C"/>
    <w:rsid w:val="0052351F"/>
    <w:rsid w:val="005236E5"/>
    <w:rsid w:val="0052455B"/>
    <w:rsid w:val="005245EE"/>
    <w:rsid w:val="00525D27"/>
    <w:rsid w:val="00525DB2"/>
    <w:rsid w:val="0052686B"/>
    <w:rsid w:val="0052746A"/>
    <w:rsid w:val="0052760C"/>
    <w:rsid w:val="00530255"/>
    <w:rsid w:val="005302BF"/>
    <w:rsid w:val="00530316"/>
    <w:rsid w:val="00530852"/>
    <w:rsid w:val="005308C6"/>
    <w:rsid w:val="00530B46"/>
    <w:rsid w:val="00530D0E"/>
    <w:rsid w:val="00531000"/>
    <w:rsid w:val="005310A3"/>
    <w:rsid w:val="00531357"/>
    <w:rsid w:val="005316BA"/>
    <w:rsid w:val="00531797"/>
    <w:rsid w:val="0053196B"/>
    <w:rsid w:val="00531CE1"/>
    <w:rsid w:val="00532378"/>
    <w:rsid w:val="0053246E"/>
    <w:rsid w:val="005324D5"/>
    <w:rsid w:val="00532587"/>
    <w:rsid w:val="0053260B"/>
    <w:rsid w:val="00532807"/>
    <w:rsid w:val="005331E3"/>
    <w:rsid w:val="0053351C"/>
    <w:rsid w:val="00533966"/>
    <w:rsid w:val="005339C0"/>
    <w:rsid w:val="005339DB"/>
    <w:rsid w:val="00533E60"/>
    <w:rsid w:val="00534A50"/>
    <w:rsid w:val="00535364"/>
    <w:rsid w:val="0053541A"/>
    <w:rsid w:val="005354C2"/>
    <w:rsid w:val="00535746"/>
    <w:rsid w:val="00535D47"/>
    <w:rsid w:val="00536480"/>
    <w:rsid w:val="0053658A"/>
    <w:rsid w:val="005365F4"/>
    <w:rsid w:val="00536E59"/>
    <w:rsid w:val="005374B4"/>
    <w:rsid w:val="00537FF4"/>
    <w:rsid w:val="00540123"/>
    <w:rsid w:val="00540128"/>
    <w:rsid w:val="00540148"/>
    <w:rsid w:val="005402AE"/>
    <w:rsid w:val="00541169"/>
    <w:rsid w:val="005412DB"/>
    <w:rsid w:val="00541655"/>
    <w:rsid w:val="00541A52"/>
    <w:rsid w:val="00541B01"/>
    <w:rsid w:val="00541DF2"/>
    <w:rsid w:val="005422D7"/>
    <w:rsid w:val="00542E1E"/>
    <w:rsid w:val="00543782"/>
    <w:rsid w:val="005437B2"/>
    <w:rsid w:val="00543A10"/>
    <w:rsid w:val="00543A5B"/>
    <w:rsid w:val="0054414D"/>
    <w:rsid w:val="00544176"/>
    <w:rsid w:val="00544334"/>
    <w:rsid w:val="0054464B"/>
    <w:rsid w:val="00544ADC"/>
    <w:rsid w:val="00544E8D"/>
    <w:rsid w:val="0054500E"/>
    <w:rsid w:val="00545038"/>
    <w:rsid w:val="0054509A"/>
    <w:rsid w:val="005450A0"/>
    <w:rsid w:val="00545497"/>
    <w:rsid w:val="005459CB"/>
    <w:rsid w:val="00545C5D"/>
    <w:rsid w:val="00547256"/>
    <w:rsid w:val="00547516"/>
    <w:rsid w:val="00547A29"/>
    <w:rsid w:val="00547D49"/>
    <w:rsid w:val="00547EB7"/>
    <w:rsid w:val="00547F6B"/>
    <w:rsid w:val="00547FCE"/>
    <w:rsid w:val="00550B69"/>
    <w:rsid w:val="00550DF6"/>
    <w:rsid w:val="00550FD5"/>
    <w:rsid w:val="00551159"/>
    <w:rsid w:val="005513CE"/>
    <w:rsid w:val="005513EA"/>
    <w:rsid w:val="0055173D"/>
    <w:rsid w:val="005519F7"/>
    <w:rsid w:val="00552A15"/>
    <w:rsid w:val="00552C2A"/>
    <w:rsid w:val="00552D4F"/>
    <w:rsid w:val="00553170"/>
    <w:rsid w:val="005532D2"/>
    <w:rsid w:val="0055336D"/>
    <w:rsid w:val="00553525"/>
    <w:rsid w:val="0055411E"/>
    <w:rsid w:val="00554536"/>
    <w:rsid w:val="00554670"/>
    <w:rsid w:val="00554CB7"/>
    <w:rsid w:val="00555069"/>
    <w:rsid w:val="005552CB"/>
    <w:rsid w:val="0055549D"/>
    <w:rsid w:val="005554DB"/>
    <w:rsid w:val="00555E56"/>
    <w:rsid w:val="005565F6"/>
    <w:rsid w:val="0055672F"/>
    <w:rsid w:val="00556F3A"/>
    <w:rsid w:val="00556FBE"/>
    <w:rsid w:val="0055714C"/>
    <w:rsid w:val="00557DD7"/>
    <w:rsid w:val="005603C7"/>
    <w:rsid w:val="005612B3"/>
    <w:rsid w:val="0056198B"/>
    <w:rsid w:val="00561E14"/>
    <w:rsid w:val="00561F57"/>
    <w:rsid w:val="005621C9"/>
    <w:rsid w:val="005621EE"/>
    <w:rsid w:val="00562773"/>
    <w:rsid w:val="00562800"/>
    <w:rsid w:val="00563626"/>
    <w:rsid w:val="005639CD"/>
    <w:rsid w:val="00563A49"/>
    <w:rsid w:val="005646F0"/>
    <w:rsid w:val="00564929"/>
    <w:rsid w:val="00564C6E"/>
    <w:rsid w:val="005654D5"/>
    <w:rsid w:val="0056570B"/>
    <w:rsid w:val="005657D5"/>
    <w:rsid w:val="00565917"/>
    <w:rsid w:val="00565DD9"/>
    <w:rsid w:val="00566211"/>
    <w:rsid w:val="00566533"/>
    <w:rsid w:val="00566723"/>
    <w:rsid w:val="00566A39"/>
    <w:rsid w:val="00566B83"/>
    <w:rsid w:val="00567053"/>
    <w:rsid w:val="005670D5"/>
    <w:rsid w:val="00567176"/>
    <w:rsid w:val="00567492"/>
    <w:rsid w:val="005676CD"/>
    <w:rsid w:val="0056798D"/>
    <w:rsid w:val="00567E52"/>
    <w:rsid w:val="0057124E"/>
    <w:rsid w:val="005712AB"/>
    <w:rsid w:val="005713AF"/>
    <w:rsid w:val="00571D79"/>
    <w:rsid w:val="005723F2"/>
    <w:rsid w:val="0057245B"/>
    <w:rsid w:val="00572463"/>
    <w:rsid w:val="00572845"/>
    <w:rsid w:val="00572E40"/>
    <w:rsid w:val="005735B8"/>
    <w:rsid w:val="00573F98"/>
    <w:rsid w:val="00574F9C"/>
    <w:rsid w:val="005752A6"/>
    <w:rsid w:val="00575BFC"/>
    <w:rsid w:val="00575D3D"/>
    <w:rsid w:val="00576F47"/>
    <w:rsid w:val="00577127"/>
    <w:rsid w:val="005771B9"/>
    <w:rsid w:val="00577965"/>
    <w:rsid w:val="00577CBB"/>
    <w:rsid w:val="00580171"/>
    <w:rsid w:val="00580A6B"/>
    <w:rsid w:val="00580C8A"/>
    <w:rsid w:val="00580CE9"/>
    <w:rsid w:val="00580D9B"/>
    <w:rsid w:val="00580E44"/>
    <w:rsid w:val="00580FFF"/>
    <w:rsid w:val="005817F2"/>
    <w:rsid w:val="005818D1"/>
    <w:rsid w:val="005819B7"/>
    <w:rsid w:val="00581B92"/>
    <w:rsid w:val="00581FD2"/>
    <w:rsid w:val="005823C9"/>
    <w:rsid w:val="00582523"/>
    <w:rsid w:val="0058270B"/>
    <w:rsid w:val="00582893"/>
    <w:rsid w:val="00582A0A"/>
    <w:rsid w:val="00582F6E"/>
    <w:rsid w:val="00582FDB"/>
    <w:rsid w:val="00583873"/>
    <w:rsid w:val="00583E25"/>
    <w:rsid w:val="00584195"/>
    <w:rsid w:val="005843F5"/>
    <w:rsid w:val="00584924"/>
    <w:rsid w:val="00584F7E"/>
    <w:rsid w:val="005864A0"/>
    <w:rsid w:val="00587E64"/>
    <w:rsid w:val="00590A34"/>
    <w:rsid w:val="00590B0F"/>
    <w:rsid w:val="00590BC2"/>
    <w:rsid w:val="00590D80"/>
    <w:rsid w:val="00590EA2"/>
    <w:rsid w:val="00591750"/>
    <w:rsid w:val="00591D54"/>
    <w:rsid w:val="00591DB9"/>
    <w:rsid w:val="0059214E"/>
    <w:rsid w:val="00592857"/>
    <w:rsid w:val="00592A37"/>
    <w:rsid w:val="00592E2B"/>
    <w:rsid w:val="00592F85"/>
    <w:rsid w:val="00592FF3"/>
    <w:rsid w:val="005934D0"/>
    <w:rsid w:val="0059366E"/>
    <w:rsid w:val="00593CFD"/>
    <w:rsid w:val="00594336"/>
    <w:rsid w:val="00594C49"/>
    <w:rsid w:val="00594CCC"/>
    <w:rsid w:val="005953D5"/>
    <w:rsid w:val="005956C8"/>
    <w:rsid w:val="0059571F"/>
    <w:rsid w:val="005957B5"/>
    <w:rsid w:val="00595D6B"/>
    <w:rsid w:val="00595D85"/>
    <w:rsid w:val="00595DC2"/>
    <w:rsid w:val="00595FA9"/>
    <w:rsid w:val="005968A7"/>
    <w:rsid w:val="0059698A"/>
    <w:rsid w:val="00596F5C"/>
    <w:rsid w:val="005971F2"/>
    <w:rsid w:val="005972C3"/>
    <w:rsid w:val="00597585"/>
    <w:rsid w:val="0059783F"/>
    <w:rsid w:val="005978B9"/>
    <w:rsid w:val="00597AB2"/>
    <w:rsid w:val="00597AE0"/>
    <w:rsid w:val="005A00ED"/>
    <w:rsid w:val="005A034F"/>
    <w:rsid w:val="005A06EC"/>
    <w:rsid w:val="005A1269"/>
    <w:rsid w:val="005A1339"/>
    <w:rsid w:val="005A154D"/>
    <w:rsid w:val="005A161E"/>
    <w:rsid w:val="005A1D79"/>
    <w:rsid w:val="005A232F"/>
    <w:rsid w:val="005A23F6"/>
    <w:rsid w:val="005A261F"/>
    <w:rsid w:val="005A2867"/>
    <w:rsid w:val="005A2B4A"/>
    <w:rsid w:val="005A2B6E"/>
    <w:rsid w:val="005A2C6E"/>
    <w:rsid w:val="005A3510"/>
    <w:rsid w:val="005A35EC"/>
    <w:rsid w:val="005A3772"/>
    <w:rsid w:val="005A39D6"/>
    <w:rsid w:val="005A3A8F"/>
    <w:rsid w:val="005A3DAC"/>
    <w:rsid w:val="005A4426"/>
    <w:rsid w:val="005A49F5"/>
    <w:rsid w:val="005A4DF1"/>
    <w:rsid w:val="005A5017"/>
    <w:rsid w:val="005A5102"/>
    <w:rsid w:val="005A5267"/>
    <w:rsid w:val="005A5369"/>
    <w:rsid w:val="005A55E6"/>
    <w:rsid w:val="005A5C95"/>
    <w:rsid w:val="005A5E03"/>
    <w:rsid w:val="005A5EB4"/>
    <w:rsid w:val="005A5FD5"/>
    <w:rsid w:val="005A621D"/>
    <w:rsid w:val="005A6273"/>
    <w:rsid w:val="005A66E9"/>
    <w:rsid w:val="005A6CE8"/>
    <w:rsid w:val="005A6D6B"/>
    <w:rsid w:val="005A6F60"/>
    <w:rsid w:val="005A76EA"/>
    <w:rsid w:val="005A7784"/>
    <w:rsid w:val="005A779A"/>
    <w:rsid w:val="005A7B82"/>
    <w:rsid w:val="005A7E34"/>
    <w:rsid w:val="005B044B"/>
    <w:rsid w:val="005B050B"/>
    <w:rsid w:val="005B0555"/>
    <w:rsid w:val="005B0569"/>
    <w:rsid w:val="005B06D8"/>
    <w:rsid w:val="005B0752"/>
    <w:rsid w:val="005B08D3"/>
    <w:rsid w:val="005B11C4"/>
    <w:rsid w:val="005B1ECF"/>
    <w:rsid w:val="005B3005"/>
    <w:rsid w:val="005B30C1"/>
    <w:rsid w:val="005B36EF"/>
    <w:rsid w:val="005B3859"/>
    <w:rsid w:val="005B3953"/>
    <w:rsid w:val="005B3A8C"/>
    <w:rsid w:val="005B3D83"/>
    <w:rsid w:val="005B3EFE"/>
    <w:rsid w:val="005B3F98"/>
    <w:rsid w:val="005B4292"/>
    <w:rsid w:val="005B45D0"/>
    <w:rsid w:val="005B47FA"/>
    <w:rsid w:val="005B4A09"/>
    <w:rsid w:val="005B4D9B"/>
    <w:rsid w:val="005B4F04"/>
    <w:rsid w:val="005B52C0"/>
    <w:rsid w:val="005B5479"/>
    <w:rsid w:val="005B5764"/>
    <w:rsid w:val="005B5947"/>
    <w:rsid w:val="005B61A6"/>
    <w:rsid w:val="005B6C21"/>
    <w:rsid w:val="005B6F1A"/>
    <w:rsid w:val="005B71C1"/>
    <w:rsid w:val="005B7966"/>
    <w:rsid w:val="005B7B9C"/>
    <w:rsid w:val="005C048E"/>
    <w:rsid w:val="005C0514"/>
    <w:rsid w:val="005C05D5"/>
    <w:rsid w:val="005C0928"/>
    <w:rsid w:val="005C0A5C"/>
    <w:rsid w:val="005C1011"/>
    <w:rsid w:val="005C1E01"/>
    <w:rsid w:val="005C1FD7"/>
    <w:rsid w:val="005C242A"/>
    <w:rsid w:val="005C2521"/>
    <w:rsid w:val="005C2D8E"/>
    <w:rsid w:val="005C2EEB"/>
    <w:rsid w:val="005C321E"/>
    <w:rsid w:val="005C3701"/>
    <w:rsid w:val="005C3766"/>
    <w:rsid w:val="005C437B"/>
    <w:rsid w:val="005C469A"/>
    <w:rsid w:val="005C49E6"/>
    <w:rsid w:val="005C4F0A"/>
    <w:rsid w:val="005C4F89"/>
    <w:rsid w:val="005C57FB"/>
    <w:rsid w:val="005C6227"/>
    <w:rsid w:val="005C6A23"/>
    <w:rsid w:val="005C6B81"/>
    <w:rsid w:val="005C731E"/>
    <w:rsid w:val="005C751C"/>
    <w:rsid w:val="005C7858"/>
    <w:rsid w:val="005C7AB6"/>
    <w:rsid w:val="005C7D03"/>
    <w:rsid w:val="005D05AA"/>
    <w:rsid w:val="005D05CB"/>
    <w:rsid w:val="005D0634"/>
    <w:rsid w:val="005D0BA3"/>
    <w:rsid w:val="005D0BDD"/>
    <w:rsid w:val="005D0C86"/>
    <w:rsid w:val="005D1F72"/>
    <w:rsid w:val="005D23E0"/>
    <w:rsid w:val="005D246E"/>
    <w:rsid w:val="005D2A0E"/>
    <w:rsid w:val="005D3067"/>
    <w:rsid w:val="005D3248"/>
    <w:rsid w:val="005D337A"/>
    <w:rsid w:val="005D3468"/>
    <w:rsid w:val="005D36BD"/>
    <w:rsid w:val="005D36EB"/>
    <w:rsid w:val="005D3A90"/>
    <w:rsid w:val="005D3AAB"/>
    <w:rsid w:val="005D4304"/>
    <w:rsid w:val="005D45A1"/>
    <w:rsid w:val="005D4EDC"/>
    <w:rsid w:val="005D5153"/>
    <w:rsid w:val="005D515B"/>
    <w:rsid w:val="005D576A"/>
    <w:rsid w:val="005D5E4E"/>
    <w:rsid w:val="005D6015"/>
    <w:rsid w:val="005D6144"/>
    <w:rsid w:val="005D633A"/>
    <w:rsid w:val="005D6398"/>
    <w:rsid w:val="005D6488"/>
    <w:rsid w:val="005D6AA5"/>
    <w:rsid w:val="005D6F48"/>
    <w:rsid w:val="005D7450"/>
    <w:rsid w:val="005D7F6C"/>
    <w:rsid w:val="005E0320"/>
    <w:rsid w:val="005E039B"/>
    <w:rsid w:val="005E04BD"/>
    <w:rsid w:val="005E0A4C"/>
    <w:rsid w:val="005E1BCA"/>
    <w:rsid w:val="005E1F78"/>
    <w:rsid w:val="005E249F"/>
    <w:rsid w:val="005E24F9"/>
    <w:rsid w:val="005E2BD9"/>
    <w:rsid w:val="005E2D39"/>
    <w:rsid w:val="005E2D5B"/>
    <w:rsid w:val="005E2EE7"/>
    <w:rsid w:val="005E338E"/>
    <w:rsid w:val="005E34F3"/>
    <w:rsid w:val="005E3C07"/>
    <w:rsid w:val="005E3C84"/>
    <w:rsid w:val="005E4131"/>
    <w:rsid w:val="005E427A"/>
    <w:rsid w:val="005E429E"/>
    <w:rsid w:val="005E44EC"/>
    <w:rsid w:val="005E450C"/>
    <w:rsid w:val="005E461A"/>
    <w:rsid w:val="005E4DDF"/>
    <w:rsid w:val="005E4FBF"/>
    <w:rsid w:val="005E50EF"/>
    <w:rsid w:val="005E54B0"/>
    <w:rsid w:val="005E5ADE"/>
    <w:rsid w:val="005E5D6D"/>
    <w:rsid w:val="005E5EAB"/>
    <w:rsid w:val="005E61FB"/>
    <w:rsid w:val="005E6B81"/>
    <w:rsid w:val="005E781F"/>
    <w:rsid w:val="005E7C02"/>
    <w:rsid w:val="005E7C27"/>
    <w:rsid w:val="005F07EF"/>
    <w:rsid w:val="005F094B"/>
    <w:rsid w:val="005F0B45"/>
    <w:rsid w:val="005F0FE8"/>
    <w:rsid w:val="005F11A9"/>
    <w:rsid w:val="005F11D7"/>
    <w:rsid w:val="005F170B"/>
    <w:rsid w:val="005F1B5C"/>
    <w:rsid w:val="005F1BE2"/>
    <w:rsid w:val="005F1BE4"/>
    <w:rsid w:val="005F1C2F"/>
    <w:rsid w:val="005F1C90"/>
    <w:rsid w:val="005F252F"/>
    <w:rsid w:val="005F274B"/>
    <w:rsid w:val="005F2DE6"/>
    <w:rsid w:val="005F2E2B"/>
    <w:rsid w:val="005F3538"/>
    <w:rsid w:val="005F4BA6"/>
    <w:rsid w:val="005F4EC9"/>
    <w:rsid w:val="005F54DB"/>
    <w:rsid w:val="005F57FC"/>
    <w:rsid w:val="005F655C"/>
    <w:rsid w:val="005F69BF"/>
    <w:rsid w:val="005F6B0E"/>
    <w:rsid w:val="005F6D27"/>
    <w:rsid w:val="005F744A"/>
    <w:rsid w:val="005F7867"/>
    <w:rsid w:val="006001EA"/>
    <w:rsid w:val="00600225"/>
    <w:rsid w:val="006002BC"/>
    <w:rsid w:val="006003DE"/>
    <w:rsid w:val="00600820"/>
    <w:rsid w:val="00600EEF"/>
    <w:rsid w:val="00600F02"/>
    <w:rsid w:val="006010B9"/>
    <w:rsid w:val="00601471"/>
    <w:rsid w:val="006022D2"/>
    <w:rsid w:val="006023D5"/>
    <w:rsid w:val="00602518"/>
    <w:rsid w:val="00602667"/>
    <w:rsid w:val="00602C9F"/>
    <w:rsid w:val="006032F4"/>
    <w:rsid w:val="0060339F"/>
    <w:rsid w:val="00603570"/>
    <w:rsid w:val="00603D18"/>
    <w:rsid w:val="00603D65"/>
    <w:rsid w:val="00604311"/>
    <w:rsid w:val="00604615"/>
    <w:rsid w:val="00604A39"/>
    <w:rsid w:val="00604CA1"/>
    <w:rsid w:val="00605046"/>
    <w:rsid w:val="00605104"/>
    <w:rsid w:val="00605C3E"/>
    <w:rsid w:val="00605FAA"/>
    <w:rsid w:val="00605FF1"/>
    <w:rsid w:val="006060AB"/>
    <w:rsid w:val="0060613B"/>
    <w:rsid w:val="0060632D"/>
    <w:rsid w:val="006068D8"/>
    <w:rsid w:val="00606C57"/>
    <w:rsid w:val="00606FF8"/>
    <w:rsid w:val="006070B2"/>
    <w:rsid w:val="0060784D"/>
    <w:rsid w:val="00607AEB"/>
    <w:rsid w:val="0061018D"/>
    <w:rsid w:val="00610499"/>
    <w:rsid w:val="00610794"/>
    <w:rsid w:val="0061126B"/>
    <w:rsid w:val="00611608"/>
    <w:rsid w:val="006118DC"/>
    <w:rsid w:val="006119CD"/>
    <w:rsid w:val="00611D1C"/>
    <w:rsid w:val="00612415"/>
    <w:rsid w:val="0061247F"/>
    <w:rsid w:val="00612558"/>
    <w:rsid w:val="00612824"/>
    <w:rsid w:val="00612C13"/>
    <w:rsid w:val="00612D64"/>
    <w:rsid w:val="00612FB8"/>
    <w:rsid w:val="00613871"/>
    <w:rsid w:val="00613CB3"/>
    <w:rsid w:val="00613DFA"/>
    <w:rsid w:val="00613EB3"/>
    <w:rsid w:val="00614110"/>
    <w:rsid w:val="00614840"/>
    <w:rsid w:val="0061489B"/>
    <w:rsid w:val="00614B7B"/>
    <w:rsid w:val="006158F5"/>
    <w:rsid w:val="00615E51"/>
    <w:rsid w:val="00616026"/>
    <w:rsid w:val="00616466"/>
    <w:rsid w:val="00616587"/>
    <w:rsid w:val="00616E70"/>
    <w:rsid w:val="00616EFC"/>
    <w:rsid w:val="00616FF9"/>
    <w:rsid w:val="006170BE"/>
    <w:rsid w:val="006176D9"/>
    <w:rsid w:val="00617AFE"/>
    <w:rsid w:val="00617B92"/>
    <w:rsid w:val="00617BE0"/>
    <w:rsid w:val="00617C6C"/>
    <w:rsid w:val="0062055C"/>
    <w:rsid w:val="00620718"/>
    <w:rsid w:val="006209E4"/>
    <w:rsid w:val="00620E86"/>
    <w:rsid w:val="00620E92"/>
    <w:rsid w:val="00621054"/>
    <w:rsid w:val="0062123F"/>
    <w:rsid w:val="00621561"/>
    <w:rsid w:val="00621939"/>
    <w:rsid w:val="006219C5"/>
    <w:rsid w:val="00621B63"/>
    <w:rsid w:val="00622987"/>
    <w:rsid w:val="00622B6F"/>
    <w:rsid w:val="0062309E"/>
    <w:rsid w:val="00623761"/>
    <w:rsid w:val="00623AD4"/>
    <w:rsid w:val="006240EF"/>
    <w:rsid w:val="0062476F"/>
    <w:rsid w:val="0062485E"/>
    <w:rsid w:val="00624BEF"/>
    <w:rsid w:val="00624C3C"/>
    <w:rsid w:val="00624CCB"/>
    <w:rsid w:val="00624ED5"/>
    <w:rsid w:val="0062515E"/>
    <w:rsid w:val="006253F9"/>
    <w:rsid w:val="00625CCD"/>
    <w:rsid w:val="00625D61"/>
    <w:rsid w:val="006263DE"/>
    <w:rsid w:val="00626B73"/>
    <w:rsid w:val="00626DBE"/>
    <w:rsid w:val="00627422"/>
    <w:rsid w:val="006278C9"/>
    <w:rsid w:val="00627A1D"/>
    <w:rsid w:val="00627ED8"/>
    <w:rsid w:val="006301C2"/>
    <w:rsid w:val="006302B1"/>
    <w:rsid w:val="00630575"/>
    <w:rsid w:val="006306D3"/>
    <w:rsid w:val="00630A17"/>
    <w:rsid w:val="00630D40"/>
    <w:rsid w:val="00630DBA"/>
    <w:rsid w:val="00630DCE"/>
    <w:rsid w:val="00630ED0"/>
    <w:rsid w:val="0063140E"/>
    <w:rsid w:val="006314EF"/>
    <w:rsid w:val="006315D9"/>
    <w:rsid w:val="006316DC"/>
    <w:rsid w:val="00631844"/>
    <w:rsid w:val="00631D65"/>
    <w:rsid w:val="00631FA7"/>
    <w:rsid w:val="006324E2"/>
    <w:rsid w:val="00632577"/>
    <w:rsid w:val="00632CDD"/>
    <w:rsid w:val="0063334C"/>
    <w:rsid w:val="006333D0"/>
    <w:rsid w:val="00633856"/>
    <w:rsid w:val="00633969"/>
    <w:rsid w:val="006339D0"/>
    <w:rsid w:val="00633A7B"/>
    <w:rsid w:val="00633DE3"/>
    <w:rsid w:val="00633F7C"/>
    <w:rsid w:val="0063441D"/>
    <w:rsid w:val="0063477F"/>
    <w:rsid w:val="00635029"/>
    <w:rsid w:val="0063507D"/>
    <w:rsid w:val="006352ED"/>
    <w:rsid w:val="00635572"/>
    <w:rsid w:val="00635616"/>
    <w:rsid w:val="006356AF"/>
    <w:rsid w:val="00635EC3"/>
    <w:rsid w:val="00636082"/>
    <w:rsid w:val="006362AE"/>
    <w:rsid w:val="00636A3E"/>
    <w:rsid w:val="00636E2B"/>
    <w:rsid w:val="0063733C"/>
    <w:rsid w:val="006373C7"/>
    <w:rsid w:val="0063774A"/>
    <w:rsid w:val="0063796B"/>
    <w:rsid w:val="00637A08"/>
    <w:rsid w:val="00637EE1"/>
    <w:rsid w:val="006405FD"/>
    <w:rsid w:val="006409A1"/>
    <w:rsid w:val="00640C43"/>
    <w:rsid w:val="00641463"/>
    <w:rsid w:val="00642716"/>
    <w:rsid w:val="006429C7"/>
    <w:rsid w:val="006429EB"/>
    <w:rsid w:val="00643440"/>
    <w:rsid w:val="00643CD3"/>
    <w:rsid w:val="00643DE3"/>
    <w:rsid w:val="00644433"/>
    <w:rsid w:val="00645777"/>
    <w:rsid w:val="00645A76"/>
    <w:rsid w:val="00645F30"/>
    <w:rsid w:val="00646020"/>
    <w:rsid w:val="00646129"/>
    <w:rsid w:val="006463BF"/>
    <w:rsid w:val="00646997"/>
    <w:rsid w:val="00646B45"/>
    <w:rsid w:val="00646FA9"/>
    <w:rsid w:val="006473A0"/>
    <w:rsid w:val="006473CF"/>
    <w:rsid w:val="006476E4"/>
    <w:rsid w:val="00647746"/>
    <w:rsid w:val="0064794F"/>
    <w:rsid w:val="00647B6A"/>
    <w:rsid w:val="006500B2"/>
    <w:rsid w:val="00651448"/>
    <w:rsid w:val="00651548"/>
    <w:rsid w:val="00651836"/>
    <w:rsid w:val="00651C2F"/>
    <w:rsid w:val="00651DA2"/>
    <w:rsid w:val="0065254C"/>
    <w:rsid w:val="00652FF8"/>
    <w:rsid w:val="00653682"/>
    <w:rsid w:val="00653B9B"/>
    <w:rsid w:val="00653DEC"/>
    <w:rsid w:val="00653EEF"/>
    <w:rsid w:val="00654226"/>
    <w:rsid w:val="00654CB8"/>
    <w:rsid w:val="006551BD"/>
    <w:rsid w:val="006552FA"/>
    <w:rsid w:val="00655669"/>
    <w:rsid w:val="00655917"/>
    <w:rsid w:val="00655B41"/>
    <w:rsid w:val="00655C8B"/>
    <w:rsid w:val="00655F49"/>
    <w:rsid w:val="00656319"/>
    <w:rsid w:val="00656980"/>
    <w:rsid w:val="00657539"/>
    <w:rsid w:val="00657CEC"/>
    <w:rsid w:val="00657E63"/>
    <w:rsid w:val="00660641"/>
    <w:rsid w:val="0066074F"/>
    <w:rsid w:val="006607CE"/>
    <w:rsid w:val="0066096B"/>
    <w:rsid w:val="0066151B"/>
    <w:rsid w:val="006619D9"/>
    <w:rsid w:val="00661E2D"/>
    <w:rsid w:val="00661E75"/>
    <w:rsid w:val="00662134"/>
    <w:rsid w:val="006624CF"/>
    <w:rsid w:val="00662612"/>
    <w:rsid w:val="006627F4"/>
    <w:rsid w:val="006628AA"/>
    <w:rsid w:val="00662F95"/>
    <w:rsid w:val="00663C2B"/>
    <w:rsid w:val="00663E58"/>
    <w:rsid w:val="00663F8E"/>
    <w:rsid w:val="006643C6"/>
    <w:rsid w:val="00664B7E"/>
    <w:rsid w:val="00664F94"/>
    <w:rsid w:val="00664FF7"/>
    <w:rsid w:val="00665127"/>
    <w:rsid w:val="006652A0"/>
    <w:rsid w:val="006658CE"/>
    <w:rsid w:val="00665D0B"/>
    <w:rsid w:val="00665E73"/>
    <w:rsid w:val="0066632D"/>
    <w:rsid w:val="0066691B"/>
    <w:rsid w:val="00666B5C"/>
    <w:rsid w:val="00666CFD"/>
    <w:rsid w:val="00666E5C"/>
    <w:rsid w:val="00667407"/>
    <w:rsid w:val="00667553"/>
    <w:rsid w:val="0067003C"/>
    <w:rsid w:val="00670073"/>
    <w:rsid w:val="0067069F"/>
    <w:rsid w:val="00670A6A"/>
    <w:rsid w:val="00670ACD"/>
    <w:rsid w:val="006713DA"/>
    <w:rsid w:val="00671485"/>
    <w:rsid w:val="00671508"/>
    <w:rsid w:val="00671AFC"/>
    <w:rsid w:val="00671B7E"/>
    <w:rsid w:val="00671DE5"/>
    <w:rsid w:val="00671E6A"/>
    <w:rsid w:val="006721D2"/>
    <w:rsid w:val="006722F1"/>
    <w:rsid w:val="00672E8F"/>
    <w:rsid w:val="00673572"/>
    <w:rsid w:val="00673E4D"/>
    <w:rsid w:val="00674535"/>
    <w:rsid w:val="00674AC4"/>
    <w:rsid w:val="00674AE3"/>
    <w:rsid w:val="00674D80"/>
    <w:rsid w:val="00675D3B"/>
    <w:rsid w:val="00675E37"/>
    <w:rsid w:val="00675F76"/>
    <w:rsid w:val="00676468"/>
    <w:rsid w:val="006766FB"/>
    <w:rsid w:val="00676B8E"/>
    <w:rsid w:val="00677268"/>
    <w:rsid w:val="006803C9"/>
    <w:rsid w:val="00680646"/>
    <w:rsid w:val="006807E0"/>
    <w:rsid w:val="00680909"/>
    <w:rsid w:val="00680CF1"/>
    <w:rsid w:val="0068110B"/>
    <w:rsid w:val="006814A9"/>
    <w:rsid w:val="00681CFA"/>
    <w:rsid w:val="006823E4"/>
    <w:rsid w:val="00682449"/>
    <w:rsid w:val="00682824"/>
    <w:rsid w:val="00682B31"/>
    <w:rsid w:val="00682B6E"/>
    <w:rsid w:val="00682D3B"/>
    <w:rsid w:val="00682FB3"/>
    <w:rsid w:val="006830A7"/>
    <w:rsid w:val="00683926"/>
    <w:rsid w:val="00683BD2"/>
    <w:rsid w:val="00683DAC"/>
    <w:rsid w:val="00683F41"/>
    <w:rsid w:val="00683F9C"/>
    <w:rsid w:val="006841CD"/>
    <w:rsid w:val="00684471"/>
    <w:rsid w:val="006847C4"/>
    <w:rsid w:val="00684A52"/>
    <w:rsid w:val="00684A5C"/>
    <w:rsid w:val="00684B2C"/>
    <w:rsid w:val="00684EEB"/>
    <w:rsid w:val="006856D6"/>
    <w:rsid w:val="00687257"/>
    <w:rsid w:val="00687426"/>
    <w:rsid w:val="006878E8"/>
    <w:rsid w:val="00687A54"/>
    <w:rsid w:val="00687D22"/>
    <w:rsid w:val="00690105"/>
    <w:rsid w:val="0069010A"/>
    <w:rsid w:val="006901D5"/>
    <w:rsid w:val="00690354"/>
    <w:rsid w:val="00690BCA"/>
    <w:rsid w:val="00691D2D"/>
    <w:rsid w:val="006927AB"/>
    <w:rsid w:val="006928DB"/>
    <w:rsid w:val="00692DE0"/>
    <w:rsid w:val="0069300A"/>
    <w:rsid w:val="00693438"/>
    <w:rsid w:val="00693A62"/>
    <w:rsid w:val="00693A83"/>
    <w:rsid w:val="00693BD6"/>
    <w:rsid w:val="00693F91"/>
    <w:rsid w:val="00694249"/>
    <w:rsid w:val="006947B8"/>
    <w:rsid w:val="00694922"/>
    <w:rsid w:val="006949BB"/>
    <w:rsid w:val="00694C13"/>
    <w:rsid w:val="00694ECF"/>
    <w:rsid w:val="006955DB"/>
    <w:rsid w:val="00695709"/>
    <w:rsid w:val="00695769"/>
    <w:rsid w:val="00695C11"/>
    <w:rsid w:val="00695FF0"/>
    <w:rsid w:val="00696556"/>
    <w:rsid w:val="006966FF"/>
    <w:rsid w:val="00696C0E"/>
    <w:rsid w:val="00697725"/>
    <w:rsid w:val="00697942"/>
    <w:rsid w:val="00697C03"/>
    <w:rsid w:val="006A0697"/>
    <w:rsid w:val="006A0935"/>
    <w:rsid w:val="006A09CE"/>
    <w:rsid w:val="006A0A09"/>
    <w:rsid w:val="006A0BF7"/>
    <w:rsid w:val="006A111F"/>
    <w:rsid w:val="006A16CC"/>
    <w:rsid w:val="006A17D4"/>
    <w:rsid w:val="006A19B2"/>
    <w:rsid w:val="006A1CA3"/>
    <w:rsid w:val="006A1F39"/>
    <w:rsid w:val="006A22FD"/>
    <w:rsid w:val="006A243B"/>
    <w:rsid w:val="006A243F"/>
    <w:rsid w:val="006A250E"/>
    <w:rsid w:val="006A2717"/>
    <w:rsid w:val="006A27C5"/>
    <w:rsid w:val="006A2C64"/>
    <w:rsid w:val="006A32F0"/>
    <w:rsid w:val="006A3A5D"/>
    <w:rsid w:val="006A4427"/>
    <w:rsid w:val="006A44F0"/>
    <w:rsid w:val="006A456E"/>
    <w:rsid w:val="006A471A"/>
    <w:rsid w:val="006A4A02"/>
    <w:rsid w:val="006A4C1D"/>
    <w:rsid w:val="006A4EEB"/>
    <w:rsid w:val="006A5307"/>
    <w:rsid w:val="006A5405"/>
    <w:rsid w:val="006A5702"/>
    <w:rsid w:val="006A58F4"/>
    <w:rsid w:val="006A5E4C"/>
    <w:rsid w:val="006A5EF3"/>
    <w:rsid w:val="006A68D9"/>
    <w:rsid w:val="006A719E"/>
    <w:rsid w:val="006A71BE"/>
    <w:rsid w:val="006A7510"/>
    <w:rsid w:val="006A7CF6"/>
    <w:rsid w:val="006A7DA8"/>
    <w:rsid w:val="006B0049"/>
    <w:rsid w:val="006B0C8E"/>
    <w:rsid w:val="006B1184"/>
    <w:rsid w:val="006B18F7"/>
    <w:rsid w:val="006B1919"/>
    <w:rsid w:val="006B1E05"/>
    <w:rsid w:val="006B2247"/>
    <w:rsid w:val="006B239F"/>
    <w:rsid w:val="006B25BD"/>
    <w:rsid w:val="006B2777"/>
    <w:rsid w:val="006B29F5"/>
    <w:rsid w:val="006B321A"/>
    <w:rsid w:val="006B3643"/>
    <w:rsid w:val="006B3A00"/>
    <w:rsid w:val="006B3CFD"/>
    <w:rsid w:val="006B3DA3"/>
    <w:rsid w:val="006B3ECE"/>
    <w:rsid w:val="006B4126"/>
    <w:rsid w:val="006B456B"/>
    <w:rsid w:val="006B45BA"/>
    <w:rsid w:val="006B466A"/>
    <w:rsid w:val="006B4999"/>
    <w:rsid w:val="006B4E83"/>
    <w:rsid w:val="006B51D2"/>
    <w:rsid w:val="006B551A"/>
    <w:rsid w:val="006B6338"/>
    <w:rsid w:val="006B6389"/>
    <w:rsid w:val="006B6481"/>
    <w:rsid w:val="006B6707"/>
    <w:rsid w:val="006B6766"/>
    <w:rsid w:val="006B6C3E"/>
    <w:rsid w:val="006B705E"/>
    <w:rsid w:val="006B7194"/>
    <w:rsid w:val="006B742B"/>
    <w:rsid w:val="006B765A"/>
    <w:rsid w:val="006B76BB"/>
    <w:rsid w:val="006B7A5E"/>
    <w:rsid w:val="006C037B"/>
    <w:rsid w:val="006C03A7"/>
    <w:rsid w:val="006C071D"/>
    <w:rsid w:val="006C0966"/>
    <w:rsid w:val="006C0A68"/>
    <w:rsid w:val="006C0E63"/>
    <w:rsid w:val="006C0F62"/>
    <w:rsid w:val="006C16BA"/>
    <w:rsid w:val="006C1CD7"/>
    <w:rsid w:val="006C1F08"/>
    <w:rsid w:val="006C257C"/>
    <w:rsid w:val="006C286C"/>
    <w:rsid w:val="006C2BF5"/>
    <w:rsid w:val="006C2D1F"/>
    <w:rsid w:val="006C2F96"/>
    <w:rsid w:val="006C3843"/>
    <w:rsid w:val="006C386F"/>
    <w:rsid w:val="006C3895"/>
    <w:rsid w:val="006C3A06"/>
    <w:rsid w:val="006C3E10"/>
    <w:rsid w:val="006C4091"/>
    <w:rsid w:val="006C4B09"/>
    <w:rsid w:val="006C4B9B"/>
    <w:rsid w:val="006C4C0F"/>
    <w:rsid w:val="006C4F7D"/>
    <w:rsid w:val="006C4FBE"/>
    <w:rsid w:val="006C52D6"/>
    <w:rsid w:val="006C55F5"/>
    <w:rsid w:val="006C5E34"/>
    <w:rsid w:val="006C5E4D"/>
    <w:rsid w:val="006C630A"/>
    <w:rsid w:val="006C6349"/>
    <w:rsid w:val="006C6ACB"/>
    <w:rsid w:val="006C6DE6"/>
    <w:rsid w:val="006C72F9"/>
    <w:rsid w:val="006C7543"/>
    <w:rsid w:val="006C7DAC"/>
    <w:rsid w:val="006D05DF"/>
    <w:rsid w:val="006D0914"/>
    <w:rsid w:val="006D0B96"/>
    <w:rsid w:val="006D0E6B"/>
    <w:rsid w:val="006D11F8"/>
    <w:rsid w:val="006D142D"/>
    <w:rsid w:val="006D17E3"/>
    <w:rsid w:val="006D1860"/>
    <w:rsid w:val="006D1904"/>
    <w:rsid w:val="006D1B99"/>
    <w:rsid w:val="006D1D2E"/>
    <w:rsid w:val="006D1DB0"/>
    <w:rsid w:val="006D1EA0"/>
    <w:rsid w:val="006D1FF2"/>
    <w:rsid w:val="006D20D2"/>
    <w:rsid w:val="006D225A"/>
    <w:rsid w:val="006D2270"/>
    <w:rsid w:val="006D22AC"/>
    <w:rsid w:val="006D25DB"/>
    <w:rsid w:val="006D2661"/>
    <w:rsid w:val="006D2810"/>
    <w:rsid w:val="006D2E07"/>
    <w:rsid w:val="006D2E64"/>
    <w:rsid w:val="006D38BD"/>
    <w:rsid w:val="006D3ACC"/>
    <w:rsid w:val="006D3B1C"/>
    <w:rsid w:val="006D4028"/>
    <w:rsid w:val="006D4376"/>
    <w:rsid w:val="006D45C6"/>
    <w:rsid w:val="006D49C7"/>
    <w:rsid w:val="006D5617"/>
    <w:rsid w:val="006D562B"/>
    <w:rsid w:val="006D5661"/>
    <w:rsid w:val="006D570E"/>
    <w:rsid w:val="006D5C2A"/>
    <w:rsid w:val="006D6383"/>
    <w:rsid w:val="006D639E"/>
    <w:rsid w:val="006D671B"/>
    <w:rsid w:val="006D6982"/>
    <w:rsid w:val="006D6E0C"/>
    <w:rsid w:val="006D74CD"/>
    <w:rsid w:val="006D74EA"/>
    <w:rsid w:val="006D7651"/>
    <w:rsid w:val="006D7CC9"/>
    <w:rsid w:val="006D7F2E"/>
    <w:rsid w:val="006E027C"/>
    <w:rsid w:val="006E0648"/>
    <w:rsid w:val="006E0A5B"/>
    <w:rsid w:val="006E0B01"/>
    <w:rsid w:val="006E0E1D"/>
    <w:rsid w:val="006E0F29"/>
    <w:rsid w:val="006E11F9"/>
    <w:rsid w:val="006E15FE"/>
    <w:rsid w:val="006E16A7"/>
    <w:rsid w:val="006E2308"/>
    <w:rsid w:val="006E2335"/>
    <w:rsid w:val="006E2C6E"/>
    <w:rsid w:val="006E33BB"/>
    <w:rsid w:val="006E34C7"/>
    <w:rsid w:val="006E3EBC"/>
    <w:rsid w:val="006E3FA6"/>
    <w:rsid w:val="006E446D"/>
    <w:rsid w:val="006E4710"/>
    <w:rsid w:val="006E47DA"/>
    <w:rsid w:val="006E4DCF"/>
    <w:rsid w:val="006E50E3"/>
    <w:rsid w:val="006E53B6"/>
    <w:rsid w:val="006E546C"/>
    <w:rsid w:val="006E5663"/>
    <w:rsid w:val="006E598C"/>
    <w:rsid w:val="006E5BAF"/>
    <w:rsid w:val="006E5CA6"/>
    <w:rsid w:val="006E61CE"/>
    <w:rsid w:val="006E651D"/>
    <w:rsid w:val="006E661E"/>
    <w:rsid w:val="006E6857"/>
    <w:rsid w:val="006E6A18"/>
    <w:rsid w:val="006E7207"/>
    <w:rsid w:val="006E7800"/>
    <w:rsid w:val="006E79FF"/>
    <w:rsid w:val="006E7ECF"/>
    <w:rsid w:val="006E7F70"/>
    <w:rsid w:val="006F0293"/>
    <w:rsid w:val="006F0368"/>
    <w:rsid w:val="006F0459"/>
    <w:rsid w:val="006F04D1"/>
    <w:rsid w:val="006F0550"/>
    <w:rsid w:val="006F05BE"/>
    <w:rsid w:val="006F074E"/>
    <w:rsid w:val="006F0DCB"/>
    <w:rsid w:val="006F0EB7"/>
    <w:rsid w:val="006F1222"/>
    <w:rsid w:val="006F1810"/>
    <w:rsid w:val="006F1A6A"/>
    <w:rsid w:val="006F1A91"/>
    <w:rsid w:val="006F1C21"/>
    <w:rsid w:val="006F1F56"/>
    <w:rsid w:val="006F287C"/>
    <w:rsid w:val="006F28A0"/>
    <w:rsid w:val="006F2C39"/>
    <w:rsid w:val="006F2D91"/>
    <w:rsid w:val="006F2E6A"/>
    <w:rsid w:val="006F30CB"/>
    <w:rsid w:val="006F3B1B"/>
    <w:rsid w:val="006F3C1E"/>
    <w:rsid w:val="006F3C20"/>
    <w:rsid w:val="006F4536"/>
    <w:rsid w:val="006F4775"/>
    <w:rsid w:val="006F4899"/>
    <w:rsid w:val="006F4E82"/>
    <w:rsid w:val="006F5154"/>
    <w:rsid w:val="006F52E0"/>
    <w:rsid w:val="006F54D3"/>
    <w:rsid w:val="006F629B"/>
    <w:rsid w:val="006F6494"/>
    <w:rsid w:val="006F69F8"/>
    <w:rsid w:val="006F716F"/>
    <w:rsid w:val="006F73D6"/>
    <w:rsid w:val="006F780E"/>
    <w:rsid w:val="00700076"/>
    <w:rsid w:val="007003F0"/>
    <w:rsid w:val="007005F0"/>
    <w:rsid w:val="007008F5"/>
    <w:rsid w:val="007009AB"/>
    <w:rsid w:val="00700D4C"/>
    <w:rsid w:val="00701163"/>
    <w:rsid w:val="007014D1"/>
    <w:rsid w:val="007016A8"/>
    <w:rsid w:val="0070183E"/>
    <w:rsid w:val="00701BB8"/>
    <w:rsid w:val="00701C37"/>
    <w:rsid w:val="007023E6"/>
    <w:rsid w:val="0070285A"/>
    <w:rsid w:val="0070298A"/>
    <w:rsid w:val="00702AC8"/>
    <w:rsid w:val="0070330A"/>
    <w:rsid w:val="007041E7"/>
    <w:rsid w:val="0070564F"/>
    <w:rsid w:val="0070589F"/>
    <w:rsid w:val="00705DD7"/>
    <w:rsid w:val="0070625D"/>
    <w:rsid w:val="007062C4"/>
    <w:rsid w:val="00706518"/>
    <w:rsid w:val="007069AB"/>
    <w:rsid w:val="00706FB8"/>
    <w:rsid w:val="0070702E"/>
    <w:rsid w:val="00707963"/>
    <w:rsid w:val="007101E4"/>
    <w:rsid w:val="0071038C"/>
    <w:rsid w:val="007105F3"/>
    <w:rsid w:val="00710A61"/>
    <w:rsid w:val="007110FF"/>
    <w:rsid w:val="0071136D"/>
    <w:rsid w:val="00711988"/>
    <w:rsid w:val="00711BD6"/>
    <w:rsid w:val="00711E26"/>
    <w:rsid w:val="007122EF"/>
    <w:rsid w:val="007125DC"/>
    <w:rsid w:val="007129D0"/>
    <w:rsid w:val="007135F1"/>
    <w:rsid w:val="0071398F"/>
    <w:rsid w:val="00713A2B"/>
    <w:rsid w:val="00714121"/>
    <w:rsid w:val="007141DC"/>
    <w:rsid w:val="00714B83"/>
    <w:rsid w:val="007151B2"/>
    <w:rsid w:val="00715810"/>
    <w:rsid w:val="00715A55"/>
    <w:rsid w:val="00715BBF"/>
    <w:rsid w:val="007168D3"/>
    <w:rsid w:val="00716958"/>
    <w:rsid w:val="007169B8"/>
    <w:rsid w:val="00716B40"/>
    <w:rsid w:val="0071768F"/>
    <w:rsid w:val="00717784"/>
    <w:rsid w:val="007178A2"/>
    <w:rsid w:val="00720CB0"/>
    <w:rsid w:val="00720D96"/>
    <w:rsid w:val="007210C1"/>
    <w:rsid w:val="0072169C"/>
    <w:rsid w:val="007218CF"/>
    <w:rsid w:val="00721E10"/>
    <w:rsid w:val="0072200B"/>
    <w:rsid w:val="0072201D"/>
    <w:rsid w:val="007226C1"/>
    <w:rsid w:val="00722B19"/>
    <w:rsid w:val="0072306D"/>
    <w:rsid w:val="00723785"/>
    <w:rsid w:val="00723DD9"/>
    <w:rsid w:val="00724307"/>
    <w:rsid w:val="00724364"/>
    <w:rsid w:val="0072456D"/>
    <w:rsid w:val="007246AE"/>
    <w:rsid w:val="00724A39"/>
    <w:rsid w:val="00724DA1"/>
    <w:rsid w:val="0072537C"/>
    <w:rsid w:val="00725451"/>
    <w:rsid w:val="0072568B"/>
    <w:rsid w:val="00725C0B"/>
    <w:rsid w:val="00725EAE"/>
    <w:rsid w:val="007264A7"/>
    <w:rsid w:val="007273E8"/>
    <w:rsid w:val="00727579"/>
    <w:rsid w:val="00727FE1"/>
    <w:rsid w:val="00730061"/>
    <w:rsid w:val="0073006E"/>
    <w:rsid w:val="007302F5"/>
    <w:rsid w:val="007308A8"/>
    <w:rsid w:val="007317DC"/>
    <w:rsid w:val="007318B3"/>
    <w:rsid w:val="00731CF8"/>
    <w:rsid w:val="00732038"/>
    <w:rsid w:val="00732123"/>
    <w:rsid w:val="007324C2"/>
    <w:rsid w:val="00732834"/>
    <w:rsid w:val="007328BC"/>
    <w:rsid w:val="007329AF"/>
    <w:rsid w:val="00732C31"/>
    <w:rsid w:val="00732CF0"/>
    <w:rsid w:val="00732E7A"/>
    <w:rsid w:val="00732EA8"/>
    <w:rsid w:val="00732FED"/>
    <w:rsid w:val="007331CA"/>
    <w:rsid w:val="007331D7"/>
    <w:rsid w:val="00733204"/>
    <w:rsid w:val="00733494"/>
    <w:rsid w:val="007335D7"/>
    <w:rsid w:val="00733C0C"/>
    <w:rsid w:val="00734034"/>
    <w:rsid w:val="00734089"/>
    <w:rsid w:val="0073460C"/>
    <w:rsid w:val="00734E91"/>
    <w:rsid w:val="00735054"/>
    <w:rsid w:val="00735064"/>
    <w:rsid w:val="007350F6"/>
    <w:rsid w:val="00735255"/>
    <w:rsid w:val="00735271"/>
    <w:rsid w:val="00735373"/>
    <w:rsid w:val="0073611D"/>
    <w:rsid w:val="007361C3"/>
    <w:rsid w:val="007365F9"/>
    <w:rsid w:val="00736778"/>
    <w:rsid w:val="007370B2"/>
    <w:rsid w:val="00737470"/>
    <w:rsid w:val="00737473"/>
    <w:rsid w:val="007376B2"/>
    <w:rsid w:val="007377D2"/>
    <w:rsid w:val="00737DAB"/>
    <w:rsid w:val="0074006A"/>
    <w:rsid w:val="007402A9"/>
    <w:rsid w:val="00740889"/>
    <w:rsid w:val="00740A8E"/>
    <w:rsid w:val="00740F1A"/>
    <w:rsid w:val="00741106"/>
    <w:rsid w:val="00741183"/>
    <w:rsid w:val="00741199"/>
    <w:rsid w:val="007414D1"/>
    <w:rsid w:val="007420B5"/>
    <w:rsid w:val="00742139"/>
    <w:rsid w:val="0074254F"/>
    <w:rsid w:val="007435DA"/>
    <w:rsid w:val="00743680"/>
    <w:rsid w:val="007436E6"/>
    <w:rsid w:val="00743C10"/>
    <w:rsid w:val="00743FBA"/>
    <w:rsid w:val="007441D1"/>
    <w:rsid w:val="007446F9"/>
    <w:rsid w:val="00744A4E"/>
    <w:rsid w:val="00744D0F"/>
    <w:rsid w:val="00744F92"/>
    <w:rsid w:val="007450B6"/>
    <w:rsid w:val="00745100"/>
    <w:rsid w:val="00745192"/>
    <w:rsid w:val="00745519"/>
    <w:rsid w:val="00745611"/>
    <w:rsid w:val="007459D9"/>
    <w:rsid w:val="0074638C"/>
    <w:rsid w:val="0074642D"/>
    <w:rsid w:val="00746CC0"/>
    <w:rsid w:val="007475E3"/>
    <w:rsid w:val="007476BC"/>
    <w:rsid w:val="00747A0F"/>
    <w:rsid w:val="00747D25"/>
    <w:rsid w:val="00750607"/>
    <w:rsid w:val="0075090E"/>
    <w:rsid w:val="007509A7"/>
    <w:rsid w:val="00750AE5"/>
    <w:rsid w:val="00750E74"/>
    <w:rsid w:val="007518DC"/>
    <w:rsid w:val="00751A31"/>
    <w:rsid w:val="00751F38"/>
    <w:rsid w:val="0075235C"/>
    <w:rsid w:val="007525FF"/>
    <w:rsid w:val="007526E9"/>
    <w:rsid w:val="007527A5"/>
    <w:rsid w:val="00752CCC"/>
    <w:rsid w:val="00752EE1"/>
    <w:rsid w:val="007536D8"/>
    <w:rsid w:val="007538BE"/>
    <w:rsid w:val="00753C53"/>
    <w:rsid w:val="00754027"/>
    <w:rsid w:val="00754AB4"/>
    <w:rsid w:val="00754BCE"/>
    <w:rsid w:val="007557FD"/>
    <w:rsid w:val="007566F8"/>
    <w:rsid w:val="0075684D"/>
    <w:rsid w:val="00756D81"/>
    <w:rsid w:val="00756E6F"/>
    <w:rsid w:val="007572C7"/>
    <w:rsid w:val="00757706"/>
    <w:rsid w:val="00757B78"/>
    <w:rsid w:val="00757E40"/>
    <w:rsid w:val="00760011"/>
    <w:rsid w:val="00760057"/>
    <w:rsid w:val="007600CF"/>
    <w:rsid w:val="00760173"/>
    <w:rsid w:val="00760369"/>
    <w:rsid w:val="007607CD"/>
    <w:rsid w:val="00761013"/>
    <w:rsid w:val="00761462"/>
    <w:rsid w:val="00761CA0"/>
    <w:rsid w:val="00761DCA"/>
    <w:rsid w:val="00761E73"/>
    <w:rsid w:val="00762161"/>
    <w:rsid w:val="007622E1"/>
    <w:rsid w:val="00762EA4"/>
    <w:rsid w:val="00762F38"/>
    <w:rsid w:val="0076317C"/>
    <w:rsid w:val="007631AF"/>
    <w:rsid w:val="00763393"/>
    <w:rsid w:val="00763502"/>
    <w:rsid w:val="00763C14"/>
    <w:rsid w:val="00764446"/>
    <w:rsid w:val="007648E3"/>
    <w:rsid w:val="00765157"/>
    <w:rsid w:val="00765474"/>
    <w:rsid w:val="0076633E"/>
    <w:rsid w:val="007666FF"/>
    <w:rsid w:val="0076687C"/>
    <w:rsid w:val="007669CB"/>
    <w:rsid w:val="00766DDA"/>
    <w:rsid w:val="0076714D"/>
    <w:rsid w:val="007679EE"/>
    <w:rsid w:val="00767A54"/>
    <w:rsid w:val="00770A5D"/>
    <w:rsid w:val="00770DC8"/>
    <w:rsid w:val="00770ED9"/>
    <w:rsid w:val="0077173C"/>
    <w:rsid w:val="00771918"/>
    <w:rsid w:val="00771CF5"/>
    <w:rsid w:val="007720BF"/>
    <w:rsid w:val="007720EF"/>
    <w:rsid w:val="00772B27"/>
    <w:rsid w:val="00772CF2"/>
    <w:rsid w:val="00773559"/>
    <w:rsid w:val="0077378B"/>
    <w:rsid w:val="00773FD2"/>
    <w:rsid w:val="007744ED"/>
    <w:rsid w:val="00774719"/>
    <w:rsid w:val="00774900"/>
    <w:rsid w:val="00774B19"/>
    <w:rsid w:val="00774BB3"/>
    <w:rsid w:val="00774E3F"/>
    <w:rsid w:val="007754FB"/>
    <w:rsid w:val="007759D2"/>
    <w:rsid w:val="007759D9"/>
    <w:rsid w:val="0077611F"/>
    <w:rsid w:val="0077633C"/>
    <w:rsid w:val="0077692B"/>
    <w:rsid w:val="00776F41"/>
    <w:rsid w:val="007771F8"/>
    <w:rsid w:val="00777B57"/>
    <w:rsid w:val="00777E57"/>
    <w:rsid w:val="00777EB3"/>
    <w:rsid w:val="00777EBF"/>
    <w:rsid w:val="0078024F"/>
    <w:rsid w:val="00780BEC"/>
    <w:rsid w:val="007815E8"/>
    <w:rsid w:val="007817E6"/>
    <w:rsid w:val="00781B73"/>
    <w:rsid w:val="00781D4F"/>
    <w:rsid w:val="00781E64"/>
    <w:rsid w:val="00781F88"/>
    <w:rsid w:val="00782627"/>
    <w:rsid w:val="0078264D"/>
    <w:rsid w:val="0078277B"/>
    <w:rsid w:val="00782986"/>
    <w:rsid w:val="00782A17"/>
    <w:rsid w:val="00782A58"/>
    <w:rsid w:val="00782D93"/>
    <w:rsid w:val="00783C83"/>
    <w:rsid w:val="00783FA8"/>
    <w:rsid w:val="00784223"/>
    <w:rsid w:val="00784D70"/>
    <w:rsid w:val="00784E77"/>
    <w:rsid w:val="00785DB3"/>
    <w:rsid w:val="00786DBD"/>
    <w:rsid w:val="00786ECB"/>
    <w:rsid w:val="00787317"/>
    <w:rsid w:val="00787760"/>
    <w:rsid w:val="00787E33"/>
    <w:rsid w:val="00787F16"/>
    <w:rsid w:val="00790063"/>
    <w:rsid w:val="00790870"/>
    <w:rsid w:val="00790CC9"/>
    <w:rsid w:val="00790DD2"/>
    <w:rsid w:val="00790EED"/>
    <w:rsid w:val="00791323"/>
    <w:rsid w:val="007915DB"/>
    <w:rsid w:val="00791769"/>
    <w:rsid w:val="007919F5"/>
    <w:rsid w:val="00791FF4"/>
    <w:rsid w:val="00792260"/>
    <w:rsid w:val="007926DC"/>
    <w:rsid w:val="00792994"/>
    <w:rsid w:val="00792A7D"/>
    <w:rsid w:val="00792DE8"/>
    <w:rsid w:val="007931E6"/>
    <w:rsid w:val="0079325C"/>
    <w:rsid w:val="007949A4"/>
    <w:rsid w:val="00794B02"/>
    <w:rsid w:val="00794D9E"/>
    <w:rsid w:val="0079537E"/>
    <w:rsid w:val="007954D6"/>
    <w:rsid w:val="007958AC"/>
    <w:rsid w:val="007959B1"/>
    <w:rsid w:val="00795DB0"/>
    <w:rsid w:val="00795E0D"/>
    <w:rsid w:val="00796893"/>
    <w:rsid w:val="00796A57"/>
    <w:rsid w:val="00796C7C"/>
    <w:rsid w:val="00796DE2"/>
    <w:rsid w:val="00797127"/>
    <w:rsid w:val="00797553"/>
    <w:rsid w:val="00797A4C"/>
    <w:rsid w:val="00797E09"/>
    <w:rsid w:val="00797E32"/>
    <w:rsid w:val="007A043F"/>
    <w:rsid w:val="007A0554"/>
    <w:rsid w:val="007A0CEE"/>
    <w:rsid w:val="007A0D78"/>
    <w:rsid w:val="007A1FD0"/>
    <w:rsid w:val="007A2C6C"/>
    <w:rsid w:val="007A32A1"/>
    <w:rsid w:val="007A378A"/>
    <w:rsid w:val="007A3794"/>
    <w:rsid w:val="007A37C8"/>
    <w:rsid w:val="007A3A0F"/>
    <w:rsid w:val="007A3A46"/>
    <w:rsid w:val="007A3B60"/>
    <w:rsid w:val="007A3DEB"/>
    <w:rsid w:val="007A3DF7"/>
    <w:rsid w:val="007A3E64"/>
    <w:rsid w:val="007A4DC3"/>
    <w:rsid w:val="007A4E24"/>
    <w:rsid w:val="007A535F"/>
    <w:rsid w:val="007A57E0"/>
    <w:rsid w:val="007A5A1D"/>
    <w:rsid w:val="007A5BD2"/>
    <w:rsid w:val="007A5EC7"/>
    <w:rsid w:val="007A627B"/>
    <w:rsid w:val="007A68BE"/>
    <w:rsid w:val="007A6CEE"/>
    <w:rsid w:val="007A6EAE"/>
    <w:rsid w:val="007A74AD"/>
    <w:rsid w:val="007A7626"/>
    <w:rsid w:val="007A7955"/>
    <w:rsid w:val="007A7A8D"/>
    <w:rsid w:val="007A7C10"/>
    <w:rsid w:val="007A7C4F"/>
    <w:rsid w:val="007A7CA6"/>
    <w:rsid w:val="007A7FF1"/>
    <w:rsid w:val="007B020A"/>
    <w:rsid w:val="007B0806"/>
    <w:rsid w:val="007B0CE0"/>
    <w:rsid w:val="007B1A9C"/>
    <w:rsid w:val="007B1B48"/>
    <w:rsid w:val="007B1C33"/>
    <w:rsid w:val="007B1E33"/>
    <w:rsid w:val="007B1F00"/>
    <w:rsid w:val="007B2583"/>
    <w:rsid w:val="007B25A2"/>
    <w:rsid w:val="007B2DB9"/>
    <w:rsid w:val="007B2F62"/>
    <w:rsid w:val="007B3354"/>
    <w:rsid w:val="007B3BC6"/>
    <w:rsid w:val="007B3CAC"/>
    <w:rsid w:val="007B3FFB"/>
    <w:rsid w:val="007B4A84"/>
    <w:rsid w:val="007B4C13"/>
    <w:rsid w:val="007B5134"/>
    <w:rsid w:val="007B537C"/>
    <w:rsid w:val="007B563C"/>
    <w:rsid w:val="007B5ADC"/>
    <w:rsid w:val="007B5C96"/>
    <w:rsid w:val="007B65ED"/>
    <w:rsid w:val="007B6918"/>
    <w:rsid w:val="007B71A5"/>
    <w:rsid w:val="007B721F"/>
    <w:rsid w:val="007B74BE"/>
    <w:rsid w:val="007B7EB2"/>
    <w:rsid w:val="007B7F96"/>
    <w:rsid w:val="007C007B"/>
    <w:rsid w:val="007C03FB"/>
    <w:rsid w:val="007C0862"/>
    <w:rsid w:val="007C09FE"/>
    <w:rsid w:val="007C0A6E"/>
    <w:rsid w:val="007C0BD4"/>
    <w:rsid w:val="007C1313"/>
    <w:rsid w:val="007C1D34"/>
    <w:rsid w:val="007C1E77"/>
    <w:rsid w:val="007C1EBA"/>
    <w:rsid w:val="007C25B9"/>
    <w:rsid w:val="007C27AE"/>
    <w:rsid w:val="007C28CF"/>
    <w:rsid w:val="007C2945"/>
    <w:rsid w:val="007C29BF"/>
    <w:rsid w:val="007C2E76"/>
    <w:rsid w:val="007C35F7"/>
    <w:rsid w:val="007C3BC7"/>
    <w:rsid w:val="007C3C94"/>
    <w:rsid w:val="007C42ED"/>
    <w:rsid w:val="007C4749"/>
    <w:rsid w:val="007C528F"/>
    <w:rsid w:val="007C5349"/>
    <w:rsid w:val="007C57E4"/>
    <w:rsid w:val="007C5AEE"/>
    <w:rsid w:val="007C5D4B"/>
    <w:rsid w:val="007C621A"/>
    <w:rsid w:val="007C63B7"/>
    <w:rsid w:val="007C794E"/>
    <w:rsid w:val="007C7972"/>
    <w:rsid w:val="007C7E46"/>
    <w:rsid w:val="007D072A"/>
    <w:rsid w:val="007D091D"/>
    <w:rsid w:val="007D107C"/>
    <w:rsid w:val="007D129F"/>
    <w:rsid w:val="007D1BDA"/>
    <w:rsid w:val="007D1DA8"/>
    <w:rsid w:val="007D1FA1"/>
    <w:rsid w:val="007D2058"/>
    <w:rsid w:val="007D2177"/>
    <w:rsid w:val="007D25F4"/>
    <w:rsid w:val="007D2785"/>
    <w:rsid w:val="007D2AB0"/>
    <w:rsid w:val="007D30EF"/>
    <w:rsid w:val="007D3201"/>
    <w:rsid w:val="007D3240"/>
    <w:rsid w:val="007D34BF"/>
    <w:rsid w:val="007D370D"/>
    <w:rsid w:val="007D38F6"/>
    <w:rsid w:val="007D4285"/>
    <w:rsid w:val="007D43B1"/>
    <w:rsid w:val="007D4A5C"/>
    <w:rsid w:val="007D5567"/>
    <w:rsid w:val="007D5828"/>
    <w:rsid w:val="007D5927"/>
    <w:rsid w:val="007D6169"/>
    <w:rsid w:val="007D65E5"/>
    <w:rsid w:val="007D6656"/>
    <w:rsid w:val="007D6CC3"/>
    <w:rsid w:val="007D6D8A"/>
    <w:rsid w:val="007D6E81"/>
    <w:rsid w:val="007D701F"/>
    <w:rsid w:val="007D72B1"/>
    <w:rsid w:val="007D7CE7"/>
    <w:rsid w:val="007E0323"/>
    <w:rsid w:val="007E0A0A"/>
    <w:rsid w:val="007E0AC6"/>
    <w:rsid w:val="007E0B92"/>
    <w:rsid w:val="007E0BF2"/>
    <w:rsid w:val="007E0C81"/>
    <w:rsid w:val="007E0E0B"/>
    <w:rsid w:val="007E0FFE"/>
    <w:rsid w:val="007E1722"/>
    <w:rsid w:val="007E1FDF"/>
    <w:rsid w:val="007E2039"/>
    <w:rsid w:val="007E2070"/>
    <w:rsid w:val="007E21B7"/>
    <w:rsid w:val="007E2272"/>
    <w:rsid w:val="007E245C"/>
    <w:rsid w:val="007E2586"/>
    <w:rsid w:val="007E288B"/>
    <w:rsid w:val="007E2AD0"/>
    <w:rsid w:val="007E2CD2"/>
    <w:rsid w:val="007E2DE1"/>
    <w:rsid w:val="007E30AB"/>
    <w:rsid w:val="007E37A5"/>
    <w:rsid w:val="007E40F1"/>
    <w:rsid w:val="007E4229"/>
    <w:rsid w:val="007E42E1"/>
    <w:rsid w:val="007E43F1"/>
    <w:rsid w:val="007E445C"/>
    <w:rsid w:val="007E499D"/>
    <w:rsid w:val="007E5145"/>
    <w:rsid w:val="007E51AA"/>
    <w:rsid w:val="007E54D8"/>
    <w:rsid w:val="007E5759"/>
    <w:rsid w:val="007E5916"/>
    <w:rsid w:val="007E5D04"/>
    <w:rsid w:val="007E5DEC"/>
    <w:rsid w:val="007E5F04"/>
    <w:rsid w:val="007E6DDB"/>
    <w:rsid w:val="007E7732"/>
    <w:rsid w:val="007E773C"/>
    <w:rsid w:val="007E7F4B"/>
    <w:rsid w:val="007F0910"/>
    <w:rsid w:val="007F0A2E"/>
    <w:rsid w:val="007F0BA7"/>
    <w:rsid w:val="007F0BDC"/>
    <w:rsid w:val="007F1446"/>
    <w:rsid w:val="007F182F"/>
    <w:rsid w:val="007F184B"/>
    <w:rsid w:val="007F1CBB"/>
    <w:rsid w:val="007F1E19"/>
    <w:rsid w:val="007F2EA5"/>
    <w:rsid w:val="007F331B"/>
    <w:rsid w:val="007F3D47"/>
    <w:rsid w:val="007F4801"/>
    <w:rsid w:val="007F4BE4"/>
    <w:rsid w:val="007F509F"/>
    <w:rsid w:val="007F58C7"/>
    <w:rsid w:val="007F5C35"/>
    <w:rsid w:val="007F6002"/>
    <w:rsid w:val="007F60A1"/>
    <w:rsid w:val="007F669E"/>
    <w:rsid w:val="007F6FEC"/>
    <w:rsid w:val="007F76B8"/>
    <w:rsid w:val="007F7A0F"/>
    <w:rsid w:val="008001A1"/>
    <w:rsid w:val="00800839"/>
    <w:rsid w:val="00800CC6"/>
    <w:rsid w:val="008010B2"/>
    <w:rsid w:val="0080140D"/>
    <w:rsid w:val="0080156B"/>
    <w:rsid w:val="00802160"/>
    <w:rsid w:val="00802A05"/>
    <w:rsid w:val="00802DDF"/>
    <w:rsid w:val="0080307B"/>
    <w:rsid w:val="00803326"/>
    <w:rsid w:val="0080348B"/>
    <w:rsid w:val="00803573"/>
    <w:rsid w:val="0080367B"/>
    <w:rsid w:val="008037D6"/>
    <w:rsid w:val="00803A2F"/>
    <w:rsid w:val="00803AD7"/>
    <w:rsid w:val="00803C45"/>
    <w:rsid w:val="00803C91"/>
    <w:rsid w:val="00804184"/>
    <w:rsid w:val="00804442"/>
    <w:rsid w:val="00804529"/>
    <w:rsid w:val="00805502"/>
    <w:rsid w:val="00805696"/>
    <w:rsid w:val="00805956"/>
    <w:rsid w:val="00805C45"/>
    <w:rsid w:val="00805E1A"/>
    <w:rsid w:val="00806237"/>
    <w:rsid w:val="00806DE5"/>
    <w:rsid w:val="008077AE"/>
    <w:rsid w:val="00807BF5"/>
    <w:rsid w:val="00807D99"/>
    <w:rsid w:val="008100E6"/>
    <w:rsid w:val="00810161"/>
    <w:rsid w:val="008101A3"/>
    <w:rsid w:val="0081034B"/>
    <w:rsid w:val="00810430"/>
    <w:rsid w:val="00810537"/>
    <w:rsid w:val="0081056C"/>
    <w:rsid w:val="0081082C"/>
    <w:rsid w:val="00810838"/>
    <w:rsid w:val="00810A44"/>
    <w:rsid w:val="00811141"/>
    <w:rsid w:val="0081179C"/>
    <w:rsid w:val="008119A5"/>
    <w:rsid w:val="00811B7C"/>
    <w:rsid w:val="008123D4"/>
    <w:rsid w:val="00812445"/>
    <w:rsid w:val="00812B37"/>
    <w:rsid w:val="00812F69"/>
    <w:rsid w:val="00813014"/>
    <w:rsid w:val="00813285"/>
    <w:rsid w:val="008132F6"/>
    <w:rsid w:val="00813EFF"/>
    <w:rsid w:val="008142D4"/>
    <w:rsid w:val="008147F5"/>
    <w:rsid w:val="00814C77"/>
    <w:rsid w:val="00814D2F"/>
    <w:rsid w:val="00814E54"/>
    <w:rsid w:val="00814FC8"/>
    <w:rsid w:val="008150DA"/>
    <w:rsid w:val="00815566"/>
    <w:rsid w:val="00815584"/>
    <w:rsid w:val="0081567C"/>
    <w:rsid w:val="00815A4C"/>
    <w:rsid w:val="00815B88"/>
    <w:rsid w:val="00815D26"/>
    <w:rsid w:val="00815D8F"/>
    <w:rsid w:val="00816B49"/>
    <w:rsid w:val="00816D92"/>
    <w:rsid w:val="00816F5A"/>
    <w:rsid w:val="008174E6"/>
    <w:rsid w:val="00817D6A"/>
    <w:rsid w:val="00817FEA"/>
    <w:rsid w:val="008207E0"/>
    <w:rsid w:val="00820EA3"/>
    <w:rsid w:val="00821106"/>
    <w:rsid w:val="00821C9A"/>
    <w:rsid w:val="0082229F"/>
    <w:rsid w:val="00822722"/>
    <w:rsid w:val="00822BD5"/>
    <w:rsid w:val="00822E24"/>
    <w:rsid w:val="00822F2E"/>
    <w:rsid w:val="00822F7C"/>
    <w:rsid w:val="0082323B"/>
    <w:rsid w:val="008232D6"/>
    <w:rsid w:val="00823307"/>
    <w:rsid w:val="008234D6"/>
    <w:rsid w:val="00823578"/>
    <w:rsid w:val="0082397A"/>
    <w:rsid w:val="00823BC8"/>
    <w:rsid w:val="00823E75"/>
    <w:rsid w:val="00823F0C"/>
    <w:rsid w:val="00824528"/>
    <w:rsid w:val="008247E8"/>
    <w:rsid w:val="00824AD9"/>
    <w:rsid w:val="00824C52"/>
    <w:rsid w:val="00824D18"/>
    <w:rsid w:val="008258BC"/>
    <w:rsid w:val="00826491"/>
    <w:rsid w:val="00826C34"/>
    <w:rsid w:val="00826D2F"/>
    <w:rsid w:val="0082753F"/>
    <w:rsid w:val="0082787A"/>
    <w:rsid w:val="00827C4A"/>
    <w:rsid w:val="00827E28"/>
    <w:rsid w:val="00827E93"/>
    <w:rsid w:val="00827F12"/>
    <w:rsid w:val="00830286"/>
    <w:rsid w:val="00830320"/>
    <w:rsid w:val="00830816"/>
    <w:rsid w:val="0083095D"/>
    <w:rsid w:val="00830DE1"/>
    <w:rsid w:val="00831058"/>
    <w:rsid w:val="0083175D"/>
    <w:rsid w:val="0083192C"/>
    <w:rsid w:val="00832493"/>
    <w:rsid w:val="0083291D"/>
    <w:rsid w:val="00832A0F"/>
    <w:rsid w:val="00832BB4"/>
    <w:rsid w:val="00832D57"/>
    <w:rsid w:val="00832E35"/>
    <w:rsid w:val="00832F64"/>
    <w:rsid w:val="008331A2"/>
    <w:rsid w:val="00833792"/>
    <w:rsid w:val="008338D8"/>
    <w:rsid w:val="00833D39"/>
    <w:rsid w:val="008358BF"/>
    <w:rsid w:val="00835B2E"/>
    <w:rsid w:val="00835C89"/>
    <w:rsid w:val="00835FC9"/>
    <w:rsid w:val="008360C7"/>
    <w:rsid w:val="00836C9C"/>
    <w:rsid w:val="008372FC"/>
    <w:rsid w:val="0083755E"/>
    <w:rsid w:val="008379C9"/>
    <w:rsid w:val="00837A3C"/>
    <w:rsid w:val="00837E06"/>
    <w:rsid w:val="00837E7E"/>
    <w:rsid w:val="00840426"/>
    <w:rsid w:val="008406B4"/>
    <w:rsid w:val="00840BD7"/>
    <w:rsid w:val="00840C7C"/>
    <w:rsid w:val="00840ED0"/>
    <w:rsid w:val="008412AC"/>
    <w:rsid w:val="0084135A"/>
    <w:rsid w:val="0084171B"/>
    <w:rsid w:val="008420E5"/>
    <w:rsid w:val="008423A2"/>
    <w:rsid w:val="00842752"/>
    <w:rsid w:val="00842873"/>
    <w:rsid w:val="00842959"/>
    <w:rsid w:val="00842C77"/>
    <w:rsid w:val="00843306"/>
    <w:rsid w:val="00843801"/>
    <w:rsid w:val="00843A4D"/>
    <w:rsid w:val="00843B4A"/>
    <w:rsid w:val="0084434B"/>
    <w:rsid w:val="00844972"/>
    <w:rsid w:val="00844D8E"/>
    <w:rsid w:val="0084548B"/>
    <w:rsid w:val="00845C0A"/>
    <w:rsid w:val="00845F72"/>
    <w:rsid w:val="008463C9"/>
    <w:rsid w:val="008464E3"/>
    <w:rsid w:val="00846AB8"/>
    <w:rsid w:val="00846D0B"/>
    <w:rsid w:val="008471A8"/>
    <w:rsid w:val="0085020F"/>
    <w:rsid w:val="008505A4"/>
    <w:rsid w:val="008506ED"/>
    <w:rsid w:val="00850CFC"/>
    <w:rsid w:val="00850D2D"/>
    <w:rsid w:val="008510B0"/>
    <w:rsid w:val="0085125C"/>
    <w:rsid w:val="00852590"/>
    <w:rsid w:val="00852865"/>
    <w:rsid w:val="008529CB"/>
    <w:rsid w:val="00852ED4"/>
    <w:rsid w:val="0085358F"/>
    <w:rsid w:val="0085360D"/>
    <w:rsid w:val="00853CD7"/>
    <w:rsid w:val="00853F71"/>
    <w:rsid w:val="00854349"/>
    <w:rsid w:val="00854954"/>
    <w:rsid w:val="008549B0"/>
    <w:rsid w:val="00854BFC"/>
    <w:rsid w:val="00855016"/>
    <w:rsid w:val="008555E0"/>
    <w:rsid w:val="008555F5"/>
    <w:rsid w:val="00856091"/>
    <w:rsid w:val="00856471"/>
    <w:rsid w:val="00856C67"/>
    <w:rsid w:val="0085768D"/>
    <w:rsid w:val="00857DEE"/>
    <w:rsid w:val="00857FB3"/>
    <w:rsid w:val="008602B6"/>
    <w:rsid w:val="008606B9"/>
    <w:rsid w:val="00860DAB"/>
    <w:rsid w:val="00861110"/>
    <w:rsid w:val="008617BB"/>
    <w:rsid w:val="00861E58"/>
    <w:rsid w:val="00862551"/>
    <w:rsid w:val="00862ACC"/>
    <w:rsid w:val="00862E55"/>
    <w:rsid w:val="00862EE8"/>
    <w:rsid w:val="00863086"/>
    <w:rsid w:val="008632E2"/>
    <w:rsid w:val="00863695"/>
    <w:rsid w:val="0086376B"/>
    <w:rsid w:val="00863C08"/>
    <w:rsid w:val="00864154"/>
    <w:rsid w:val="0086456F"/>
    <w:rsid w:val="00864B68"/>
    <w:rsid w:val="00864F88"/>
    <w:rsid w:val="00865E52"/>
    <w:rsid w:val="00865ECB"/>
    <w:rsid w:val="00866041"/>
    <w:rsid w:val="008667F2"/>
    <w:rsid w:val="00866D60"/>
    <w:rsid w:val="00866DFB"/>
    <w:rsid w:val="00866E48"/>
    <w:rsid w:val="00866FC5"/>
    <w:rsid w:val="00867767"/>
    <w:rsid w:val="00867A63"/>
    <w:rsid w:val="00867CA1"/>
    <w:rsid w:val="00870350"/>
    <w:rsid w:val="008705F5"/>
    <w:rsid w:val="00870627"/>
    <w:rsid w:val="00870A88"/>
    <w:rsid w:val="00870C57"/>
    <w:rsid w:val="00870DB6"/>
    <w:rsid w:val="008719FB"/>
    <w:rsid w:val="00871B1E"/>
    <w:rsid w:val="00872247"/>
    <w:rsid w:val="00872403"/>
    <w:rsid w:val="008724AA"/>
    <w:rsid w:val="00872BB0"/>
    <w:rsid w:val="00872F97"/>
    <w:rsid w:val="00872FB9"/>
    <w:rsid w:val="0087304F"/>
    <w:rsid w:val="00873087"/>
    <w:rsid w:val="008733FE"/>
    <w:rsid w:val="00873F9D"/>
    <w:rsid w:val="008740C6"/>
    <w:rsid w:val="008742A8"/>
    <w:rsid w:val="0087489E"/>
    <w:rsid w:val="0087543D"/>
    <w:rsid w:val="00875895"/>
    <w:rsid w:val="00876143"/>
    <w:rsid w:val="008764DB"/>
    <w:rsid w:val="00876628"/>
    <w:rsid w:val="00877270"/>
    <w:rsid w:val="00877376"/>
    <w:rsid w:val="008775D0"/>
    <w:rsid w:val="00877DCB"/>
    <w:rsid w:val="008807FF"/>
    <w:rsid w:val="00880992"/>
    <w:rsid w:val="00880A4F"/>
    <w:rsid w:val="00880F1B"/>
    <w:rsid w:val="00881228"/>
    <w:rsid w:val="00881731"/>
    <w:rsid w:val="00881999"/>
    <w:rsid w:val="00881DB6"/>
    <w:rsid w:val="00882088"/>
    <w:rsid w:val="008823A3"/>
    <w:rsid w:val="008823D9"/>
    <w:rsid w:val="008826E8"/>
    <w:rsid w:val="00883240"/>
    <w:rsid w:val="00883478"/>
    <w:rsid w:val="00883AD0"/>
    <w:rsid w:val="00883D28"/>
    <w:rsid w:val="0088499A"/>
    <w:rsid w:val="00884DE8"/>
    <w:rsid w:val="0088502F"/>
    <w:rsid w:val="0088510F"/>
    <w:rsid w:val="008853CB"/>
    <w:rsid w:val="00885562"/>
    <w:rsid w:val="00885807"/>
    <w:rsid w:val="00885C39"/>
    <w:rsid w:val="00885DE2"/>
    <w:rsid w:val="008863FA"/>
    <w:rsid w:val="00886528"/>
    <w:rsid w:val="008866D0"/>
    <w:rsid w:val="00887141"/>
    <w:rsid w:val="008878A5"/>
    <w:rsid w:val="00890014"/>
    <w:rsid w:val="0089063A"/>
    <w:rsid w:val="00891C8C"/>
    <w:rsid w:val="00891EA9"/>
    <w:rsid w:val="00892280"/>
    <w:rsid w:val="008922D3"/>
    <w:rsid w:val="00892D7B"/>
    <w:rsid w:val="00893202"/>
    <w:rsid w:val="008940BB"/>
    <w:rsid w:val="008941EC"/>
    <w:rsid w:val="00894504"/>
    <w:rsid w:val="00894BC1"/>
    <w:rsid w:val="00894E92"/>
    <w:rsid w:val="008952EC"/>
    <w:rsid w:val="00895D6B"/>
    <w:rsid w:val="00895F34"/>
    <w:rsid w:val="008963F8"/>
    <w:rsid w:val="008966B2"/>
    <w:rsid w:val="00896A2B"/>
    <w:rsid w:val="00896A56"/>
    <w:rsid w:val="00896BA2"/>
    <w:rsid w:val="00896C8A"/>
    <w:rsid w:val="00897503"/>
    <w:rsid w:val="00897546"/>
    <w:rsid w:val="00897932"/>
    <w:rsid w:val="00897CA2"/>
    <w:rsid w:val="00897D36"/>
    <w:rsid w:val="008A03FD"/>
    <w:rsid w:val="008A0B3C"/>
    <w:rsid w:val="008A0D90"/>
    <w:rsid w:val="008A15CB"/>
    <w:rsid w:val="008A1CAE"/>
    <w:rsid w:val="008A29B7"/>
    <w:rsid w:val="008A2D89"/>
    <w:rsid w:val="008A2EAE"/>
    <w:rsid w:val="008A3206"/>
    <w:rsid w:val="008A37D0"/>
    <w:rsid w:val="008A3E56"/>
    <w:rsid w:val="008A4EDC"/>
    <w:rsid w:val="008A5291"/>
    <w:rsid w:val="008A54CD"/>
    <w:rsid w:val="008A5B79"/>
    <w:rsid w:val="008A60BE"/>
    <w:rsid w:val="008A6189"/>
    <w:rsid w:val="008A630A"/>
    <w:rsid w:val="008A6576"/>
    <w:rsid w:val="008A677E"/>
    <w:rsid w:val="008A6CC5"/>
    <w:rsid w:val="008A6F73"/>
    <w:rsid w:val="008A709C"/>
    <w:rsid w:val="008A7398"/>
    <w:rsid w:val="008A73C7"/>
    <w:rsid w:val="008A75BA"/>
    <w:rsid w:val="008A75CE"/>
    <w:rsid w:val="008A765E"/>
    <w:rsid w:val="008A7FB8"/>
    <w:rsid w:val="008B0674"/>
    <w:rsid w:val="008B06D9"/>
    <w:rsid w:val="008B0BD3"/>
    <w:rsid w:val="008B0F28"/>
    <w:rsid w:val="008B1502"/>
    <w:rsid w:val="008B2065"/>
    <w:rsid w:val="008B265B"/>
    <w:rsid w:val="008B2EF7"/>
    <w:rsid w:val="008B30E2"/>
    <w:rsid w:val="008B351B"/>
    <w:rsid w:val="008B36B9"/>
    <w:rsid w:val="008B3725"/>
    <w:rsid w:val="008B3852"/>
    <w:rsid w:val="008B3946"/>
    <w:rsid w:val="008B42DA"/>
    <w:rsid w:val="008B473C"/>
    <w:rsid w:val="008B4A9A"/>
    <w:rsid w:val="008B54B0"/>
    <w:rsid w:val="008B5BA2"/>
    <w:rsid w:val="008B5D1F"/>
    <w:rsid w:val="008B5E3B"/>
    <w:rsid w:val="008B6BCF"/>
    <w:rsid w:val="008B6DBE"/>
    <w:rsid w:val="008B6EE0"/>
    <w:rsid w:val="008B70E6"/>
    <w:rsid w:val="008B7E66"/>
    <w:rsid w:val="008C05A0"/>
    <w:rsid w:val="008C085F"/>
    <w:rsid w:val="008C08DD"/>
    <w:rsid w:val="008C09B8"/>
    <w:rsid w:val="008C09D5"/>
    <w:rsid w:val="008C0D1A"/>
    <w:rsid w:val="008C0EB7"/>
    <w:rsid w:val="008C18E4"/>
    <w:rsid w:val="008C1A36"/>
    <w:rsid w:val="008C1A48"/>
    <w:rsid w:val="008C1B3D"/>
    <w:rsid w:val="008C1D07"/>
    <w:rsid w:val="008C1D0B"/>
    <w:rsid w:val="008C1F31"/>
    <w:rsid w:val="008C1FBD"/>
    <w:rsid w:val="008C211F"/>
    <w:rsid w:val="008C228B"/>
    <w:rsid w:val="008C23F7"/>
    <w:rsid w:val="008C2994"/>
    <w:rsid w:val="008C2B9F"/>
    <w:rsid w:val="008C2C7E"/>
    <w:rsid w:val="008C2CF8"/>
    <w:rsid w:val="008C31A0"/>
    <w:rsid w:val="008C3ABE"/>
    <w:rsid w:val="008C3C7F"/>
    <w:rsid w:val="008C3E1F"/>
    <w:rsid w:val="008C4570"/>
    <w:rsid w:val="008C4670"/>
    <w:rsid w:val="008C4813"/>
    <w:rsid w:val="008C49D3"/>
    <w:rsid w:val="008C49D8"/>
    <w:rsid w:val="008C501F"/>
    <w:rsid w:val="008C5794"/>
    <w:rsid w:val="008C5B20"/>
    <w:rsid w:val="008C5B21"/>
    <w:rsid w:val="008C5C35"/>
    <w:rsid w:val="008C5CFC"/>
    <w:rsid w:val="008C5D41"/>
    <w:rsid w:val="008C6033"/>
    <w:rsid w:val="008C63EC"/>
    <w:rsid w:val="008C6844"/>
    <w:rsid w:val="008C6FDF"/>
    <w:rsid w:val="008C72FA"/>
    <w:rsid w:val="008C7582"/>
    <w:rsid w:val="008C795E"/>
    <w:rsid w:val="008C79D4"/>
    <w:rsid w:val="008C7C39"/>
    <w:rsid w:val="008D0BA8"/>
    <w:rsid w:val="008D0BF9"/>
    <w:rsid w:val="008D18EC"/>
    <w:rsid w:val="008D1F9E"/>
    <w:rsid w:val="008D372A"/>
    <w:rsid w:val="008D3752"/>
    <w:rsid w:val="008D3C0B"/>
    <w:rsid w:val="008D3CA1"/>
    <w:rsid w:val="008D42AD"/>
    <w:rsid w:val="008D4D7E"/>
    <w:rsid w:val="008D59BB"/>
    <w:rsid w:val="008D64A5"/>
    <w:rsid w:val="008D64F4"/>
    <w:rsid w:val="008D694B"/>
    <w:rsid w:val="008D6C9D"/>
    <w:rsid w:val="008D6EDB"/>
    <w:rsid w:val="008D71FB"/>
    <w:rsid w:val="008D7377"/>
    <w:rsid w:val="008D7524"/>
    <w:rsid w:val="008D78B0"/>
    <w:rsid w:val="008E1A51"/>
    <w:rsid w:val="008E1B1E"/>
    <w:rsid w:val="008E1E1F"/>
    <w:rsid w:val="008E1FA5"/>
    <w:rsid w:val="008E2086"/>
    <w:rsid w:val="008E20BA"/>
    <w:rsid w:val="008E27BD"/>
    <w:rsid w:val="008E2810"/>
    <w:rsid w:val="008E2DBB"/>
    <w:rsid w:val="008E364D"/>
    <w:rsid w:val="008E387A"/>
    <w:rsid w:val="008E3E83"/>
    <w:rsid w:val="008E438D"/>
    <w:rsid w:val="008E4E86"/>
    <w:rsid w:val="008E4F5B"/>
    <w:rsid w:val="008E5013"/>
    <w:rsid w:val="008E52E9"/>
    <w:rsid w:val="008E550A"/>
    <w:rsid w:val="008E5959"/>
    <w:rsid w:val="008E5AB2"/>
    <w:rsid w:val="008E5BA5"/>
    <w:rsid w:val="008E5CB2"/>
    <w:rsid w:val="008E5FFD"/>
    <w:rsid w:val="008E62CE"/>
    <w:rsid w:val="008E7068"/>
    <w:rsid w:val="008E706C"/>
    <w:rsid w:val="008E75C7"/>
    <w:rsid w:val="008E75D5"/>
    <w:rsid w:val="008E7777"/>
    <w:rsid w:val="008F0225"/>
    <w:rsid w:val="008F0342"/>
    <w:rsid w:val="008F0849"/>
    <w:rsid w:val="008F0898"/>
    <w:rsid w:val="008F0D6A"/>
    <w:rsid w:val="008F12A5"/>
    <w:rsid w:val="008F14AA"/>
    <w:rsid w:val="008F1A64"/>
    <w:rsid w:val="008F1B3E"/>
    <w:rsid w:val="008F2375"/>
    <w:rsid w:val="008F2432"/>
    <w:rsid w:val="008F404B"/>
    <w:rsid w:val="008F4880"/>
    <w:rsid w:val="008F4907"/>
    <w:rsid w:val="008F50AB"/>
    <w:rsid w:val="008F5E1F"/>
    <w:rsid w:val="008F5ED0"/>
    <w:rsid w:val="008F65EF"/>
    <w:rsid w:val="008F692D"/>
    <w:rsid w:val="008F6A97"/>
    <w:rsid w:val="008F6C38"/>
    <w:rsid w:val="008F6D77"/>
    <w:rsid w:val="00900AFC"/>
    <w:rsid w:val="009011C3"/>
    <w:rsid w:val="00901204"/>
    <w:rsid w:val="009013FB"/>
    <w:rsid w:val="00901533"/>
    <w:rsid w:val="00901990"/>
    <w:rsid w:val="00901C22"/>
    <w:rsid w:val="00902263"/>
    <w:rsid w:val="009023D8"/>
    <w:rsid w:val="00902583"/>
    <w:rsid w:val="009028AD"/>
    <w:rsid w:val="0090298A"/>
    <w:rsid w:val="00902E49"/>
    <w:rsid w:val="00902E71"/>
    <w:rsid w:val="009035DD"/>
    <w:rsid w:val="00903CF7"/>
    <w:rsid w:val="00903FCE"/>
    <w:rsid w:val="009040CD"/>
    <w:rsid w:val="00904262"/>
    <w:rsid w:val="00904327"/>
    <w:rsid w:val="00904A85"/>
    <w:rsid w:val="00904A94"/>
    <w:rsid w:val="0090534C"/>
    <w:rsid w:val="009056EF"/>
    <w:rsid w:val="00905B34"/>
    <w:rsid w:val="0090600E"/>
    <w:rsid w:val="00906D07"/>
    <w:rsid w:val="00906EFA"/>
    <w:rsid w:val="00907091"/>
    <w:rsid w:val="009072AA"/>
    <w:rsid w:val="0090754E"/>
    <w:rsid w:val="00907B40"/>
    <w:rsid w:val="00907BDB"/>
    <w:rsid w:val="00910280"/>
    <w:rsid w:val="009104C8"/>
    <w:rsid w:val="009104D8"/>
    <w:rsid w:val="0091068C"/>
    <w:rsid w:val="00910748"/>
    <w:rsid w:val="009107B8"/>
    <w:rsid w:val="009120B0"/>
    <w:rsid w:val="0091223E"/>
    <w:rsid w:val="009126D4"/>
    <w:rsid w:val="00912B16"/>
    <w:rsid w:val="00912F30"/>
    <w:rsid w:val="00912FD7"/>
    <w:rsid w:val="009130F7"/>
    <w:rsid w:val="00913486"/>
    <w:rsid w:val="00913603"/>
    <w:rsid w:val="00913684"/>
    <w:rsid w:val="00913C10"/>
    <w:rsid w:val="00914794"/>
    <w:rsid w:val="00914814"/>
    <w:rsid w:val="009152E0"/>
    <w:rsid w:val="00915371"/>
    <w:rsid w:val="00915620"/>
    <w:rsid w:val="00915753"/>
    <w:rsid w:val="00915C9A"/>
    <w:rsid w:val="00915D7C"/>
    <w:rsid w:val="00916610"/>
    <w:rsid w:val="00916B70"/>
    <w:rsid w:val="0091720F"/>
    <w:rsid w:val="009203B0"/>
    <w:rsid w:val="00920777"/>
    <w:rsid w:val="00920A1F"/>
    <w:rsid w:val="00920E3B"/>
    <w:rsid w:val="009212C0"/>
    <w:rsid w:val="0092142E"/>
    <w:rsid w:val="0092174A"/>
    <w:rsid w:val="009224C0"/>
    <w:rsid w:val="00922694"/>
    <w:rsid w:val="009226E4"/>
    <w:rsid w:val="00922770"/>
    <w:rsid w:val="00922F10"/>
    <w:rsid w:val="0092385C"/>
    <w:rsid w:val="00923ECD"/>
    <w:rsid w:val="00924214"/>
    <w:rsid w:val="00924DA3"/>
    <w:rsid w:val="00925046"/>
    <w:rsid w:val="0092542D"/>
    <w:rsid w:val="00925666"/>
    <w:rsid w:val="00925B28"/>
    <w:rsid w:val="00925C42"/>
    <w:rsid w:val="00925DCC"/>
    <w:rsid w:val="00925FF2"/>
    <w:rsid w:val="009261C7"/>
    <w:rsid w:val="00926229"/>
    <w:rsid w:val="009262E8"/>
    <w:rsid w:val="0092664B"/>
    <w:rsid w:val="00926747"/>
    <w:rsid w:val="009268C2"/>
    <w:rsid w:val="00926A1D"/>
    <w:rsid w:val="00926A46"/>
    <w:rsid w:val="00926D1A"/>
    <w:rsid w:val="0092720F"/>
    <w:rsid w:val="00927906"/>
    <w:rsid w:val="00927920"/>
    <w:rsid w:val="00927B56"/>
    <w:rsid w:val="00927EF8"/>
    <w:rsid w:val="00927F2C"/>
    <w:rsid w:val="00931326"/>
    <w:rsid w:val="00931968"/>
    <w:rsid w:val="00932155"/>
    <w:rsid w:val="00932E7C"/>
    <w:rsid w:val="00932EFC"/>
    <w:rsid w:val="00933281"/>
    <w:rsid w:val="00933819"/>
    <w:rsid w:val="00933B23"/>
    <w:rsid w:val="00933C52"/>
    <w:rsid w:val="00933E59"/>
    <w:rsid w:val="00934C59"/>
    <w:rsid w:val="00934E96"/>
    <w:rsid w:val="00935C19"/>
    <w:rsid w:val="00935C45"/>
    <w:rsid w:val="00935DA5"/>
    <w:rsid w:val="00935E1D"/>
    <w:rsid w:val="00935F8D"/>
    <w:rsid w:val="00936185"/>
    <w:rsid w:val="0093650C"/>
    <w:rsid w:val="00936843"/>
    <w:rsid w:val="00936AFF"/>
    <w:rsid w:val="00936BCB"/>
    <w:rsid w:val="00937A86"/>
    <w:rsid w:val="00940520"/>
    <w:rsid w:val="00940C7F"/>
    <w:rsid w:val="00940EF4"/>
    <w:rsid w:val="00940FDA"/>
    <w:rsid w:val="00941359"/>
    <w:rsid w:val="0094182B"/>
    <w:rsid w:val="00941FD6"/>
    <w:rsid w:val="0094207D"/>
    <w:rsid w:val="00942336"/>
    <w:rsid w:val="0094255B"/>
    <w:rsid w:val="009425C3"/>
    <w:rsid w:val="00942897"/>
    <w:rsid w:val="00942A29"/>
    <w:rsid w:val="00942CFD"/>
    <w:rsid w:val="00943240"/>
    <w:rsid w:val="009433E7"/>
    <w:rsid w:val="0094350D"/>
    <w:rsid w:val="00943552"/>
    <w:rsid w:val="009437C6"/>
    <w:rsid w:val="00943930"/>
    <w:rsid w:val="00943AF4"/>
    <w:rsid w:val="00943B0C"/>
    <w:rsid w:val="00943B3D"/>
    <w:rsid w:val="00943F0D"/>
    <w:rsid w:val="00943FAD"/>
    <w:rsid w:val="009440A5"/>
    <w:rsid w:val="0094452E"/>
    <w:rsid w:val="00944ACD"/>
    <w:rsid w:val="00945251"/>
    <w:rsid w:val="009452B7"/>
    <w:rsid w:val="009454E8"/>
    <w:rsid w:val="00945B05"/>
    <w:rsid w:val="00945C0D"/>
    <w:rsid w:val="00945F5C"/>
    <w:rsid w:val="00945FA4"/>
    <w:rsid w:val="0094656E"/>
    <w:rsid w:val="00946F76"/>
    <w:rsid w:val="0094705B"/>
    <w:rsid w:val="00947647"/>
    <w:rsid w:val="00947A6B"/>
    <w:rsid w:val="009500E0"/>
    <w:rsid w:val="009502D0"/>
    <w:rsid w:val="0095048D"/>
    <w:rsid w:val="00950BCF"/>
    <w:rsid w:val="00950C1B"/>
    <w:rsid w:val="00950C89"/>
    <w:rsid w:val="00950CC0"/>
    <w:rsid w:val="00951133"/>
    <w:rsid w:val="0095114B"/>
    <w:rsid w:val="009515D5"/>
    <w:rsid w:val="0095169C"/>
    <w:rsid w:val="009517CE"/>
    <w:rsid w:val="00951847"/>
    <w:rsid w:val="00951CCF"/>
    <w:rsid w:val="00952318"/>
    <w:rsid w:val="00952BF7"/>
    <w:rsid w:val="009533C4"/>
    <w:rsid w:val="009536DC"/>
    <w:rsid w:val="00953A9A"/>
    <w:rsid w:val="00953D36"/>
    <w:rsid w:val="009540AE"/>
    <w:rsid w:val="00954356"/>
    <w:rsid w:val="009546D9"/>
    <w:rsid w:val="00954912"/>
    <w:rsid w:val="00954BF9"/>
    <w:rsid w:val="00954ED2"/>
    <w:rsid w:val="0095514B"/>
    <w:rsid w:val="0095556E"/>
    <w:rsid w:val="00955F60"/>
    <w:rsid w:val="00956146"/>
    <w:rsid w:val="00956ADF"/>
    <w:rsid w:val="00956C29"/>
    <w:rsid w:val="00956EB0"/>
    <w:rsid w:val="00956EC5"/>
    <w:rsid w:val="00956F1C"/>
    <w:rsid w:val="00956F7E"/>
    <w:rsid w:val="009571F4"/>
    <w:rsid w:val="00957461"/>
    <w:rsid w:val="009574AF"/>
    <w:rsid w:val="009574DD"/>
    <w:rsid w:val="00957677"/>
    <w:rsid w:val="00957C26"/>
    <w:rsid w:val="00957D13"/>
    <w:rsid w:val="00957FAB"/>
    <w:rsid w:val="0096009B"/>
    <w:rsid w:val="009601B4"/>
    <w:rsid w:val="00960AE8"/>
    <w:rsid w:val="00961549"/>
    <w:rsid w:val="009618A7"/>
    <w:rsid w:val="00962639"/>
    <w:rsid w:val="00962906"/>
    <w:rsid w:val="00962BB9"/>
    <w:rsid w:val="009633AD"/>
    <w:rsid w:val="00963DAE"/>
    <w:rsid w:val="00963DC6"/>
    <w:rsid w:val="0096452F"/>
    <w:rsid w:val="00964637"/>
    <w:rsid w:val="00964B28"/>
    <w:rsid w:val="00964D10"/>
    <w:rsid w:val="00965220"/>
    <w:rsid w:val="009655CB"/>
    <w:rsid w:val="009659C7"/>
    <w:rsid w:val="00966167"/>
    <w:rsid w:val="009662B4"/>
    <w:rsid w:val="00966936"/>
    <w:rsid w:val="009678ED"/>
    <w:rsid w:val="00967AB6"/>
    <w:rsid w:val="009706A1"/>
    <w:rsid w:val="0097077B"/>
    <w:rsid w:val="009708B1"/>
    <w:rsid w:val="009708CC"/>
    <w:rsid w:val="00971164"/>
    <w:rsid w:val="00971BFC"/>
    <w:rsid w:val="00971ED5"/>
    <w:rsid w:val="00971F26"/>
    <w:rsid w:val="009727D1"/>
    <w:rsid w:val="00972E03"/>
    <w:rsid w:val="009733F4"/>
    <w:rsid w:val="00973515"/>
    <w:rsid w:val="00973907"/>
    <w:rsid w:val="0097398F"/>
    <w:rsid w:val="00974058"/>
    <w:rsid w:val="0097465B"/>
    <w:rsid w:val="009748CF"/>
    <w:rsid w:val="00974AC4"/>
    <w:rsid w:val="00974D8F"/>
    <w:rsid w:val="00975271"/>
    <w:rsid w:val="009752E3"/>
    <w:rsid w:val="00975325"/>
    <w:rsid w:val="0097554A"/>
    <w:rsid w:val="0097578B"/>
    <w:rsid w:val="00976028"/>
    <w:rsid w:val="00976628"/>
    <w:rsid w:val="00977208"/>
    <w:rsid w:val="00977669"/>
    <w:rsid w:val="00977B68"/>
    <w:rsid w:val="00977EC9"/>
    <w:rsid w:val="009803F2"/>
    <w:rsid w:val="009804D8"/>
    <w:rsid w:val="0098079A"/>
    <w:rsid w:val="00980D4A"/>
    <w:rsid w:val="00981824"/>
    <w:rsid w:val="00981BE0"/>
    <w:rsid w:val="0098223C"/>
    <w:rsid w:val="0098257B"/>
    <w:rsid w:val="00983A54"/>
    <w:rsid w:val="00983AA5"/>
    <w:rsid w:val="00983FCB"/>
    <w:rsid w:val="0098459F"/>
    <w:rsid w:val="009845F6"/>
    <w:rsid w:val="00984E98"/>
    <w:rsid w:val="009853CA"/>
    <w:rsid w:val="009856C4"/>
    <w:rsid w:val="00985B6E"/>
    <w:rsid w:val="00986542"/>
    <w:rsid w:val="0098658F"/>
    <w:rsid w:val="00986AF8"/>
    <w:rsid w:val="00986BFD"/>
    <w:rsid w:val="00986F9E"/>
    <w:rsid w:val="00986FEB"/>
    <w:rsid w:val="009871BC"/>
    <w:rsid w:val="00987246"/>
    <w:rsid w:val="009872A2"/>
    <w:rsid w:val="00987CC0"/>
    <w:rsid w:val="0099081C"/>
    <w:rsid w:val="00991556"/>
    <w:rsid w:val="00991698"/>
    <w:rsid w:val="00991833"/>
    <w:rsid w:val="0099183C"/>
    <w:rsid w:val="009918CF"/>
    <w:rsid w:val="00991A66"/>
    <w:rsid w:val="00991BA0"/>
    <w:rsid w:val="009920B8"/>
    <w:rsid w:val="009921EB"/>
    <w:rsid w:val="00992565"/>
    <w:rsid w:val="0099329A"/>
    <w:rsid w:val="0099471F"/>
    <w:rsid w:val="00994A27"/>
    <w:rsid w:val="0099503F"/>
    <w:rsid w:val="009953D8"/>
    <w:rsid w:val="0099556E"/>
    <w:rsid w:val="00995FB7"/>
    <w:rsid w:val="0099675A"/>
    <w:rsid w:val="009967BB"/>
    <w:rsid w:val="00996D6B"/>
    <w:rsid w:val="009971CA"/>
    <w:rsid w:val="00997753"/>
    <w:rsid w:val="009A01EB"/>
    <w:rsid w:val="009A113E"/>
    <w:rsid w:val="009A14EC"/>
    <w:rsid w:val="009A2655"/>
    <w:rsid w:val="009A27B3"/>
    <w:rsid w:val="009A38EB"/>
    <w:rsid w:val="009A39B1"/>
    <w:rsid w:val="009A3CEE"/>
    <w:rsid w:val="009A4E72"/>
    <w:rsid w:val="009A5AC4"/>
    <w:rsid w:val="009A5C20"/>
    <w:rsid w:val="009A5F3C"/>
    <w:rsid w:val="009A6EBD"/>
    <w:rsid w:val="009A6F48"/>
    <w:rsid w:val="009A7020"/>
    <w:rsid w:val="009A709A"/>
    <w:rsid w:val="009A749F"/>
    <w:rsid w:val="009B09E1"/>
    <w:rsid w:val="009B0A00"/>
    <w:rsid w:val="009B0F6E"/>
    <w:rsid w:val="009B18D9"/>
    <w:rsid w:val="009B1990"/>
    <w:rsid w:val="009B1B84"/>
    <w:rsid w:val="009B1D03"/>
    <w:rsid w:val="009B1D27"/>
    <w:rsid w:val="009B2891"/>
    <w:rsid w:val="009B2E78"/>
    <w:rsid w:val="009B30CE"/>
    <w:rsid w:val="009B3C82"/>
    <w:rsid w:val="009B4273"/>
    <w:rsid w:val="009B4343"/>
    <w:rsid w:val="009B43CD"/>
    <w:rsid w:val="009B43F0"/>
    <w:rsid w:val="009B4487"/>
    <w:rsid w:val="009B4774"/>
    <w:rsid w:val="009B4915"/>
    <w:rsid w:val="009B53BB"/>
    <w:rsid w:val="009B549E"/>
    <w:rsid w:val="009B5A9D"/>
    <w:rsid w:val="009B64CF"/>
    <w:rsid w:val="009B72EE"/>
    <w:rsid w:val="009B7454"/>
    <w:rsid w:val="009C000B"/>
    <w:rsid w:val="009C0626"/>
    <w:rsid w:val="009C0890"/>
    <w:rsid w:val="009C0933"/>
    <w:rsid w:val="009C0C1B"/>
    <w:rsid w:val="009C1170"/>
    <w:rsid w:val="009C1809"/>
    <w:rsid w:val="009C1BFA"/>
    <w:rsid w:val="009C1EE1"/>
    <w:rsid w:val="009C2167"/>
    <w:rsid w:val="009C2169"/>
    <w:rsid w:val="009C26C3"/>
    <w:rsid w:val="009C27FD"/>
    <w:rsid w:val="009C2817"/>
    <w:rsid w:val="009C28A1"/>
    <w:rsid w:val="009C295F"/>
    <w:rsid w:val="009C3333"/>
    <w:rsid w:val="009C3501"/>
    <w:rsid w:val="009C3C22"/>
    <w:rsid w:val="009C427B"/>
    <w:rsid w:val="009C4C41"/>
    <w:rsid w:val="009C4E48"/>
    <w:rsid w:val="009C4FD1"/>
    <w:rsid w:val="009C54F8"/>
    <w:rsid w:val="009C588F"/>
    <w:rsid w:val="009C5A2E"/>
    <w:rsid w:val="009C5D91"/>
    <w:rsid w:val="009C6095"/>
    <w:rsid w:val="009C61BD"/>
    <w:rsid w:val="009C61E0"/>
    <w:rsid w:val="009C62C1"/>
    <w:rsid w:val="009C63C5"/>
    <w:rsid w:val="009C677F"/>
    <w:rsid w:val="009C67F3"/>
    <w:rsid w:val="009C690A"/>
    <w:rsid w:val="009C69C0"/>
    <w:rsid w:val="009C7017"/>
    <w:rsid w:val="009D08F1"/>
    <w:rsid w:val="009D0AAF"/>
    <w:rsid w:val="009D0B60"/>
    <w:rsid w:val="009D1164"/>
    <w:rsid w:val="009D1298"/>
    <w:rsid w:val="009D1BFB"/>
    <w:rsid w:val="009D1CC2"/>
    <w:rsid w:val="009D292E"/>
    <w:rsid w:val="009D2C64"/>
    <w:rsid w:val="009D2C83"/>
    <w:rsid w:val="009D3511"/>
    <w:rsid w:val="009D3598"/>
    <w:rsid w:val="009D3668"/>
    <w:rsid w:val="009D4BD8"/>
    <w:rsid w:val="009D4C4E"/>
    <w:rsid w:val="009D4F4A"/>
    <w:rsid w:val="009D5506"/>
    <w:rsid w:val="009D581F"/>
    <w:rsid w:val="009D5B06"/>
    <w:rsid w:val="009D6886"/>
    <w:rsid w:val="009D68FA"/>
    <w:rsid w:val="009D6C7D"/>
    <w:rsid w:val="009D6EBC"/>
    <w:rsid w:val="009D6F0B"/>
    <w:rsid w:val="009D738C"/>
    <w:rsid w:val="009D7938"/>
    <w:rsid w:val="009D7EE6"/>
    <w:rsid w:val="009E00CF"/>
    <w:rsid w:val="009E04EC"/>
    <w:rsid w:val="009E053D"/>
    <w:rsid w:val="009E0FAA"/>
    <w:rsid w:val="009E1B24"/>
    <w:rsid w:val="009E21F0"/>
    <w:rsid w:val="009E2324"/>
    <w:rsid w:val="009E2951"/>
    <w:rsid w:val="009E2B3E"/>
    <w:rsid w:val="009E2DD9"/>
    <w:rsid w:val="009E336F"/>
    <w:rsid w:val="009E33D1"/>
    <w:rsid w:val="009E3E5B"/>
    <w:rsid w:val="009E3FB0"/>
    <w:rsid w:val="009E3FFC"/>
    <w:rsid w:val="009E41B6"/>
    <w:rsid w:val="009E422D"/>
    <w:rsid w:val="009E4B1B"/>
    <w:rsid w:val="009E4E89"/>
    <w:rsid w:val="009E56EF"/>
    <w:rsid w:val="009E5800"/>
    <w:rsid w:val="009E61B5"/>
    <w:rsid w:val="009E6361"/>
    <w:rsid w:val="009E6673"/>
    <w:rsid w:val="009E6949"/>
    <w:rsid w:val="009E72A8"/>
    <w:rsid w:val="009E75A5"/>
    <w:rsid w:val="009F024B"/>
    <w:rsid w:val="009F027A"/>
    <w:rsid w:val="009F03B1"/>
    <w:rsid w:val="009F049F"/>
    <w:rsid w:val="009F04F2"/>
    <w:rsid w:val="009F051A"/>
    <w:rsid w:val="009F0CB4"/>
    <w:rsid w:val="009F140A"/>
    <w:rsid w:val="009F1891"/>
    <w:rsid w:val="009F201E"/>
    <w:rsid w:val="009F2D64"/>
    <w:rsid w:val="009F33F8"/>
    <w:rsid w:val="009F3FD8"/>
    <w:rsid w:val="009F4162"/>
    <w:rsid w:val="009F4B61"/>
    <w:rsid w:val="009F4CA1"/>
    <w:rsid w:val="009F4ED6"/>
    <w:rsid w:val="009F4ED7"/>
    <w:rsid w:val="009F5187"/>
    <w:rsid w:val="009F53D9"/>
    <w:rsid w:val="009F57C4"/>
    <w:rsid w:val="009F5EB1"/>
    <w:rsid w:val="009F5EEA"/>
    <w:rsid w:val="009F6517"/>
    <w:rsid w:val="009F6A40"/>
    <w:rsid w:val="009F7188"/>
    <w:rsid w:val="009F7CE1"/>
    <w:rsid w:val="009F7D40"/>
    <w:rsid w:val="009F7F2C"/>
    <w:rsid w:val="00A00910"/>
    <w:rsid w:val="00A00ABD"/>
    <w:rsid w:val="00A01369"/>
    <w:rsid w:val="00A01554"/>
    <w:rsid w:val="00A016F1"/>
    <w:rsid w:val="00A01888"/>
    <w:rsid w:val="00A018E0"/>
    <w:rsid w:val="00A01E4D"/>
    <w:rsid w:val="00A02884"/>
    <w:rsid w:val="00A02BAA"/>
    <w:rsid w:val="00A03621"/>
    <w:rsid w:val="00A03B95"/>
    <w:rsid w:val="00A03BD2"/>
    <w:rsid w:val="00A041F1"/>
    <w:rsid w:val="00A04E6E"/>
    <w:rsid w:val="00A056E0"/>
    <w:rsid w:val="00A059AB"/>
    <w:rsid w:val="00A061E6"/>
    <w:rsid w:val="00A063A7"/>
    <w:rsid w:val="00A07119"/>
    <w:rsid w:val="00A07A4E"/>
    <w:rsid w:val="00A07CD7"/>
    <w:rsid w:val="00A07D5B"/>
    <w:rsid w:val="00A07F07"/>
    <w:rsid w:val="00A10067"/>
    <w:rsid w:val="00A101A9"/>
    <w:rsid w:val="00A102A9"/>
    <w:rsid w:val="00A10620"/>
    <w:rsid w:val="00A108BE"/>
    <w:rsid w:val="00A10AF8"/>
    <w:rsid w:val="00A10EF9"/>
    <w:rsid w:val="00A10F64"/>
    <w:rsid w:val="00A11B68"/>
    <w:rsid w:val="00A122EC"/>
    <w:rsid w:val="00A12E2A"/>
    <w:rsid w:val="00A13393"/>
    <w:rsid w:val="00A134FE"/>
    <w:rsid w:val="00A13861"/>
    <w:rsid w:val="00A13941"/>
    <w:rsid w:val="00A142CA"/>
    <w:rsid w:val="00A14842"/>
    <w:rsid w:val="00A14ABC"/>
    <w:rsid w:val="00A155FC"/>
    <w:rsid w:val="00A16521"/>
    <w:rsid w:val="00A168CE"/>
    <w:rsid w:val="00A16E22"/>
    <w:rsid w:val="00A16EDD"/>
    <w:rsid w:val="00A16F21"/>
    <w:rsid w:val="00A172E2"/>
    <w:rsid w:val="00A1791B"/>
    <w:rsid w:val="00A17C85"/>
    <w:rsid w:val="00A17FEC"/>
    <w:rsid w:val="00A22582"/>
    <w:rsid w:val="00A233B9"/>
    <w:rsid w:val="00A236A4"/>
    <w:rsid w:val="00A23741"/>
    <w:rsid w:val="00A23CDD"/>
    <w:rsid w:val="00A23D2E"/>
    <w:rsid w:val="00A23F8A"/>
    <w:rsid w:val="00A241D5"/>
    <w:rsid w:val="00A24601"/>
    <w:rsid w:val="00A24B58"/>
    <w:rsid w:val="00A24F11"/>
    <w:rsid w:val="00A254D6"/>
    <w:rsid w:val="00A256C1"/>
    <w:rsid w:val="00A25752"/>
    <w:rsid w:val="00A25851"/>
    <w:rsid w:val="00A26069"/>
    <w:rsid w:val="00A26202"/>
    <w:rsid w:val="00A267B3"/>
    <w:rsid w:val="00A26988"/>
    <w:rsid w:val="00A27BA1"/>
    <w:rsid w:val="00A27D43"/>
    <w:rsid w:val="00A30299"/>
    <w:rsid w:val="00A303F1"/>
    <w:rsid w:val="00A304CC"/>
    <w:rsid w:val="00A30860"/>
    <w:rsid w:val="00A318A6"/>
    <w:rsid w:val="00A31BD0"/>
    <w:rsid w:val="00A31DD2"/>
    <w:rsid w:val="00A3226D"/>
    <w:rsid w:val="00A327BB"/>
    <w:rsid w:val="00A32CB7"/>
    <w:rsid w:val="00A32D89"/>
    <w:rsid w:val="00A3305C"/>
    <w:rsid w:val="00A33883"/>
    <w:rsid w:val="00A338FD"/>
    <w:rsid w:val="00A33E2B"/>
    <w:rsid w:val="00A341BE"/>
    <w:rsid w:val="00A343EB"/>
    <w:rsid w:val="00A347D0"/>
    <w:rsid w:val="00A34ABC"/>
    <w:rsid w:val="00A34D0D"/>
    <w:rsid w:val="00A3529E"/>
    <w:rsid w:val="00A352D2"/>
    <w:rsid w:val="00A3535D"/>
    <w:rsid w:val="00A3593F"/>
    <w:rsid w:val="00A359BE"/>
    <w:rsid w:val="00A35A1A"/>
    <w:rsid w:val="00A36154"/>
    <w:rsid w:val="00A3625A"/>
    <w:rsid w:val="00A36D05"/>
    <w:rsid w:val="00A3707E"/>
    <w:rsid w:val="00A3782D"/>
    <w:rsid w:val="00A37C3E"/>
    <w:rsid w:val="00A4060E"/>
    <w:rsid w:val="00A40881"/>
    <w:rsid w:val="00A40D2A"/>
    <w:rsid w:val="00A413FE"/>
    <w:rsid w:val="00A41724"/>
    <w:rsid w:val="00A41A01"/>
    <w:rsid w:val="00A41D2D"/>
    <w:rsid w:val="00A42369"/>
    <w:rsid w:val="00A424D2"/>
    <w:rsid w:val="00A425FC"/>
    <w:rsid w:val="00A42637"/>
    <w:rsid w:val="00A429C5"/>
    <w:rsid w:val="00A42AA2"/>
    <w:rsid w:val="00A42AAB"/>
    <w:rsid w:val="00A42AC7"/>
    <w:rsid w:val="00A4313F"/>
    <w:rsid w:val="00A43A86"/>
    <w:rsid w:val="00A43B9A"/>
    <w:rsid w:val="00A4449F"/>
    <w:rsid w:val="00A44771"/>
    <w:rsid w:val="00A44BA7"/>
    <w:rsid w:val="00A44C33"/>
    <w:rsid w:val="00A458FA"/>
    <w:rsid w:val="00A45EBA"/>
    <w:rsid w:val="00A45FAF"/>
    <w:rsid w:val="00A4656E"/>
    <w:rsid w:val="00A4678A"/>
    <w:rsid w:val="00A46A00"/>
    <w:rsid w:val="00A46E40"/>
    <w:rsid w:val="00A46FC0"/>
    <w:rsid w:val="00A46FD5"/>
    <w:rsid w:val="00A4716C"/>
    <w:rsid w:val="00A47B1D"/>
    <w:rsid w:val="00A50185"/>
    <w:rsid w:val="00A5022C"/>
    <w:rsid w:val="00A5036B"/>
    <w:rsid w:val="00A50589"/>
    <w:rsid w:val="00A50669"/>
    <w:rsid w:val="00A506A9"/>
    <w:rsid w:val="00A507A2"/>
    <w:rsid w:val="00A507EB"/>
    <w:rsid w:val="00A5089E"/>
    <w:rsid w:val="00A50C76"/>
    <w:rsid w:val="00A50D05"/>
    <w:rsid w:val="00A511C4"/>
    <w:rsid w:val="00A5145F"/>
    <w:rsid w:val="00A51499"/>
    <w:rsid w:val="00A51A87"/>
    <w:rsid w:val="00A51BD9"/>
    <w:rsid w:val="00A51D12"/>
    <w:rsid w:val="00A51DA9"/>
    <w:rsid w:val="00A51E9A"/>
    <w:rsid w:val="00A52748"/>
    <w:rsid w:val="00A527B1"/>
    <w:rsid w:val="00A52C9F"/>
    <w:rsid w:val="00A52E1E"/>
    <w:rsid w:val="00A52EE2"/>
    <w:rsid w:val="00A5305A"/>
    <w:rsid w:val="00A530A4"/>
    <w:rsid w:val="00A53443"/>
    <w:rsid w:val="00A53C2D"/>
    <w:rsid w:val="00A53D4A"/>
    <w:rsid w:val="00A53D51"/>
    <w:rsid w:val="00A53F53"/>
    <w:rsid w:val="00A5404E"/>
    <w:rsid w:val="00A54108"/>
    <w:rsid w:val="00A54839"/>
    <w:rsid w:val="00A548E6"/>
    <w:rsid w:val="00A55CAC"/>
    <w:rsid w:val="00A55D46"/>
    <w:rsid w:val="00A56C1E"/>
    <w:rsid w:val="00A57022"/>
    <w:rsid w:val="00A57205"/>
    <w:rsid w:val="00A574B3"/>
    <w:rsid w:val="00A57ADD"/>
    <w:rsid w:val="00A57FA8"/>
    <w:rsid w:val="00A60521"/>
    <w:rsid w:val="00A60561"/>
    <w:rsid w:val="00A6115D"/>
    <w:rsid w:val="00A61531"/>
    <w:rsid w:val="00A615BF"/>
    <w:rsid w:val="00A61FC5"/>
    <w:rsid w:val="00A6204B"/>
    <w:rsid w:val="00A620A1"/>
    <w:rsid w:val="00A620E2"/>
    <w:rsid w:val="00A623A9"/>
    <w:rsid w:val="00A625E1"/>
    <w:rsid w:val="00A627FE"/>
    <w:rsid w:val="00A629BA"/>
    <w:rsid w:val="00A62A02"/>
    <w:rsid w:val="00A62A2E"/>
    <w:rsid w:val="00A63279"/>
    <w:rsid w:val="00A63445"/>
    <w:rsid w:val="00A637F7"/>
    <w:rsid w:val="00A63826"/>
    <w:rsid w:val="00A639BE"/>
    <w:rsid w:val="00A63C3B"/>
    <w:rsid w:val="00A63F33"/>
    <w:rsid w:val="00A64830"/>
    <w:rsid w:val="00A64BA7"/>
    <w:rsid w:val="00A64D40"/>
    <w:rsid w:val="00A65AE0"/>
    <w:rsid w:val="00A6647B"/>
    <w:rsid w:val="00A665D4"/>
    <w:rsid w:val="00A66A3E"/>
    <w:rsid w:val="00A703BC"/>
    <w:rsid w:val="00A70A3E"/>
    <w:rsid w:val="00A70F1F"/>
    <w:rsid w:val="00A7150C"/>
    <w:rsid w:val="00A71645"/>
    <w:rsid w:val="00A71C18"/>
    <w:rsid w:val="00A71DC2"/>
    <w:rsid w:val="00A72E65"/>
    <w:rsid w:val="00A73296"/>
    <w:rsid w:val="00A73A52"/>
    <w:rsid w:val="00A73C17"/>
    <w:rsid w:val="00A73D3C"/>
    <w:rsid w:val="00A73FBE"/>
    <w:rsid w:val="00A73FF8"/>
    <w:rsid w:val="00A7408A"/>
    <w:rsid w:val="00A7416A"/>
    <w:rsid w:val="00A750AA"/>
    <w:rsid w:val="00A753B4"/>
    <w:rsid w:val="00A754F2"/>
    <w:rsid w:val="00A759FE"/>
    <w:rsid w:val="00A75F02"/>
    <w:rsid w:val="00A75F6A"/>
    <w:rsid w:val="00A76042"/>
    <w:rsid w:val="00A76798"/>
    <w:rsid w:val="00A76C75"/>
    <w:rsid w:val="00A76DAB"/>
    <w:rsid w:val="00A76DB2"/>
    <w:rsid w:val="00A76E7A"/>
    <w:rsid w:val="00A76EDB"/>
    <w:rsid w:val="00A77219"/>
    <w:rsid w:val="00A7743D"/>
    <w:rsid w:val="00A77452"/>
    <w:rsid w:val="00A7776C"/>
    <w:rsid w:val="00A80308"/>
    <w:rsid w:val="00A80A37"/>
    <w:rsid w:val="00A80B97"/>
    <w:rsid w:val="00A81207"/>
    <w:rsid w:val="00A814BB"/>
    <w:rsid w:val="00A818E4"/>
    <w:rsid w:val="00A82516"/>
    <w:rsid w:val="00A82A8E"/>
    <w:rsid w:val="00A82AE0"/>
    <w:rsid w:val="00A82B4E"/>
    <w:rsid w:val="00A82E6C"/>
    <w:rsid w:val="00A83119"/>
    <w:rsid w:val="00A844F1"/>
    <w:rsid w:val="00A849D8"/>
    <w:rsid w:val="00A84D22"/>
    <w:rsid w:val="00A84FE7"/>
    <w:rsid w:val="00A85693"/>
    <w:rsid w:val="00A85A67"/>
    <w:rsid w:val="00A86161"/>
    <w:rsid w:val="00A8616C"/>
    <w:rsid w:val="00A862F5"/>
    <w:rsid w:val="00A86722"/>
    <w:rsid w:val="00A86780"/>
    <w:rsid w:val="00A869AF"/>
    <w:rsid w:val="00A86CFF"/>
    <w:rsid w:val="00A874D8"/>
    <w:rsid w:val="00A8751C"/>
    <w:rsid w:val="00A8780F"/>
    <w:rsid w:val="00A87A79"/>
    <w:rsid w:val="00A87AB5"/>
    <w:rsid w:val="00A87D55"/>
    <w:rsid w:val="00A87E46"/>
    <w:rsid w:val="00A907F0"/>
    <w:rsid w:val="00A9100D"/>
    <w:rsid w:val="00A91168"/>
    <w:rsid w:val="00A9129D"/>
    <w:rsid w:val="00A91458"/>
    <w:rsid w:val="00A9153E"/>
    <w:rsid w:val="00A9178B"/>
    <w:rsid w:val="00A917BD"/>
    <w:rsid w:val="00A918B2"/>
    <w:rsid w:val="00A92265"/>
    <w:rsid w:val="00A923C0"/>
    <w:rsid w:val="00A9245D"/>
    <w:rsid w:val="00A925F2"/>
    <w:rsid w:val="00A92AFF"/>
    <w:rsid w:val="00A930CA"/>
    <w:rsid w:val="00A935C9"/>
    <w:rsid w:val="00A937D8"/>
    <w:rsid w:val="00A93D41"/>
    <w:rsid w:val="00A9435C"/>
    <w:rsid w:val="00A943E0"/>
    <w:rsid w:val="00A94590"/>
    <w:rsid w:val="00A94B83"/>
    <w:rsid w:val="00A95357"/>
    <w:rsid w:val="00A95642"/>
    <w:rsid w:val="00A95769"/>
    <w:rsid w:val="00A9578C"/>
    <w:rsid w:val="00A9592A"/>
    <w:rsid w:val="00A95972"/>
    <w:rsid w:val="00A95D41"/>
    <w:rsid w:val="00A96152"/>
    <w:rsid w:val="00A969A1"/>
    <w:rsid w:val="00A96E01"/>
    <w:rsid w:val="00A973FD"/>
    <w:rsid w:val="00A97AA5"/>
    <w:rsid w:val="00A97FCA"/>
    <w:rsid w:val="00AA0042"/>
    <w:rsid w:val="00AA00DF"/>
    <w:rsid w:val="00AA01A2"/>
    <w:rsid w:val="00AA06DF"/>
    <w:rsid w:val="00AA0734"/>
    <w:rsid w:val="00AA07B8"/>
    <w:rsid w:val="00AA082F"/>
    <w:rsid w:val="00AA0CE9"/>
    <w:rsid w:val="00AA0DB1"/>
    <w:rsid w:val="00AA1245"/>
    <w:rsid w:val="00AA1267"/>
    <w:rsid w:val="00AA1469"/>
    <w:rsid w:val="00AA14A2"/>
    <w:rsid w:val="00AA1602"/>
    <w:rsid w:val="00AA1801"/>
    <w:rsid w:val="00AA1F36"/>
    <w:rsid w:val="00AA1FC8"/>
    <w:rsid w:val="00AA2174"/>
    <w:rsid w:val="00AA2675"/>
    <w:rsid w:val="00AA28B6"/>
    <w:rsid w:val="00AA2EE9"/>
    <w:rsid w:val="00AA30CD"/>
    <w:rsid w:val="00AA312C"/>
    <w:rsid w:val="00AA3A5B"/>
    <w:rsid w:val="00AA3A64"/>
    <w:rsid w:val="00AA3A86"/>
    <w:rsid w:val="00AA47C1"/>
    <w:rsid w:val="00AA4A5F"/>
    <w:rsid w:val="00AA52DB"/>
    <w:rsid w:val="00AA549D"/>
    <w:rsid w:val="00AA58E8"/>
    <w:rsid w:val="00AA590F"/>
    <w:rsid w:val="00AA5AC2"/>
    <w:rsid w:val="00AA5C3B"/>
    <w:rsid w:val="00AA5F72"/>
    <w:rsid w:val="00AA619C"/>
    <w:rsid w:val="00AA61D5"/>
    <w:rsid w:val="00AA6213"/>
    <w:rsid w:val="00AA634F"/>
    <w:rsid w:val="00AA63C6"/>
    <w:rsid w:val="00AA677E"/>
    <w:rsid w:val="00AA6AF2"/>
    <w:rsid w:val="00AA6C01"/>
    <w:rsid w:val="00AA7064"/>
    <w:rsid w:val="00AA73C8"/>
    <w:rsid w:val="00AA75E8"/>
    <w:rsid w:val="00AA79F8"/>
    <w:rsid w:val="00AA7AC4"/>
    <w:rsid w:val="00AA7BB2"/>
    <w:rsid w:val="00AB0297"/>
    <w:rsid w:val="00AB038D"/>
    <w:rsid w:val="00AB0678"/>
    <w:rsid w:val="00AB0DC8"/>
    <w:rsid w:val="00AB0F26"/>
    <w:rsid w:val="00AB0F85"/>
    <w:rsid w:val="00AB11B4"/>
    <w:rsid w:val="00AB21AE"/>
    <w:rsid w:val="00AB2CAB"/>
    <w:rsid w:val="00AB31B8"/>
    <w:rsid w:val="00AB349C"/>
    <w:rsid w:val="00AB353E"/>
    <w:rsid w:val="00AB370D"/>
    <w:rsid w:val="00AB4448"/>
    <w:rsid w:val="00AB463F"/>
    <w:rsid w:val="00AB49A6"/>
    <w:rsid w:val="00AB4CED"/>
    <w:rsid w:val="00AB5729"/>
    <w:rsid w:val="00AB581D"/>
    <w:rsid w:val="00AB5AFD"/>
    <w:rsid w:val="00AB5E0F"/>
    <w:rsid w:val="00AB64F8"/>
    <w:rsid w:val="00AB682C"/>
    <w:rsid w:val="00AB6AB5"/>
    <w:rsid w:val="00AB6D5D"/>
    <w:rsid w:val="00AB7761"/>
    <w:rsid w:val="00AB7E3B"/>
    <w:rsid w:val="00AB7F8F"/>
    <w:rsid w:val="00AC019A"/>
    <w:rsid w:val="00AC0256"/>
    <w:rsid w:val="00AC0332"/>
    <w:rsid w:val="00AC059E"/>
    <w:rsid w:val="00AC0E68"/>
    <w:rsid w:val="00AC10D4"/>
    <w:rsid w:val="00AC2474"/>
    <w:rsid w:val="00AC2598"/>
    <w:rsid w:val="00AC25C3"/>
    <w:rsid w:val="00AC28C6"/>
    <w:rsid w:val="00AC2E18"/>
    <w:rsid w:val="00AC3492"/>
    <w:rsid w:val="00AC3A0A"/>
    <w:rsid w:val="00AC3E45"/>
    <w:rsid w:val="00AC4742"/>
    <w:rsid w:val="00AC4BD5"/>
    <w:rsid w:val="00AC4CAE"/>
    <w:rsid w:val="00AC4E17"/>
    <w:rsid w:val="00AC55FA"/>
    <w:rsid w:val="00AC57E6"/>
    <w:rsid w:val="00AC5D09"/>
    <w:rsid w:val="00AC692F"/>
    <w:rsid w:val="00AC7634"/>
    <w:rsid w:val="00AC7B26"/>
    <w:rsid w:val="00AC7FB3"/>
    <w:rsid w:val="00AD008A"/>
    <w:rsid w:val="00AD0DB9"/>
    <w:rsid w:val="00AD0E4F"/>
    <w:rsid w:val="00AD0E5C"/>
    <w:rsid w:val="00AD15A2"/>
    <w:rsid w:val="00AD1B71"/>
    <w:rsid w:val="00AD246B"/>
    <w:rsid w:val="00AD280F"/>
    <w:rsid w:val="00AD2DDC"/>
    <w:rsid w:val="00AD3B54"/>
    <w:rsid w:val="00AD3C18"/>
    <w:rsid w:val="00AD3CE2"/>
    <w:rsid w:val="00AD42CC"/>
    <w:rsid w:val="00AD4319"/>
    <w:rsid w:val="00AD4A9F"/>
    <w:rsid w:val="00AD4B52"/>
    <w:rsid w:val="00AD5049"/>
    <w:rsid w:val="00AD5266"/>
    <w:rsid w:val="00AD5401"/>
    <w:rsid w:val="00AD549A"/>
    <w:rsid w:val="00AD54F5"/>
    <w:rsid w:val="00AD57FF"/>
    <w:rsid w:val="00AD5CE5"/>
    <w:rsid w:val="00AD5F91"/>
    <w:rsid w:val="00AD6801"/>
    <w:rsid w:val="00AD6C14"/>
    <w:rsid w:val="00AD6C2B"/>
    <w:rsid w:val="00AD7ED1"/>
    <w:rsid w:val="00AE003A"/>
    <w:rsid w:val="00AE0768"/>
    <w:rsid w:val="00AE0D53"/>
    <w:rsid w:val="00AE0FA7"/>
    <w:rsid w:val="00AE0FD7"/>
    <w:rsid w:val="00AE1715"/>
    <w:rsid w:val="00AE1BBA"/>
    <w:rsid w:val="00AE2211"/>
    <w:rsid w:val="00AE2BD1"/>
    <w:rsid w:val="00AE2C94"/>
    <w:rsid w:val="00AE2F55"/>
    <w:rsid w:val="00AE33DB"/>
    <w:rsid w:val="00AE3CEB"/>
    <w:rsid w:val="00AE3D8C"/>
    <w:rsid w:val="00AE4207"/>
    <w:rsid w:val="00AE43A1"/>
    <w:rsid w:val="00AE43DF"/>
    <w:rsid w:val="00AE467D"/>
    <w:rsid w:val="00AE5653"/>
    <w:rsid w:val="00AE56E4"/>
    <w:rsid w:val="00AE576B"/>
    <w:rsid w:val="00AE57C8"/>
    <w:rsid w:val="00AE5BC3"/>
    <w:rsid w:val="00AE67C6"/>
    <w:rsid w:val="00AE69D4"/>
    <w:rsid w:val="00AE6FBE"/>
    <w:rsid w:val="00AE7145"/>
    <w:rsid w:val="00AE7E19"/>
    <w:rsid w:val="00AF050E"/>
    <w:rsid w:val="00AF0A33"/>
    <w:rsid w:val="00AF0AA5"/>
    <w:rsid w:val="00AF0AF2"/>
    <w:rsid w:val="00AF14AC"/>
    <w:rsid w:val="00AF39D3"/>
    <w:rsid w:val="00AF402D"/>
    <w:rsid w:val="00AF43C1"/>
    <w:rsid w:val="00AF4549"/>
    <w:rsid w:val="00AF4A35"/>
    <w:rsid w:val="00AF4B01"/>
    <w:rsid w:val="00AF4C15"/>
    <w:rsid w:val="00AF4D36"/>
    <w:rsid w:val="00AF5C01"/>
    <w:rsid w:val="00AF655F"/>
    <w:rsid w:val="00AF6724"/>
    <w:rsid w:val="00AF6830"/>
    <w:rsid w:val="00AF6BDB"/>
    <w:rsid w:val="00AF6E7D"/>
    <w:rsid w:val="00AF70E6"/>
    <w:rsid w:val="00AF7464"/>
    <w:rsid w:val="00AF78DE"/>
    <w:rsid w:val="00AF793C"/>
    <w:rsid w:val="00AF7DF5"/>
    <w:rsid w:val="00B00133"/>
    <w:rsid w:val="00B00270"/>
    <w:rsid w:val="00B0093B"/>
    <w:rsid w:val="00B00A2F"/>
    <w:rsid w:val="00B00CB9"/>
    <w:rsid w:val="00B00D47"/>
    <w:rsid w:val="00B00EDB"/>
    <w:rsid w:val="00B010CE"/>
    <w:rsid w:val="00B01365"/>
    <w:rsid w:val="00B01A21"/>
    <w:rsid w:val="00B01EB0"/>
    <w:rsid w:val="00B01F14"/>
    <w:rsid w:val="00B02444"/>
    <w:rsid w:val="00B02924"/>
    <w:rsid w:val="00B02961"/>
    <w:rsid w:val="00B03075"/>
    <w:rsid w:val="00B034A3"/>
    <w:rsid w:val="00B0402A"/>
    <w:rsid w:val="00B040B1"/>
    <w:rsid w:val="00B04269"/>
    <w:rsid w:val="00B04346"/>
    <w:rsid w:val="00B043CA"/>
    <w:rsid w:val="00B04758"/>
    <w:rsid w:val="00B0499C"/>
    <w:rsid w:val="00B05639"/>
    <w:rsid w:val="00B0572D"/>
    <w:rsid w:val="00B05980"/>
    <w:rsid w:val="00B05F45"/>
    <w:rsid w:val="00B06263"/>
    <w:rsid w:val="00B066D0"/>
    <w:rsid w:val="00B06A12"/>
    <w:rsid w:val="00B06B98"/>
    <w:rsid w:val="00B06DBE"/>
    <w:rsid w:val="00B1002F"/>
    <w:rsid w:val="00B1108C"/>
    <w:rsid w:val="00B11916"/>
    <w:rsid w:val="00B11E7F"/>
    <w:rsid w:val="00B12980"/>
    <w:rsid w:val="00B12D79"/>
    <w:rsid w:val="00B13646"/>
    <w:rsid w:val="00B13970"/>
    <w:rsid w:val="00B13BF3"/>
    <w:rsid w:val="00B1439D"/>
    <w:rsid w:val="00B147EC"/>
    <w:rsid w:val="00B14BD8"/>
    <w:rsid w:val="00B15237"/>
    <w:rsid w:val="00B155EE"/>
    <w:rsid w:val="00B1574B"/>
    <w:rsid w:val="00B15E2F"/>
    <w:rsid w:val="00B15FB4"/>
    <w:rsid w:val="00B16071"/>
    <w:rsid w:val="00B1623E"/>
    <w:rsid w:val="00B1644D"/>
    <w:rsid w:val="00B1646C"/>
    <w:rsid w:val="00B16853"/>
    <w:rsid w:val="00B169D9"/>
    <w:rsid w:val="00B16B60"/>
    <w:rsid w:val="00B16CBA"/>
    <w:rsid w:val="00B176C3"/>
    <w:rsid w:val="00B177F5"/>
    <w:rsid w:val="00B2012B"/>
    <w:rsid w:val="00B2099D"/>
    <w:rsid w:val="00B20DC5"/>
    <w:rsid w:val="00B219A4"/>
    <w:rsid w:val="00B21F46"/>
    <w:rsid w:val="00B222AD"/>
    <w:rsid w:val="00B22D47"/>
    <w:rsid w:val="00B22E09"/>
    <w:rsid w:val="00B2307C"/>
    <w:rsid w:val="00B23337"/>
    <w:rsid w:val="00B23513"/>
    <w:rsid w:val="00B239ED"/>
    <w:rsid w:val="00B23BFE"/>
    <w:rsid w:val="00B23C14"/>
    <w:rsid w:val="00B24069"/>
    <w:rsid w:val="00B2414C"/>
    <w:rsid w:val="00B24A78"/>
    <w:rsid w:val="00B24F5B"/>
    <w:rsid w:val="00B2533A"/>
    <w:rsid w:val="00B257A2"/>
    <w:rsid w:val="00B258D1"/>
    <w:rsid w:val="00B25C1A"/>
    <w:rsid w:val="00B2625A"/>
    <w:rsid w:val="00B263A5"/>
    <w:rsid w:val="00B26650"/>
    <w:rsid w:val="00B26776"/>
    <w:rsid w:val="00B26873"/>
    <w:rsid w:val="00B26B24"/>
    <w:rsid w:val="00B276BC"/>
    <w:rsid w:val="00B30546"/>
    <w:rsid w:val="00B31107"/>
    <w:rsid w:val="00B31187"/>
    <w:rsid w:val="00B31800"/>
    <w:rsid w:val="00B31E47"/>
    <w:rsid w:val="00B31EBE"/>
    <w:rsid w:val="00B3202F"/>
    <w:rsid w:val="00B3224A"/>
    <w:rsid w:val="00B3276C"/>
    <w:rsid w:val="00B327ED"/>
    <w:rsid w:val="00B33384"/>
    <w:rsid w:val="00B335AA"/>
    <w:rsid w:val="00B33B4E"/>
    <w:rsid w:val="00B34556"/>
    <w:rsid w:val="00B346C8"/>
    <w:rsid w:val="00B349F0"/>
    <w:rsid w:val="00B34A2E"/>
    <w:rsid w:val="00B34C5C"/>
    <w:rsid w:val="00B34F6F"/>
    <w:rsid w:val="00B3567B"/>
    <w:rsid w:val="00B3591F"/>
    <w:rsid w:val="00B3593E"/>
    <w:rsid w:val="00B35F00"/>
    <w:rsid w:val="00B36D09"/>
    <w:rsid w:val="00B36FCA"/>
    <w:rsid w:val="00B37526"/>
    <w:rsid w:val="00B37561"/>
    <w:rsid w:val="00B37745"/>
    <w:rsid w:val="00B37F4B"/>
    <w:rsid w:val="00B40A41"/>
    <w:rsid w:val="00B40B02"/>
    <w:rsid w:val="00B40C3E"/>
    <w:rsid w:val="00B40EBF"/>
    <w:rsid w:val="00B41475"/>
    <w:rsid w:val="00B41D23"/>
    <w:rsid w:val="00B42046"/>
    <w:rsid w:val="00B4209B"/>
    <w:rsid w:val="00B431B7"/>
    <w:rsid w:val="00B431ED"/>
    <w:rsid w:val="00B43DC3"/>
    <w:rsid w:val="00B441C6"/>
    <w:rsid w:val="00B446AA"/>
    <w:rsid w:val="00B44BF0"/>
    <w:rsid w:val="00B45631"/>
    <w:rsid w:val="00B456F7"/>
    <w:rsid w:val="00B459C0"/>
    <w:rsid w:val="00B46262"/>
    <w:rsid w:val="00B4698C"/>
    <w:rsid w:val="00B4729F"/>
    <w:rsid w:val="00B472B9"/>
    <w:rsid w:val="00B47626"/>
    <w:rsid w:val="00B50058"/>
    <w:rsid w:val="00B5095A"/>
    <w:rsid w:val="00B50BB3"/>
    <w:rsid w:val="00B51392"/>
    <w:rsid w:val="00B51A87"/>
    <w:rsid w:val="00B51CD2"/>
    <w:rsid w:val="00B5232B"/>
    <w:rsid w:val="00B5289B"/>
    <w:rsid w:val="00B52E39"/>
    <w:rsid w:val="00B530B2"/>
    <w:rsid w:val="00B530F1"/>
    <w:rsid w:val="00B53250"/>
    <w:rsid w:val="00B532B3"/>
    <w:rsid w:val="00B53626"/>
    <w:rsid w:val="00B54123"/>
    <w:rsid w:val="00B541BC"/>
    <w:rsid w:val="00B54326"/>
    <w:rsid w:val="00B54546"/>
    <w:rsid w:val="00B54AA2"/>
    <w:rsid w:val="00B54F5D"/>
    <w:rsid w:val="00B555E4"/>
    <w:rsid w:val="00B558F8"/>
    <w:rsid w:val="00B55D69"/>
    <w:rsid w:val="00B55FD4"/>
    <w:rsid w:val="00B562EA"/>
    <w:rsid w:val="00B56308"/>
    <w:rsid w:val="00B5752E"/>
    <w:rsid w:val="00B577FB"/>
    <w:rsid w:val="00B57FFD"/>
    <w:rsid w:val="00B601F5"/>
    <w:rsid w:val="00B609DF"/>
    <w:rsid w:val="00B609E3"/>
    <w:rsid w:val="00B61071"/>
    <w:rsid w:val="00B611E4"/>
    <w:rsid w:val="00B611E7"/>
    <w:rsid w:val="00B61225"/>
    <w:rsid w:val="00B61537"/>
    <w:rsid w:val="00B61B40"/>
    <w:rsid w:val="00B62837"/>
    <w:rsid w:val="00B6291B"/>
    <w:rsid w:val="00B636C9"/>
    <w:rsid w:val="00B63B29"/>
    <w:rsid w:val="00B63C2B"/>
    <w:rsid w:val="00B63ED3"/>
    <w:rsid w:val="00B64203"/>
    <w:rsid w:val="00B64465"/>
    <w:rsid w:val="00B64700"/>
    <w:rsid w:val="00B64C1F"/>
    <w:rsid w:val="00B64D25"/>
    <w:rsid w:val="00B650B4"/>
    <w:rsid w:val="00B6566A"/>
    <w:rsid w:val="00B656C2"/>
    <w:rsid w:val="00B65F01"/>
    <w:rsid w:val="00B6653C"/>
    <w:rsid w:val="00B66802"/>
    <w:rsid w:val="00B66A0C"/>
    <w:rsid w:val="00B6728B"/>
    <w:rsid w:val="00B6776B"/>
    <w:rsid w:val="00B67CDD"/>
    <w:rsid w:val="00B67DF4"/>
    <w:rsid w:val="00B67E0F"/>
    <w:rsid w:val="00B67F38"/>
    <w:rsid w:val="00B67F83"/>
    <w:rsid w:val="00B70055"/>
    <w:rsid w:val="00B70101"/>
    <w:rsid w:val="00B7015C"/>
    <w:rsid w:val="00B701B4"/>
    <w:rsid w:val="00B7075B"/>
    <w:rsid w:val="00B70D15"/>
    <w:rsid w:val="00B715F9"/>
    <w:rsid w:val="00B7196A"/>
    <w:rsid w:val="00B71A41"/>
    <w:rsid w:val="00B71A79"/>
    <w:rsid w:val="00B71AAA"/>
    <w:rsid w:val="00B72154"/>
    <w:rsid w:val="00B72328"/>
    <w:rsid w:val="00B725A9"/>
    <w:rsid w:val="00B72730"/>
    <w:rsid w:val="00B727E4"/>
    <w:rsid w:val="00B728EF"/>
    <w:rsid w:val="00B731F4"/>
    <w:rsid w:val="00B73461"/>
    <w:rsid w:val="00B73922"/>
    <w:rsid w:val="00B73979"/>
    <w:rsid w:val="00B73B36"/>
    <w:rsid w:val="00B74889"/>
    <w:rsid w:val="00B748FD"/>
    <w:rsid w:val="00B74A3F"/>
    <w:rsid w:val="00B75114"/>
    <w:rsid w:val="00B7511D"/>
    <w:rsid w:val="00B7526D"/>
    <w:rsid w:val="00B754F5"/>
    <w:rsid w:val="00B759C5"/>
    <w:rsid w:val="00B75DE4"/>
    <w:rsid w:val="00B760B2"/>
    <w:rsid w:val="00B761BD"/>
    <w:rsid w:val="00B767CC"/>
    <w:rsid w:val="00B77618"/>
    <w:rsid w:val="00B7767B"/>
    <w:rsid w:val="00B77DF8"/>
    <w:rsid w:val="00B8000A"/>
    <w:rsid w:val="00B802BE"/>
    <w:rsid w:val="00B80ACF"/>
    <w:rsid w:val="00B80C51"/>
    <w:rsid w:val="00B80CC0"/>
    <w:rsid w:val="00B80E80"/>
    <w:rsid w:val="00B814C8"/>
    <w:rsid w:val="00B8155B"/>
    <w:rsid w:val="00B81D4E"/>
    <w:rsid w:val="00B81E45"/>
    <w:rsid w:val="00B82262"/>
    <w:rsid w:val="00B82C52"/>
    <w:rsid w:val="00B83B0B"/>
    <w:rsid w:val="00B847CB"/>
    <w:rsid w:val="00B84959"/>
    <w:rsid w:val="00B84989"/>
    <w:rsid w:val="00B84A07"/>
    <w:rsid w:val="00B84E75"/>
    <w:rsid w:val="00B84EF3"/>
    <w:rsid w:val="00B84F49"/>
    <w:rsid w:val="00B85053"/>
    <w:rsid w:val="00B853A3"/>
    <w:rsid w:val="00B85514"/>
    <w:rsid w:val="00B859A3"/>
    <w:rsid w:val="00B85AD5"/>
    <w:rsid w:val="00B85B94"/>
    <w:rsid w:val="00B85BA4"/>
    <w:rsid w:val="00B85C59"/>
    <w:rsid w:val="00B85E0E"/>
    <w:rsid w:val="00B86152"/>
    <w:rsid w:val="00B86403"/>
    <w:rsid w:val="00B864F9"/>
    <w:rsid w:val="00B86856"/>
    <w:rsid w:val="00B86AF6"/>
    <w:rsid w:val="00B86FE3"/>
    <w:rsid w:val="00B874EA"/>
    <w:rsid w:val="00B876D7"/>
    <w:rsid w:val="00B87C83"/>
    <w:rsid w:val="00B90ED9"/>
    <w:rsid w:val="00B91207"/>
    <w:rsid w:val="00B912B5"/>
    <w:rsid w:val="00B91995"/>
    <w:rsid w:val="00B92688"/>
    <w:rsid w:val="00B927AC"/>
    <w:rsid w:val="00B92D45"/>
    <w:rsid w:val="00B92E34"/>
    <w:rsid w:val="00B9312B"/>
    <w:rsid w:val="00B933EE"/>
    <w:rsid w:val="00B93423"/>
    <w:rsid w:val="00B93A7B"/>
    <w:rsid w:val="00B93C2E"/>
    <w:rsid w:val="00B9402B"/>
    <w:rsid w:val="00B94803"/>
    <w:rsid w:val="00B94D8E"/>
    <w:rsid w:val="00B94DB1"/>
    <w:rsid w:val="00B95492"/>
    <w:rsid w:val="00B954F1"/>
    <w:rsid w:val="00B956CB"/>
    <w:rsid w:val="00B95A5E"/>
    <w:rsid w:val="00B95F5D"/>
    <w:rsid w:val="00B96062"/>
    <w:rsid w:val="00B96120"/>
    <w:rsid w:val="00B96226"/>
    <w:rsid w:val="00B96953"/>
    <w:rsid w:val="00B96B23"/>
    <w:rsid w:val="00B974B7"/>
    <w:rsid w:val="00B97540"/>
    <w:rsid w:val="00B97707"/>
    <w:rsid w:val="00B97A3F"/>
    <w:rsid w:val="00B97B45"/>
    <w:rsid w:val="00BA020C"/>
    <w:rsid w:val="00BA0238"/>
    <w:rsid w:val="00BA031D"/>
    <w:rsid w:val="00BA05D1"/>
    <w:rsid w:val="00BA06B0"/>
    <w:rsid w:val="00BA0CF0"/>
    <w:rsid w:val="00BA0EA9"/>
    <w:rsid w:val="00BA1222"/>
    <w:rsid w:val="00BA146F"/>
    <w:rsid w:val="00BA1472"/>
    <w:rsid w:val="00BA1570"/>
    <w:rsid w:val="00BA1F66"/>
    <w:rsid w:val="00BA1FE0"/>
    <w:rsid w:val="00BA22FA"/>
    <w:rsid w:val="00BA3686"/>
    <w:rsid w:val="00BA3954"/>
    <w:rsid w:val="00BA3B36"/>
    <w:rsid w:val="00BA3E18"/>
    <w:rsid w:val="00BA3E9D"/>
    <w:rsid w:val="00BA4265"/>
    <w:rsid w:val="00BA434D"/>
    <w:rsid w:val="00BA445F"/>
    <w:rsid w:val="00BA4777"/>
    <w:rsid w:val="00BA51A8"/>
    <w:rsid w:val="00BA58E9"/>
    <w:rsid w:val="00BA5E81"/>
    <w:rsid w:val="00BA63BC"/>
    <w:rsid w:val="00BA6475"/>
    <w:rsid w:val="00BA65F5"/>
    <w:rsid w:val="00BA6946"/>
    <w:rsid w:val="00BA6A40"/>
    <w:rsid w:val="00BA6C72"/>
    <w:rsid w:val="00BA6CA6"/>
    <w:rsid w:val="00BA6D0F"/>
    <w:rsid w:val="00BA6DCA"/>
    <w:rsid w:val="00BA7B3A"/>
    <w:rsid w:val="00BB00FC"/>
    <w:rsid w:val="00BB0440"/>
    <w:rsid w:val="00BB0D2C"/>
    <w:rsid w:val="00BB0FE2"/>
    <w:rsid w:val="00BB1825"/>
    <w:rsid w:val="00BB1888"/>
    <w:rsid w:val="00BB190E"/>
    <w:rsid w:val="00BB199F"/>
    <w:rsid w:val="00BB1B64"/>
    <w:rsid w:val="00BB22DA"/>
    <w:rsid w:val="00BB25F7"/>
    <w:rsid w:val="00BB26AE"/>
    <w:rsid w:val="00BB2BBA"/>
    <w:rsid w:val="00BB2DFE"/>
    <w:rsid w:val="00BB346C"/>
    <w:rsid w:val="00BB369C"/>
    <w:rsid w:val="00BB3944"/>
    <w:rsid w:val="00BB3BE0"/>
    <w:rsid w:val="00BB3EE3"/>
    <w:rsid w:val="00BB41C5"/>
    <w:rsid w:val="00BB4432"/>
    <w:rsid w:val="00BB4965"/>
    <w:rsid w:val="00BB4F7C"/>
    <w:rsid w:val="00BB4F9C"/>
    <w:rsid w:val="00BB50C1"/>
    <w:rsid w:val="00BB58A1"/>
    <w:rsid w:val="00BB5E57"/>
    <w:rsid w:val="00BB5E94"/>
    <w:rsid w:val="00BB5EBC"/>
    <w:rsid w:val="00BB5FF4"/>
    <w:rsid w:val="00BB6B89"/>
    <w:rsid w:val="00BB7654"/>
    <w:rsid w:val="00BB7933"/>
    <w:rsid w:val="00BB794D"/>
    <w:rsid w:val="00BC019A"/>
    <w:rsid w:val="00BC052E"/>
    <w:rsid w:val="00BC0657"/>
    <w:rsid w:val="00BC0890"/>
    <w:rsid w:val="00BC0B3D"/>
    <w:rsid w:val="00BC0CD3"/>
    <w:rsid w:val="00BC11CD"/>
    <w:rsid w:val="00BC1C2A"/>
    <w:rsid w:val="00BC2501"/>
    <w:rsid w:val="00BC2601"/>
    <w:rsid w:val="00BC353C"/>
    <w:rsid w:val="00BC43F6"/>
    <w:rsid w:val="00BC4505"/>
    <w:rsid w:val="00BC45C2"/>
    <w:rsid w:val="00BC4B8E"/>
    <w:rsid w:val="00BC4CDB"/>
    <w:rsid w:val="00BC4F14"/>
    <w:rsid w:val="00BC50A6"/>
    <w:rsid w:val="00BC52E1"/>
    <w:rsid w:val="00BC54CD"/>
    <w:rsid w:val="00BC54FE"/>
    <w:rsid w:val="00BC57A3"/>
    <w:rsid w:val="00BC5929"/>
    <w:rsid w:val="00BC5E3E"/>
    <w:rsid w:val="00BC5FA5"/>
    <w:rsid w:val="00BC6000"/>
    <w:rsid w:val="00BC6006"/>
    <w:rsid w:val="00BC6226"/>
    <w:rsid w:val="00BC666F"/>
    <w:rsid w:val="00BC6C77"/>
    <w:rsid w:val="00BC6EFD"/>
    <w:rsid w:val="00BC7BE5"/>
    <w:rsid w:val="00BC7E8B"/>
    <w:rsid w:val="00BD0052"/>
    <w:rsid w:val="00BD05DC"/>
    <w:rsid w:val="00BD0799"/>
    <w:rsid w:val="00BD0966"/>
    <w:rsid w:val="00BD0CE2"/>
    <w:rsid w:val="00BD0E57"/>
    <w:rsid w:val="00BD0EAA"/>
    <w:rsid w:val="00BD142B"/>
    <w:rsid w:val="00BD1A05"/>
    <w:rsid w:val="00BD21CC"/>
    <w:rsid w:val="00BD2927"/>
    <w:rsid w:val="00BD29E6"/>
    <w:rsid w:val="00BD335A"/>
    <w:rsid w:val="00BD3D9A"/>
    <w:rsid w:val="00BD40A6"/>
    <w:rsid w:val="00BD4396"/>
    <w:rsid w:val="00BD45A3"/>
    <w:rsid w:val="00BD65CD"/>
    <w:rsid w:val="00BD668D"/>
    <w:rsid w:val="00BD6BF2"/>
    <w:rsid w:val="00BD6FB2"/>
    <w:rsid w:val="00BD70FE"/>
    <w:rsid w:val="00BD7194"/>
    <w:rsid w:val="00BD7EEF"/>
    <w:rsid w:val="00BE00EF"/>
    <w:rsid w:val="00BE0781"/>
    <w:rsid w:val="00BE0808"/>
    <w:rsid w:val="00BE0918"/>
    <w:rsid w:val="00BE094B"/>
    <w:rsid w:val="00BE0B76"/>
    <w:rsid w:val="00BE0B9A"/>
    <w:rsid w:val="00BE1077"/>
    <w:rsid w:val="00BE1125"/>
    <w:rsid w:val="00BE1667"/>
    <w:rsid w:val="00BE19FF"/>
    <w:rsid w:val="00BE1A5B"/>
    <w:rsid w:val="00BE210F"/>
    <w:rsid w:val="00BE25B0"/>
    <w:rsid w:val="00BE305F"/>
    <w:rsid w:val="00BE3298"/>
    <w:rsid w:val="00BE3772"/>
    <w:rsid w:val="00BE40A4"/>
    <w:rsid w:val="00BE4505"/>
    <w:rsid w:val="00BE4525"/>
    <w:rsid w:val="00BE4553"/>
    <w:rsid w:val="00BE4B81"/>
    <w:rsid w:val="00BE4BDA"/>
    <w:rsid w:val="00BE4C62"/>
    <w:rsid w:val="00BE4F49"/>
    <w:rsid w:val="00BE52D8"/>
    <w:rsid w:val="00BE5AA4"/>
    <w:rsid w:val="00BE6292"/>
    <w:rsid w:val="00BE6376"/>
    <w:rsid w:val="00BE687B"/>
    <w:rsid w:val="00BE6AD9"/>
    <w:rsid w:val="00BE71E9"/>
    <w:rsid w:val="00BE7450"/>
    <w:rsid w:val="00BE794A"/>
    <w:rsid w:val="00BE7A59"/>
    <w:rsid w:val="00BE7CA6"/>
    <w:rsid w:val="00BF050D"/>
    <w:rsid w:val="00BF0963"/>
    <w:rsid w:val="00BF0A9C"/>
    <w:rsid w:val="00BF13D6"/>
    <w:rsid w:val="00BF1761"/>
    <w:rsid w:val="00BF1A8F"/>
    <w:rsid w:val="00BF1D4C"/>
    <w:rsid w:val="00BF1F79"/>
    <w:rsid w:val="00BF2116"/>
    <w:rsid w:val="00BF228D"/>
    <w:rsid w:val="00BF26A0"/>
    <w:rsid w:val="00BF2B87"/>
    <w:rsid w:val="00BF2BF9"/>
    <w:rsid w:val="00BF2F8F"/>
    <w:rsid w:val="00BF317C"/>
    <w:rsid w:val="00BF3C77"/>
    <w:rsid w:val="00BF41B4"/>
    <w:rsid w:val="00BF4314"/>
    <w:rsid w:val="00BF44EC"/>
    <w:rsid w:val="00BF47DC"/>
    <w:rsid w:val="00BF48A5"/>
    <w:rsid w:val="00BF4C89"/>
    <w:rsid w:val="00BF4C97"/>
    <w:rsid w:val="00BF5147"/>
    <w:rsid w:val="00BF5688"/>
    <w:rsid w:val="00BF5CE0"/>
    <w:rsid w:val="00BF5F68"/>
    <w:rsid w:val="00BF62BD"/>
    <w:rsid w:val="00BF6303"/>
    <w:rsid w:val="00BF67F5"/>
    <w:rsid w:val="00BF693E"/>
    <w:rsid w:val="00BF6998"/>
    <w:rsid w:val="00BF6B96"/>
    <w:rsid w:val="00BF7532"/>
    <w:rsid w:val="00BF78A8"/>
    <w:rsid w:val="00BF7C4F"/>
    <w:rsid w:val="00BF7D2E"/>
    <w:rsid w:val="00C00531"/>
    <w:rsid w:val="00C00564"/>
    <w:rsid w:val="00C00CF8"/>
    <w:rsid w:val="00C00DBD"/>
    <w:rsid w:val="00C02C4D"/>
    <w:rsid w:val="00C02E8E"/>
    <w:rsid w:val="00C03AEF"/>
    <w:rsid w:val="00C048A2"/>
    <w:rsid w:val="00C04E2B"/>
    <w:rsid w:val="00C05240"/>
    <w:rsid w:val="00C05AEF"/>
    <w:rsid w:val="00C05E8F"/>
    <w:rsid w:val="00C05FAA"/>
    <w:rsid w:val="00C06179"/>
    <w:rsid w:val="00C066BE"/>
    <w:rsid w:val="00C06A76"/>
    <w:rsid w:val="00C071D0"/>
    <w:rsid w:val="00C0760B"/>
    <w:rsid w:val="00C079BB"/>
    <w:rsid w:val="00C1020B"/>
    <w:rsid w:val="00C102F9"/>
    <w:rsid w:val="00C10B9D"/>
    <w:rsid w:val="00C10CC8"/>
    <w:rsid w:val="00C11050"/>
    <w:rsid w:val="00C1142A"/>
    <w:rsid w:val="00C119A5"/>
    <w:rsid w:val="00C12324"/>
    <w:rsid w:val="00C12AB3"/>
    <w:rsid w:val="00C12ED5"/>
    <w:rsid w:val="00C13126"/>
    <w:rsid w:val="00C13154"/>
    <w:rsid w:val="00C132B5"/>
    <w:rsid w:val="00C135A5"/>
    <w:rsid w:val="00C13BCD"/>
    <w:rsid w:val="00C14601"/>
    <w:rsid w:val="00C1471D"/>
    <w:rsid w:val="00C151E7"/>
    <w:rsid w:val="00C159B1"/>
    <w:rsid w:val="00C15B0A"/>
    <w:rsid w:val="00C160F0"/>
    <w:rsid w:val="00C1623E"/>
    <w:rsid w:val="00C163AC"/>
    <w:rsid w:val="00C16B88"/>
    <w:rsid w:val="00C16B99"/>
    <w:rsid w:val="00C16BF7"/>
    <w:rsid w:val="00C1710D"/>
    <w:rsid w:val="00C17998"/>
    <w:rsid w:val="00C17CC9"/>
    <w:rsid w:val="00C17FA3"/>
    <w:rsid w:val="00C20795"/>
    <w:rsid w:val="00C20A70"/>
    <w:rsid w:val="00C20A9E"/>
    <w:rsid w:val="00C20C3E"/>
    <w:rsid w:val="00C20F82"/>
    <w:rsid w:val="00C210C8"/>
    <w:rsid w:val="00C21180"/>
    <w:rsid w:val="00C21463"/>
    <w:rsid w:val="00C215FE"/>
    <w:rsid w:val="00C22648"/>
    <w:rsid w:val="00C22692"/>
    <w:rsid w:val="00C22936"/>
    <w:rsid w:val="00C22AA4"/>
    <w:rsid w:val="00C22F34"/>
    <w:rsid w:val="00C2334B"/>
    <w:rsid w:val="00C237D5"/>
    <w:rsid w:val="00C2447C"/>
    <w:rsid w:val="00C2465F"/>
    <w:rsid w:val="00C247F5"/>
    <w:rsid w:val="00C24B34"/>
    <w:rsid w:val="00C24BA7"/>
    <w:rsid w:val="00C24E84"/>
    <w:rsid w:val="00C25026"/>
    <w:rsid w:val="00C251E2"/>
    <w:rsid w:val="00C25451"/>
    <w:rsid w:val="00C25C69"/>
    <w:rsid w:val="00C269B6"/>
    <w:rsid w:val="00C26E7A"/>
    <w:rsid w:val="00C27419"/>
    <w:rsid w:val="00C274F9"/>
    <w:rsid w:val="00C27C62"/>
    <w:rsid w:val="00C27E3F"/>
    <w:rsid w:val="00C30354"/>
    <w:rsid w:val="00C30624"/>
    <w:rsid w:val="00C306ED"/>
    <w:rsid w:val="00C308D1"/>
    <w:rsid w:val="00C309EE"/>
    <w:rsid w:val="00C30C65"/>
    <w:rsid w:val="00C3237D"/>
    <w:rsid w:val="00C32B78"/>
    <w:rsid w:val="00C32DB5"/>
    <w:rsid w:val="00C32DD0"/>
    <w:rsid w:val="00C33639"/>
    <w:rsid w:val="00C33C5D"/>
    <w:rsid w:val="00C33CA7"/>
    <w:rsid w:val="00C33D48"/>
    <w:rsid w:val="00C34140"/>
    <w:rsid w:val="00C342EC"/>
    <w:rsid w:val="00C34513"/>
    <w:rsid w:val="00C34839"/>
    <w:rsid w:val="00C35BB9"/>
    <w:rsid w:val="00C35EBC"/>
    <w:rsid w:val="00C35F07"/>
    <w:rsid w:val="00C35FD1"/>
    <w:rsid w:val="00C360EA"/>
    <w:rsid w:val="00C361BC"/>
    <w:rsid w:val="00C3694E"/>
    <w:rsid w:val="00C36BC9"/>
    <w:rsid w:val="00C372E0"/>
    <w:rsid w:val="00C37C7C"/>
    <w:rsid w:val="00C4022F"/>
    <w:rsid w:val="00C405BE"/>
    <w:rsid w:val="00C4097C"/>
    <w:rsid w:val="00C417DD"/>
    <w:rsid w:val="00C418BC"/>
    <w:rsid w:val="00C41ECE"/>
    <w:rsid w:val="00C41EE3"/>
    <w:rsid w:val="00C42339"/>
    <w:rsid w:val="00C4259F"/>
    <w:rsid w:val="00C427CB"/>
    <w:rsid w:val="00C42F33"/>
    <w:rsid w:val="00C4368A"/>
    <w:rsid w:val="00C43882"/>
    <w:rsid w:val="00C439D6"/>
    <w:rsid w:val="00C43D77"/>
    <w:rsid w:val="00C43D78"/>
    <w:rsid w:val="00C44500"/>
    <w:rsid w:val="00C449E4"/>
    <w:rsid w:val="00C44BB4"/>
    <w:rsid w:val="00C44D3E"/>
    <w:rsid w:val="00C44FAB"/>
    <w:rsid w:val="00C453A5"/>
    <w:rsid w:val="00C45560"/>
    <w:rsid w:val="00C455FC"/>
    <w:rsid w:val="00C45762"/>
    <w:rsid w:val="00C4583D"/>
    <w:rsid w:val="00C45A1F"/>
    <w:rsid w:val="00C46363"/>
    <w:rsid w:val="00C46780"/>
    <w:rsid w:val="00C46909"/>
    <w:rsid w:val="00C46DD7"/>
    <w:rsid w:val="00C46F70"/>
    <w:rsid w:val="00C46FA0"/>
    <w:rsid w:val="00C4706E"/>
    <w:rsid w:val="00C47692"/>
    <w:rsid w:val="00C4777B"/>
    <w:rsid w:val="00C47C28"/>
    <w:rsid w:val="00C47C8C"/>
    <w:rsid w:val="00C50025"/>
    <w:rsid w:val="00C50135"/>
    <w:rsid w:val="00C50150"/>
    <w:rsid w:val="00C50288"/>
    <w:rsid w:val="00C5032B"/>
    <w:rsid w:val="00C503F4"/>
    <w:rsid w:val="00C50800"/>
    <w:rsid w:val="00C50A36"/>
    <w:rsid w:val="00C50E69"/>
    <w:rsid w:val="00C511CF"/>
    <w:rsid w:val="00C51385"/>
    <w:rsid w:val="00C51545"/>
    <w:rsid w:val="00C52038"/>
    <w:rsid w:val="00C523AB"/>
    <w:rsid w:val="00C52461"/>
    <w:rsid w:val="00C52617"/>
    <w:rsid w:val="00C5290D"/>
    <w:rsid w:val="00C52F5D"/>
    <w:rsid w:val="00C53214"/>
    <w:rsid w:val="00C53394"/>
    <w:rsid w:val="00C533DF"/>
    <w:rsid w:val="00C53773"/>
    <w:rsid w:val="00C5389B"/>
    <w:rsid w:val="00C53B79"/>
    <w:rsid w:val="00C53D34"/>
    <w:rsid w:val="00C540F6"/>
    <w:rsid w:val="00C546D8"/>
    <w:rsid w:val="00C54A57"/>
    <w:rsid w:val="00C54C51"/>
    <w:rsid w:val="00C5592A"/>
    <w:rsid w:val="00C55982"/>
    <w:rsid w:val="00C55A3D"/>
    <w:rsid w:val="00C55AD5"/>
    <w:rsid w:val="00C55E28"/>
    <w:rsid w:val="00C56006"/>
    <w:rsid w:val="00C565AC"/>
    <w:rsid w:val="00C56702"/>
    <w:rsid w:val="00C56A64"/>
    <w:rsid w:val="00C57480"/>
    <w:rsid w:val="00C57DF1"/>
    <w:rsid w:val="00C60089"/>
    <w:rsid w:val="00C604C1"/>
    <w:rsid w:val="00C6091C"/>
    <w:rsid w:val="00C60C4F"/>
    <w:rsid w:val="00C60D66"/>
    <w:rsid w:val="00C61614"/>
    <w:rsid w:val="00C61A1B"/>
    <w:rsid w:val="00C61B5F"/>
    <w:rsid w:val="00C631B9"/>
    <w:rsid w:val="00C6327E"/>
    <w:rsid w:val="00C63C2D"/>
    <w:rsid w:val="00C63D44"/>
    <w:rsid w:val="00C643D1"/>
    <w:rsid w:val="00C6456C"/>
    <w:rsid w:val="00C6497D"/>
    <w:rsid w:val="00C64BA0"/>
    <w:rsid w:val="00C6500C"/>
    <w:rsid w:val="00C6506E"/>
    <w:rsid w:val="00C6518D"/>
    <w:rsid w:val="00C65555"/>
    <w:rsid w:val="00C65AC4"/>
    <w:rsid w:val="00C65C4F"/>
    <w:rsid w:val="00C65D17"/>
    <w:rsid w:val="00C65FCD"/>
    <w:rsid w:val="00C6621A"/>
    <w:rsid w:val="00C667A6"/>
    <w:rsid w:val="00C66F1C"/>
    <w:rsid w:val="00C67031"/>
    <w:rsid w:val="00C67411"/>
    <w:rsid w:val="00C678BB"/>
    <w:rsid w:val="00C67B3F"/>
    <w:rsid w:val="00C70653"/>
    <w:rsid w:val="00C7138F"/>
    <w:rsid w:val="00C714B9"/>
    <w:rsid w:val="00C719B2"/>
    <w:rsid w:val="00C71C0C"/>
    <w:rsid w:val="00C72501"/>
    <w:rsid w:val="00C72C62"/>
    <w:rsid w:val="00C72D39"/>
    <w:rsid w:val="00C7303A"/>
    <w:rsid w:val="00C73096"/>
    <w:rsid w:val="00C730D1"/>
    <w:rsid w:val="00C734D3"/>
    <w:rsid w:val="00C735C8"/>
    <w:rsid w:val="00C7387D"/>
    <w:rsid w:val="00C73E47"/>
    <w:rsid w:val="00C742E0"/>
    <w:rsid w:val="00C74424"/>
    <w:rsid w:val="00C74839"/>
    <w:rsid w:val="00C74EBC"/>
    <w:rsid w:val="00C7501E"/>
    <w:rsid w:val="00C753DB"/>
    <w:rsid w:val="00C75A58"/>
    <w:rsid w:val="00C75C43"/>
    <w:rsid w:val="00C761B6"/>
    <w:rsid w:val="00C76F45"/>
    <w:rsid w:val="00C775A7"/>
    <w:rsid w:val="00C777A7"/>
    <w:rsid w:val="00C77B3B"/>
    <w:rsid w:val="00C80633"/>
    <w:rsid w:val="00C810BE"/>
    <w:rsid w:val="00C81354"/>
    <w:rsid w:val="00C81361"/>
    <w:rsid w:val="00C8150C"/>
    <w:rsid w:val="00C81570"/>
    <w:rsid w:val="00C8176A"/>
    <w:rsid w:val="00C8180A"/>
    <w:rsid w:val="00C81C46"/>
    <w:rsid w:val="00C8228E"/>
    <w:rsid w:val="00C8297F"/>
    <w:rsid w:val="00C82A3E"/>
    <w:rsid w:val="00C82C61"/>
    <w:rsid w:val="00C8317F"/>
    <w:rsid w:val="00C831EE"/>
    <w:rsid w:val="00C83211"/>
    <w:rsid w:val="00C83DD1"/>
    <w:rsid w:val="00C83E0B"/>
    <w:rsid w:val="00C84D8A"/>
    <w:rsid w:val="00C84F0D"/>
    <w:rsid w:val="00C85127"/>
    <w:rsid w:val="00C858ED"/>
    <w:rsid w:val="00C8682C"/>
    <w:rsid w:val="00C8684D"/>
    <w:rsid w:val="00C86895"/>
    <w:rsid w:val="00C86A19"/>
    <w:rsid w:val="00C86E03"/>
    <w:rsid w:val="00C86E61"/>
    <w:rsid w:val="00C86EAC"/>
    <w:rsid w:val="00C8703C"/>
    <w:rsid w:val="00C874BA"/>
    <w:rsid w:val="00C87952"/>
    <w:rsid w:val="00C87C25"/>
    <w:rsid w:val="00C87EA8"/>
    <w:rsid w:val="00C87FF3"/>
    <w:rsid w:val="00C903C0"/>
    <w:rsid w:val="00C904AF"/>
    <w:rsid w:val="00C9071A"/>
    <w:rsid w:val="00C90757"/>
    <w:rsid w:val="00C90AE2"/>
    <w:rsid w:val="00C90BB9"/>
    <w:rsid w:val="00C9152A"/>
    <w:rsid w:val="00C91786"/>
    <w:rsid w:val="00C91A65"/>
    <w:rsid w:val="00C9221A"/>
    <w:rsid w:val="00C923F5"/>
    <w:rsid w:val="00C92733"/>
    <w:rsid w:val="00C92998"/>
    <w:rsid w:val="00C92A40"/>
    <w:rsid w:val="00C92FA0"/>
    <w:rsid w:val="00C92FC9"/>
    <w:rsid w:val="00C9372A"/>
    <w:rsid w:val="00C938D8"/>
    <w:rsid w:val="00C93AEA"/>
    <w:rsid w:val="00C93E06"/>
    <w:rsid w:val="00C94061"/>
    <w:rsid w:val="00C947CC"/>
    <w:rsid w:val="00C94D0F"/>
    <w:rsid w:val="00C950CA"/>
    <w:rsid w:val="00C95260"/>
    <w:rsid w:val="00C95721"/>
    <w:rsid w:val="00C95762"/>
    <w:rsid w:val="00C95B68"/>
    <w:rsid w:val="00C95E35"/>
    <w:rsid w:val="00C95F49"/>
    <w:rsid w:val="00C96CAC"/>
    <w:rsid w:val="00C96CE1"/>
    <w:rsid w:val="00C97456"/>
    <w:rsid w:val="00C97640"/>
    <w:rsid w:val="00C97669"/>
    <w:rsid w:val="00CA0A93"/>
    <w:rsid w:val="00CA13EA"/>
    <w:rsid w:val="00CA159B"/>
    <w:rsid w:val="00CA1BBB"/>
    <w:rsid w:val="00CA1D0A"/>
    <w:rsid w:val="00CA2216"/>
    <w:rsid w:val="00CA2650"/>
    <w:rsid w:val="00CA2A37"/>
    <w:rsid w:val="00CA2B8C"/>
    <w:rsid w:val="00CA37A3"/>
    <w:rsid w:val="00CA38B8"/>
    <w:rsid w:val="00CA3B51"/>
    <w:rsid w:val="00CA3D52"/>
    <w:rsid w:val="00CA520A"/>
    <w:rsid w:val="00CA560F"/>
    <w:rsid w:val="00CA571D"/>
    <w:rsid w:val="00CA5753"/>
    <w:rsid w:val="00CA5880"/>
    <w:rsid w:val="00CA68F2"/>
    <w:rsid w:val="00CA70E6"/>
    <w:rsid w:val="00CA78B3"/>
    <w:rsid w:val="00CA78E5"/>
    <w:rsid w:val="00CA7D31"/>
    <w:rsid w:val="00CA7D95"/>
    <w:rsid w:val="00CA7E33"/>
    <w:rsid w:val="00CB01F1"/>
    <w:rsid w:val="00CB0226"/>
    <w:rsid w:val="00CB0308"/>
    <w:rsid w:val="00CB0317"/>
    <w:rsid w:val="00CB0937"/>
    <w:rsid w:val="00CB0BD2"/>
    <w:rsid w:val="00CB0EF9"/>
    <w:rsid w:val="00CB1004"/>
    <w:rsid w:val="00CB14C5"/>
    <w:rsid w:val="00CB1D79"/>
    <w:rsid w:val="00CB207E"/>
    <w:rsid w:val="00CB254C"/>
    <w:rsid w:val="00CB2970"/>
    <w:rsid w:val="00CB2C19"/>
    <w:rsid w:val="00CB2CBC"/>
    <w:rsid w:val="00CB33DF"/>
    <w:rsid w:val="00CB3530"/>
    <w:rsid w:val="00CB35FF"/>
    <w:rsid w:val="00CB36FC"/>
    <w:rsid w:val="00CB394E"/>
    <w:rsid w:val="00CB3D7C"/>
    <w:rsid w:val="00CB4C5F"/>
    <w:rsid w:val="00CB583F"/>
    <w:rsid w:val="00CB66CD"/>
    <w:rsid w:val="00CB6A5D"/>
    <w:rsid w:val="00CB6BA8"/>
    <w:rsid w:val="00CB7679"/>
    <w:rsid w:val="00CB772A"/>
    <w:rsid w:val="00CC0005"/>
    <w:rsid w:val="00CC0160"/>
    <w:rsid w:val="00CC0423"/>
    <w:rsid w:val="00CC07E1"/>
    <w:rsid w:val="00CC0FCD"/>
    <w:rsid w:val="00CC11A6"/>
    <w:rsid w:val="00CC134B"/>
    <w:rsid w:val="00CC16C8"/>
    <w:rsid w:val="00CC1776"/>
    <w:rsid w:val="00CC2020"/>
    <w:rsid w:val="00CC2054"/>
    <w:rsid w:val="00CC25DA"/>
    <w:rsid w:val="00CC27F7"/>
    <w:rsid w:val="00CC3206"/>
    <w:rsid w:val="00CC3A55"/>
    <w:rsid w:val="00CC4615"/>
    <w:rsid w:val="00CC5011"/>
    <w:rsid w:val="00CC56E3"/>
    <w:rsid w:val="00CC5958"/>
    <w:rsid w:val="00CC5B16"/>
    <w:rsid w:val="00CC6385"/>
    <w:rsid w:val="00CC67E3"/>
    <w:rsid w:val="00CC6A5D"/>
    <w:rsid w:val="00CC747E"/>
    <w:rsid w:val="00CD00AB"/>
    <w:rsid w:val="00CD050C"/>
    <w:rsid w:val="00CD0CCC"/>
    <w:rsid w:val="00CD11BD"/>
    <w:rsid w:val="00CD1393"/>
    <w:rsid w:val="00CD1F73"/>
    <w:rsid w:val="00CD27A8"/>
    <w:rsid w:val="00CD2845"/>
    <w:rsid w:val="00CD2A20"/>
    <w:rsid w:val="00CD2D93"/>
    <w:rsid w:val="00CD2E58"/>
    <w:rsid w:val="00CD3367"/>
    <w:rsid w:val="00CD3504"/>
    <w:rsid w:val="00CD3B7E"/>
    <w:rsid w:val="00CD4B88"/>
    <w:rsid w:val="00CD4BA9"/>
    <w:rsid w:val="00CD4CAB"/>
    <w:rsid w:val="00CD4CFC"/>
    <w:rsid w:val="00CD4D42"/>
    <w:rsid w:val="00CD585C"/>
    <w:rsid w:val="00CD5898"/>
    <w:rsid w:val="00CD5ADD"/>
    <w:rsid w:val="00CD5EB8"/>
    <w:rsid w:val="00CD60FA"/>
    <w:rsid w:val="00CD64FD"/>
    <w:rsid w:val="00CD66AF"/>
    <w:rsid w:val="00CD6DFF"/>
    <w:rsid w:val="00CD7307"/>
    <w:rsid w:val="00CD770D"/>
    <w:rsid w:val="00CD7A57"/>
    <w:rsid w:val="00CD7B8E"/>
    <w:rsid w:val="00CD7CDF"/>
    <w:rsid w:val="00CD7F54"/>
    <w:rsid w:val="00CE08FB"/>
    <w:rsid w:val="00CE1149"/>
    <w:rsid w:val="00CE1248"/>
    <w:rsid w:val="00CE1297"/>
    <w:rsid w:val="00CE17DE"/>
    <w:rsid w:val="00CE2313"/>
    <w:rsid w:val="00CE25F7"/>
    <w:rsid w:val="00CE3C51"/>
    <w:rsid w:val="00CE3EDC"/>
    <w:rsid w:val="00CE4AF7"/>
    <w:rsid w:val="00CE4B68"/>
    <w:rsid w:val="00CE5120"/>
    <w:rsid w:val="00CE5414"/>
    <w:rsid w:val="00CE55C7"/>
    <w:rsid w:val="00CE5723"/>
    <w:rsid w:val="00CE5899"/>
    <w:rsid w:val="00CE5A14"/>
    <w:rsid w:val="00CE5AA8"/>
    <w:rsid w:val="00CE646E"/>
    <w:rsid w:val="00CE739A"/>
    <w:rsid w:val="00CE758B"/>
    <w:rsid w:val="00CE7953"/>
    <w:rsid w:val="00CE7D21"/>
    <w:rsid w:val="00CE7F53"/>
    <w:rsid w:val="00CF0646"/>
    <w:rsid w:val="00CF119E"/>
    <w:rsid w:val="00CF11C4"/>
    <w:rsid w:val="00CF13C3"/>
    <w:rsid w:val="00CF1454"/>
    <w:rsid w:val="00CF17F4"/>
    <w:rsid w:val="00CF2238"/>
    <w:rsid w:val="00CF22C7"/>
    <w:rsid w:val="00CF2324"/>
    <w:rsid w:val="00CF23C2"/>
    <w:rsid w:val="00CF2475"/>
    <w:rsid w:val="00CF3678"/>
    <w:rsid w:val="00CF3972"/>
    <w:rsid w:val="00CF3A1A"/>
    <w:rsid w:val="00CF3F71"/>
    <w:rsid w:val="00CF4076"/>
    <w:rsid w:val="00CF464C"/>
    <w:rsid w:val="00CF4957"/>
    <w:rsid w:val="00CF4A12"/>
    <w:rsid w:val="00CF4D4A"/>
    <w:rsid w:val="00CF541B"/>
    <w:rsid w:val="00CF5956"/>
    <w:rsid w:val="00CF5EBC"/>
    <w:rsid w:val="00CF65F2"/>
    <w:rsid w:val="00CF686D"/>
    <w:rsid w:val="00CF69B6"/>
    <w:rsid w:val="00CF6D09"/>
    <w:rsid w:val="00CF734C"/>
    <w:rsid w:val="00CF7412"/>
    <w:rsid w:val="00CF74D7"/>
    <w:rsid w:val="00CF7AA5"/>
    <w:rsid w:val="00CF7C5E"/>
    <w:rsid w:val="00D00637"/>
    <w:rsid w:val="00D007C3"/>
    <w:rsid w:val="00D00926"/>
    <w:rsid w:val="00D00A3D"/>
    <w:rsid w:val="00D00C47"/>
    <w:rsid w:val="00D0123C"/>
    <w:rsid w:val="00D0142F"/>
    <w:rsid w:val="00D01908"/>
    <w:rsid w:val="00D01CD8"/>
    <w:rsid w:val="00D02631"/>
    <w:rsid w:val="00D02AAA"/>
    <w:rsid w:val="00D02BB8"/>
    <w:rsid w:val="00D03456"/>
    <w:rsid w:val="00D0372B"/>
    <w:rsid w:val="00D038D5"/>
    <w:rsid w:val="00D03967"/>
    <w:rsid w:val="00D039EA"/>
    <w:rsid w:val="00D03AC1"/>
    <w:rsid w:val="00D044E0"/>
    <w:rsid w:val="00D04ACD"/>
    <w:rsid w:val="00D04F57"/>
    <w:rsid w:val="00D05305"/>
    <w:rsid w:val="00D05576"/>
    <w:rsid w:val="00D0563C"/>
    <w:rsid w:val="00D0603A"/>
    <w:rsid w:val="00D0652E"/>
    <w:rsid w:val="00D066D4"/>
    <w:rsid w:val="00D07FC3"/>
    <w:rsid w:val="00D10632"/>
    <w:rsid w:val="00D109C9"/>
    <w:rsid w:val="00D10E82"/>
    <w:rsid w:val="00D10FE2"/>
    <w:rsid w:val="00D114B5"/>
    <w:rsid w:val="00D11911"/>
    <w:rsid w:val="00D12140"/>
    <w:rsid w:val="00D12288"/>
    <w:rsid w:val="00D12EDA"/>
    <w:rsid w:val="00D12FB2"/>
    <w:rsid w:val="00D1301C"/>
    <w:rsid w:val="00D132F4"/>
    <w:rsid w:val="00D134B6"/>
    <w:rsid w:val="00D135D1"/>
    <w:rsid w:val="00D139A9"/>
    <w:rsid w:val="00D13D5E"/>
    <w:rsid w:val="00D1420E"/>
    <w:rsid w:val="00D14485"/>
    <w:rsid w:val="00D1496D"/>
    <w:rsid w:val="00D15689"/>
    <w:rsid w:val="00D156E3"/>
    <w:rsid w:val="00D15A05"/>
    <w:rsid w:val="00D15D2C"/>
    <w:rsid w:val="00D15E45"/>
    <w:rsid w:val="00D16099"/>
    <w:rsid w:val="00D16657"/>
    <w:rsid w:val="00D16E6D"/>
    <w:rsid w:val="00D16F9B"/>
    <w:rsid w:val="00D1715B"/>
    <w:rsid w:val="00D1720F"/>
    <w:rsid w:val="00D1795D"/>
    <w:rsid w:val="00D200C8"/>
    <w:rsid w:val="00D206AF"/>
    <w:rsid w:val="00D206C6"/>
    <w:rsid w:val="00D2091C"/>
    <w:rsid w:val="00D20A1F"/>
    <w:rsid w:val="00D20CE9"/>
    <w:rsid w:val="00D20F75"/>
    <w:rsid w:val="00D2110D"/>
    <w:rsid w:val="00D21147"/>
    <w:rsid w:val="00D219AB"/>
    <w:rsid w:val="00D21A58"/>
    <w:rsid w:val="00D21B52"/>
    <w:rsid w:val="00D220D0"/>
    <w:rsid w:val="00D22367"/>
    <w:rsid w:val="00D224B6"/>
    <w:rsid w:val="00D225E4"/>
    <w:rsid w:val="00D22A32"/>
    <w:rsid w:val="00D23847"/>
    <w:rsid w:val="00D241F4"/>
    <w:rsid w:val="00D24756"/>
    <w:rsid w:val="00D24830"/>
    <w:rsid w:val="00D24BCD"/>
    <w:rsid w:val="00D25204"/>
    <w:rsid w:val="00D2547F"/>
    <w:rsid w:val="00D25493"/>
    <w:rsid w:val="00D25BEE"/>
    <w:rsid w:val="00D25DCA"/>
    <w:rsid w:val="00D26493"/>
    <w:rsid w:val="00D2697D"/>
    <w:rsid w:val="00D27120"/>
    <w:rsid w:val="00D27123"/>
    <w:rsid w:val="00D27491"/>
    <w:rsid w:val="00D274ED"/>
    <w:rsid w:val="00D27D79"/>
    <w:rsid w:val="00D30147"/>
    <w:rsid w:val="00D304FD"/>
    <w:rsid w:val="00D305C2"/>
    <w:rsid w:val="00D309DF"/>
    <w:rsid w:val="00D30C42"/>
    <w:rsid w:val="00D30FB5"/>
    <w:rsid w:val="00D31070"/>
    <w:rsid w:val="00D311E9"/>
    <w:rsid w:val="00D31206"/>
    <w:rsid w:val="00D3172C"/>
    <w:rsid w:val="00D31B72"/>
    <w:rsid w:val="00D320A4"/>
    <w:rsid w:val="00D320F6"/>
    <w:rsid w:val="00D3220C"/>
    <w:rsid w:val="00D323BB"/>
    <w:rsid w:val="00D325AB"/>
    <w:rsid w:val="00D32768"/>
    <w:rsid w:val="00D3284C"/>
    <w:rsid w:val="00D32AA1"/>
    <w:rsid w:val="00D332EB"/>
    <w:rsid w:val="00D339BE"/>
    <w:rsid w:val="00D34639"/>
    <w:rsid w:val="00D34C23"/>
    <w:rsid w:val="00D34D12"/>
    <w:rsid w:val="00D35028"/>
    <w:rsid w:val="00D3523C"/>
    <w:rsid w:val="00D3560D"/>
    <w:rsid w:val="00D35678"/>
    <w:rsid w:val="00D358CC"/>
    <w:rsid w:val="00D35FDB"/>
    <w:rsid w:val="00D361B1"/>
    <w:rsid w:val="00D365A4"/>
    <w:rsid w:val="00D36C6D"/>
    <w:rsid w:val="00D37EDE"/>
    <w:rsid w:val="00D37FEF"/>
    <w:rsid w:val="00D40664"/>
    <w:rsid w:val="00D40801"/>
    <w:rsid w:val="00D40B01"/>
    <w:rsid w:val="00D40FB3"/>
    <w:rsid w:val="00D41733"/>
    <w:rsid w:val="00D41757"/>
    <w:rsid w:val="00D41828"/>
    <w:rsid w:val="00D41E22"/>
    <w:rsid w:val="00D423C4"/>
    <w:rsid w:val="00D42453"/>
    <w:rsid w:val="00D42769"/>
    <w:rsid w:val="00D42862"/>
    <w:rsid w:val="00D42DC4"/>
    <w:rsid w:val="00D43721"/>
    <w:rsid w:val="00D43759"/>
    <w:rsid w:val="00D43A9F"/>
    <w:rsid w:val="00D43AB2"/>
    <w:rsid w:val="00D43DE4"/>
    <w:rsid w:val="00D43FA5"/>
    <w:rsid w:val="00D44293"/>
    <w:rsid w:val="00D443B1"/>
    <w:rsid w:val="00D44595"/>
    <w:rsid w:val="00D445CE"/>
    <w:rsid w:val="00D447BD"/>
    <w:rsid w:val="00D44821"/>
    <w:rsid w:val="00D44C0A"/>
    <w:rsid w:val="00D464E1"/>
    <w:rsid w:val="00D46E93"/>
    <w:rsid w:val="00D46ED4"/>
    <w:rsid w:val="00D47144"/>
    <w:rsid w:val="00D471FA"/>
    <w:rsid w:val="00D477A8"/>
    <w:rsid w:val="00D477D8"/>
    <w:rsid w:val="00D47EF3"/>
    <w:rsid w:val="00D500E4"/>
    <w:rsid w:val="00D5029A"/>
    <w:rsid w:val="00D50585"/>
    <w:rsid w:val="00D50897"/>
    <w:rsid w:val="00D50AEF"/>
    <w:rsid w:val="00D50CF9"/>
    <w:rsid w:val="00D5118B"/>
    <w:rsid w:val="00D5125D"/>
    <w:rsid w:val="00D5159A"/>
    <w:rsid w:val="00D51938"/>
    <w:rsid w:val="00D51A2B"/>
    <w:rsid w:val="00D51F36"/>
    <w:rsid w:val="00D52081"/>
    <w:rsid w:val="00D520AA"/>
    <w:rsid w:val="00D52478"/>
    <w:rsid w:val="00D5249C"/>
    <w:rsid w:val="00D52E00"/>
    <w:rsid w:val="00D5338B"/>
    <w:rsid w:val="00D53545"/>
    <w:rsid w:val="00D537B0"/>
    <w:rsid w:val="00D537D4"/>
    <w:rsid w:val="00D53C13"/>
    <w:rsid w:val="00D544FC"/>
    <w:rsid w:val="00D547ED"/>
    <w:rsid w:val="00D5484F"/>
    <w:rsid w:val="00D55021"/>
    <w:rsid w:val="00D550A8"/>
    <w:rsid w:val="00D5574B"/>
    <w:rsid w:val="00D55CEF"/>
    <w:rsid w:val="00D56525"/>
    <w:rsid w:val="00D5675E"/>
    <w:rsid w:val="00D56AD9"/>
    <w:rsid w:val="00D57009"/>
    <w:rsid w:val="00D570F4"/>
    <w:rsid w:val="00D572A9"/>
    <w:rsid w:val="00D57371"/>
    <w:rsid w:val="00D573C2"/>
    <w:rsid w:val="00D573EB"/>
    <w:rsid w:val="00D5753D"/>
    <w:rsid w:val="00D60C03"/>
    <w:rsid w:val="00D60C84"/>
    <w:rsid w:val="00D60FB9"/>
    <w:rsid w:val="00D617B9"/>
    <w:rsid w:val="00D61913"/>
    <w:rsid w:val="00D61DC0"/>
    <w:rsid w:val="00D61FDE"/>
    <w:rsid w:val="00D620C6"/>
    <w:rsid w:val="00D624C5"/>
    <w:rsid w:val="00D6256F"/>
    <w:rsid w:val="00D62DDC"/>
    <w:rsid w:val="00D62EEA"/>
    <w:rsid w:val="00D630A0"/>
    <w:rsid w:val="00D631EB"/>
    <w:rsid w:val="00D634AC"/>
    <w:rsid w:val="00D635D0"/>
    <w:rsid w:val="00D63782"/>
    <w:rsid w:val="00D63A3E"/>
    <w:rsid w:val="00D63DD6"/>
    <w:rsid w:val="00D6444A"/>
    <w:rsid w:val="00D64644"/>
    <w:rsid w:val="00D64830"/>
    <w:rsid w:val="00D648FF"/>
    <w:rsid w:val="00D64C59"/>
    <w:rsid w:val="00D65621"/>
    <w:rsid w:val="00D656A8"/>
    <w:rsid w:val="00D65B81"/>
    <w:rsid w:val="00D65CB7"/>
    <w:rsid w:val="00D6645C"/>
    <w:rsid w:val="00D669CF"/>
    <w:rsid w:val="00D66E2F"/>
    <w:rsid w:val="00D66E76"/>
    <w:rsid w:val="00D66F1F"/>
    <w:rsid w:val="00D67787"/>
    <w:rsid w:val="00D67C1C"/>
    <w:rsid w:val="00D67F83"/>
    <w:rsid w:val="00D70CCE"/>
    <w:rsid w:val="00D70E20"/>
    <w:rsid w:val="00D71307"/>
    <w:rsid w:val="00D713E9"/>
    <w:rsid w:val="00D71410"/>
    <w:rsid w:val="00D7174F"/>
    <w:rsid w:val="00D72C26"/>
    <w:rsid w:val="00D7306B"/>
    <w:rsid w:val="00D73351"/>
    <w:rsid w:val="00D7343C"/>
    <w:rsid w:val="00D73925"/>
    <w:rsid w:val="00D73BC6"/>
    <w:rsid w:val="00D73E65"/>
    <w:rsid w:val="00D74058"/>
    <w:rsid w:val="00D741B2"/>
    <w:rsid w:val="00D7423E"/>
    <w:rsid w:val="00D74662"/>
    <w:rsid w:val="00D74AF6"/>
    <w:rsid w:val="00D74EFD"/>
    <w:rsid w:val="00D7504A"/>
    <w:rsid w:val="00D75238"/>
    <w:rsid w:val="00D756B1"/>
    <w:rsid w:val="00D7594B"/>
    <w:rsid w:val="00D759BA"/>
    <w:rsid w:val="00D75FE0"/>
    <w:rsid w:val="00D76656"/>
    <w:rsid w:val="00D76CB1"/>
    <w:rsid w:val="00D76DB6"/>
    <w:rsid w:val="00D7763C"/>
    <w:rsid w:val="00D77B25"/>
    <w:rsid w:val="00D80563"/>
    <w:rsid w:val="00D81322"/>
    <w:rsid w:val="00D813E3"/>
    <w:rsid w:val="00D81C62"/>
    <w:rsid w:val="00D81FB8"/>
    <w:rsid w:val="00D82308"/>
    <w:rsid w:val="00D8278D"/>
    <w:rsid w:val="00D83199"/>
    <w:rsid w:val="00D83F05"/>
    <w:rsid w:val="00D84666"/>
    <w:rsid w:val="00D846CA"/>
    <w:rsid w:val="00D850CE"/>
    <w:rsid w:val="00D85AE5"/>
    <w:rsid w:val="00D85B8E"/>
    <w:rsid w:val="00D86482"/>
    <w:rsid w:val="00D868CC"/>
    <w:rsid w:val="00D86F47"/>
    <w:rsid w:val="00D87AC7"/>
    <w:rsid w:val="00D90CF3"/>
    <w:rsid w:val="00D90F29"/>
    <w:rsid w:val="00D91731"/>
    <w:rsid w:val="00D91890"/>
    <w:rsid w:val="00D91B13"/>
    <w:rsid w:val="00D92213"/>
    <w:rsid w:val="00D9224C"/>
    <w:rsid w:val="00D92384"/>
    <w:rsid w:val="00D924B6"/>
    <w:rsid w:val="00D925E3"/>
    <w:rsid w:val="00D92C66"/>
    <w:rsid w:val="00D93155"/>
    <w:rsid w:val="00D93728"/>
    <w:rsid w:val="00D93AE7"/>
    <w:rsid w:val="00D93EF4"/>
    <w:rsid w:val="00D9410D"/>
    <w:rsid w:val="00D942E3"/>
    <w:rsid w:val="00D945E8"/>
    <w:rsid w:val="00D946B6"/>
    <w:rsid w:val="00D94A8B"/>
    <w:rsid w:val="00D95043"/>
    <w:rsid w:val="00D95D02"/>
    <w:rsid w:val="00D960CA"/>
    <w:rsid w:val="00D967E2"/>
    <w:rsid w:val="00D96DC7"/>
    <w:rsid w:val="00D9708E"/>
    <w:rsid w:val="00D978E6"/>
    <w:rsid w:val="00D97D1B"/>
    <w:rsid w:val="00D97FCC"/>
    <w:rsid w:val="00DA0108"/>
    <w:rsid w:val="00DA091C"/>
    <w:rsid w:val="00DA1D12"/>
    <w:rsid w:val="00DA214E"/>
    <w:rsid w:val="00DA281E"/>
    <w:rsid w:val="00DA2917"/>
    <w:rsid w:val="00DA2D9D"/>
    <w:rsid w:val="00DA2ECA"/>
    <w:rsid w:val="00DA3212"/>
    <w:rsid w:val="00DA3432"/>
    <w:rsid w:val="00DA38B4"/>
    <w:rsid w:val="00DA38C6"/>
    <w:rsid w:val="00DA3914"/>
    <w:rsid w:val="00DA3B04"/>
    <w:rsid w:val="00DA3BF8"/>
    <w:rsid w:val="00DA3D76"/>
    <w:rsid w:val="00DA40C8"/>
    <w:rsid w:val="00DA44A2"/>
    <w:rsid w:val="00DA464D"/>
    <w:rsid w:val="00DA4660"/>
    <w:rsid w:val="00DA48B9"/>
    <w:rsid w:val="00DA512D"/>
    <w:rsid w:val="00DA59A0"/>
    <w:rsid w:val="00DA6ECD"/>
    <w:rsid w:val="00DA7578"/>
    <w:rsid w:val="00DA758F"/>
    <w:rsid w:val="00DA7D2B"/>
    <w:rsid w:val="00DA7E6D"/>
    <w:rsid w:val="00DB1117"/>
    <w:rsid w:val="00DB1232"/>
    <w:rsid w:val="00DB1375"/>
    <w:rsid w:val="00DB15F3"/>
    <w:rsid w:val="00DB182E"/>
    <w:rsid w:val="00DB1D2A"/>
    <w:rsid w:val="00DB1DBF"/>
    <w:rsid w:val="00DB2606"/>
    <w:rsid w:val="00DB2CB7"/>
    <w:rsid w:val="00DB31F9"/>
    <w:rsid w:val="00DB3FE9"/>
    <w:rsid w:val="00DB419E"/>
    <w:rsid w:val="00DB4377"/>
    <w:rsid w:val="00DB5465"/>
    <w:rsid w:val="00DB5922"/>
    <w:rsid w:val="00DB5F6A"/>
    <w:rsid w:val="00DB61E6"/>
    <w:rsid w:val="00DB6BED"/>
    <w:rsid w:val="00DB7109"/>
    <w:rsid w:val="00DB7114"/>
    <w:rsid w:val="00DB7B8F"/>
    <w:rsid w:val="00DB7DC7"/>
    <w:rsid w:val="00DC00D2"/>
    <w:rsid w:val="00DC0D65"/>
    <w:rsid w:val="00DC108F"/>
    <w:rsid w:val="00DC123C"/>
    <w:rsid w:val="00DC1960"/>
    <w:rsid w:val="00DC246C"/>
    <w:rsid w:val="00DC2946"/>
    <w:rsid w:val="00DC2ED5"/>
    <w:rsid w:val="00DC3074"/>
    <w:rsid w:val="00DC3727"/>
    <w:rsid w:val="00DC4295"/>
    <w:rsid w:val="00DC4317"/>
    <w:rsid w:val="00DC50D4"/>
    <w:rsid w:val="00DC516B"/>
    <w:rsid w:val="00DC52DC"/>
    <w:rsid w:val="00DC54F0"/>
    <w:rsid w:val="00DC5812"/>
    <w:rsid w:val="00DC5C73"/>
    <w:rsid w:val="00DC6E9C"/>
    <w:rsid w:val="00DC70C7"/>
    <w:rsid w:val="00DC714F"/>
    <w:rsid w:val="00DC7448"/>
    <w:rsid w:val="00DC78EA"/>
    <w:rsid w:val="00DC7B68"/>
    <w:rsid w:val="00DC7DF8"/>
    <w:rsid w:val="00DC7E26"/>
    <w:rsid w:val="00DD0386"/>
    <w:rsid w:val="00DD0423"/>
    <w:rsid w:val="00DD0464"/>
    <w:rsid w:val="00DD0663"/>
    <w:rsid w:val="00DD07C1"/>
    <w:rsid w:val="00DD0C54"/>
    <w:rsid w:val="00DD0E8B"/>
    <w:rsid w:val="00DD110C"/>
    <w:rsid w:val="00DD12D0"/>
    <w:rsid w:val="00DD1381"/>
    <w:rsid w:val="00DD17EB"/>
    <w:rsid w:val="00DD1917"/>
    <w:rsid w:val="00DD1FA3"/>
    <w:rsid w:val="00DD1FEA"/>
    <w:rsid w:val="00DD2BAE"/>
    <w:rsid w:val="00DD2C65"/>
    <w:rsid w:val="00DD332D"/>
    <w:rsid w:val="00DD3394"/>
    <w:rsid w:val="00DD356A"/>
    <w:rsid w:val="00DD3F10"/>
    <w:rsid w:val="00DD3F4C"/>
    <w:rsid w:val="00DD4392"/>
    <w:rsid w:val="00DD4466"/>
    <w:rsid w:val="00DD4708"/>
    <w:rsid w:val="00DD4B96"/>
    <w:rsid w:val="00DD5733"/>
    <w:rsid w:val="00DD5A4C"/>
    <w:rsid w:val="00DD5BF2"/>
    <w:rsid w:val="00DD63B4"/>
    <w:rsid w:val="00DD64EB"/>
    <w:rsid w:val="00DD65A6"/>
    <w:rsid w:val="00DD67B5"/>
    <w:rsid w:val="00DD6B49"/>
    <w:rsid w:val="00DD7A98"/>
    <w:rsid w:val="00DD7F97"/>
    <w:rsid w:val="00DE021B"/>
    <w:rsid w:val="00DE0220"/>
    <w:rsid w:val="00DE06AB"/>
    <w:rsid w:val="00DE08A9"/>
    <w:rsid w:val="00DE0E07"/>
    <w:rsid w:val="00DE1203"/>
    <w:rsid w:val="00DE1809"/>
    <w:rsid w:val="00DE19D4"/>
    <w:rsid w:val="00DE1C7E"/>
    <w:rsid w:val="00DE1EB9"/>
    <w:rsid w:val="00DE2095"/>
    <w:rsid w:val="00DE20DD"/>
    <w:rsid w:val="00DE240B"/>
    <w:rsid w:val="00DE2BEB"/>
    <w:rsid w:val="00DE32DE"/>
    <w:rsid w:val="00DE390E"/>
    <w:rsid w:val="00DE3993"/>
    <w:rsid w:val="00DE3C85"/>
    <w:rsid w:val="00DE3E04"/>
    <w:rsid w:val="00DE3FBF"/>
    <w:rsid w:val="00DE5354"/>
    <w:rsid w:val="00DE5F3C"/>
    <w:rsid w:val="00DE6496"/>
    <w:rsid w:val="00DE6B1F"/>
    <w:rsid w:val="00DE6B62"/>
    <w:rsid w:val="00DE6F20"/>
    <w:rsid w:val="00DE76E6"/>
    <w:rsid w:val="00DE7810"/>
    <w:rsid w:val="00DE7C21"/>
    <w:rsid w:val="00DF08B7"/>
    <w:rsid w:val="00DF0BF6"/>
    <w:rsid w:val="00DF0FBA"/>
    <w:rsid w:val="00DF1054"/>
    <w:rsid w:val="00DF1108"/>
    <w:rsid w:val="00DF112B"/>
    <w:rsid w:val="00DF1230"/>
    <w:rsid w:val="00DF1550"/>
    <w:rsid w:val="00DF211A"/>
    <w:rsid w:val="00DF2AB4"/>
    <w:rsid w:val="00DF2B9A"/>
    <w:rsid w:val="00DF2C47"/>
    <w:rsid w:val="00DF2CE4"/>
    <w:rsid w:val="00DF2D95"/>
    <w:rsid w:val="00DF2E11"/>
    <w:rsid w:val="00DF2EEC"/>
    <w:rsid w:val="00DF3614"/>
    <w:rsid w:val="00DF3748"/>
    <w:rsid w:val="00DF3F06"/>
    <w:rsid w:val="00DF3F93"/>
    <w:rsid w:val="00DF4322"/>
    <w:rsid w:val="00DF4760"/>
    <w:rsid w:val="00DF4F52"/>
    <w:rsid w:val="00DF526F"/>
    <w:rsid w:val="00DF5902"/>
    <w:rsid w:val="00DF5978"/>
    <w:rsid w:val="00DF5A4A"/>
    <w:rsid w:val="00DF5CCC"/>
    <w:rsid w:val="00DF6152"/>
    <w:rsid w:val="00DF616F"/>
    <w:rsid w:val="00DF6442"/>
    <w:rsid w:val="00DF69FF"/>
    <w:rsid w:val="00DF729E"/>
    <w:rsid w:val="00DF72CA"/>
    <w:rsid w:val="00E003DC"/>
    <w:rsid w:val="00E00473"/>
    <w:rsid w:val="00E004AC"/>
    <w:rsid w:val="00E00D83"/>
    <w:rsid w:val="00E00E0C"/>
    <w:rsid w:val="00E01A13"/>
    <w:rsid w:val="00E01B5C"/>
    <w:rsid w:val="00E01CBE"/>
    <w:rsid w:val="00E02482"/>
    <w:rsid w:val="00E030F0"/>
    <w:rsid w:val="00E03390"/>
    <w:rsid w:val="00E03594"/>
    <w:rsid w:val="00E035E9"/>
    <w:rsid w:val="00E037E6"/>
    <w:rsid w:val="00E03F6B"/>
    <w:rsid w:val="00E0425D"/>
    <w:rsid w:val="00E0443E"/>
    <w:rsid w:val="00E04503"/>
    <w:rsid w:val="00E04725"/>
    <w:rsid w:val="00E04856"/>
    <w:rsid w:val="00E04A3C"/>
    <w:rsid w:val="00E04D33"/>
    <w:rsid w:val="00E04D4E"/>
    <w:rsid w:val="00E04E29"/>
    <w:rsid w:val="00E060F7"/>
    <w:rsid w:val="00E06248"/>
    <w:rsid w:val="00E065D9"/>
    <w:rsid w:val="00E06756"/>
    <w:rsid w:val="00E06906"/>
    <w:rsid w:val="00E06DD7"/>
    <w:rsid w:val="00E06FFF"/>
    <w:rsid w:val="00E072B0"/>
    <w:rsid w:val="00E075B5"/>
    <w:rsid w:val="00E07A05"/>
    <w:rsid w:val="00E101E6"/>
    <w:rsid w:val="00E104B2"/>
    <w:rsid w:val="00E10B95"/>
    <w:rsid w:val="00E10F08"/>
    <w:rsid w:val="00E113B2"/>
    <w:rsid w:val="00E1148A"/>
    <w:rsid w:val="00E1194F"/>
    <w:rsid w:val="00E127F9"/>
    <w:rsid w:val="00E12CB3"/>
    <w:rsid w:val="00E13877"/>
    <w:rsid w:val="00E139CA"/>
    <w:rsid w:val="00E144C1"/>
    <w:rsid w:val="00E14536"/>
    <w:rsid w:val="00E14776"/>
    <w:rsid w:val="00E14986"/>
    <w:rsid w:val="00E14D54"/>
    <w:rsid w:val="00E15306"/>
    <w:rsid w:val="00E15489"/>
    <w:rsid w:val="00E15491"/>
    <w:rsid w:val="00E15784"/>
    <w:rsid w:val="00E158F6"/>
    <w:rsid w:val="00E15B76"/>
    <w:rsid w:val="00E15EEB"/>
    <w:rsid w:val="00E1670F"/>
    <w:rsid w:val="00E16790"/>
    <w:rsid w:val="00E167DC"/>
    <w:rsid w:val="00E171C0"/>
    <w:rsid w:val="00E175AF"/>
    <w:rsid w:val="00E175FE"/>
    <w:rsid w:val="00E2006A"/>
    <w:rsid w:val="00E201E9"/>
    <w:rsid w:val="00E205C0"/>
    <w:rsid w:val="00E20BE7"/>
    <w:rsid w:val="00E21315"/>
    <w:rsid w:val="00E21AD3"/>
    <w:rsid w:val="00E21D7F"/>
    <w:rsid w:val="00E2232E"/>
    <w:rsid w:val="00E23329"/>
    <w:rsid w:val="00E23CDF"/>
    <w:rsid w:val="00E23D02"/>
    <w:rsid w:val="00E24240"/>
    <w:rsid w:val="00E24665"/>
    <w:rsid w:val="00E24920"/>
    <w:rsid w:val="00E24D2F"/>
    <w:rsid w:val="00E251FC"/>
    <w:rsid w:val="00E25235"/>
    <w:rsid w:val="00E25633"/>
    <w:rsid w:val="00E2583B"/>
    <w:rsid w:val="00E25DF0"/>
    <w:rsid w:val="00E2660A"/>
    <w:rsid w:val="00E26883"/>
    <w:rsid w:val="00E26935"/>
    <w:rsid w:val="00E26AC8"/>
    <w:rsid w:val="00E26E98"/>
    <w:rsid w:val="00E26F7C"/>
    <w:rsid w:val="00E26FFB"/>
    <w:rsid w:val="00E270A7"/>
    <w:rsid w:val="00E276BC"/>
    <w:rsid w:val="00E3010E"/>
    <w:rsid w:val="00E301DB"/>
    <w:rsid w:val="00E302BC"/>
    <w:rsid w:val="00E30775"/>
    <w:rsid w:val="00E30B91"/>
    <w:rsid w:val="00E30D84"/>
    <w:rsid w:val="00E30E60"/>
    <w:rsid w:val="00E31055"/>
    <w:rsid w:val="00E31B1D"/>
    <w:rsid w:val="00E31E3C"/>
    <w:rsid w:val="00E3293F"/>
    <w:rsid w:val="00E32EC7"/>
    <w:rsid w:val="00E33458"/>
    <w:rsid w:val="00E3422D"/>
    <w:rsid w:val="00E342AE"/>
    <w:rsid w:val="00E3476F"/>
    <w:rsid w:val="00E35145"/>
    <w:rsid w:val="00E35500"/>
    <w:rsid w:val="00E36404"/>
    <w:rsid w:val="00E36940"/>
    <w:rsid w:val="00E369EB"/>
    <w:rsid w:val="00E36F96"/>
    <w:rsid w:val="00E373BE"/>
    <w:rsid w:val="00E37B4B"/>
    <w:rsid w:val="00E37DD8"/>
    <w:rsid w:val="00E40B89"/>
    <w:rsid w:val="00E40CC5"/>
    <w:rsid w:val="00E40E9A"/>
    <w:rsid w:val="00E414F1"/>
    <w:rsid w:val="00E41700"/>
    <w:rsid w:val="00E419A3"/>
    <w:rsid w:val="00E41A3B"/>
    <w:rsid w:val="00E41AB2"/>
    <w:rsid w:val="00E41D4C"/>
    <w:rsid w:val="00E41FFF"/>
    <w:rsid w:val="00E42301"/>
    <w:rsid w:val="00E42325"/>
    <w:rsid w:val="00E4264D"/>
    <w:rsid w:val="00E42CBF"/>
    <w:rsid w:val="00E431BD"/>
    <w:rsid w:val="00E434E9"/>
    <w:rsid w:val="00E4398E"/>
    <w:rsid w:val="00E43A25"/>
    <w:rsid w:val="00E43C8A"/>
    <w:rsid w:val="00E440E5"/>
    <w:rsid w:val="00E4421D"/>
    <w:rsid w:val="00E44353"/>
    <w:rsid w:val="00E44C02"/>
    <w:rsid w:val="00E44ED2"/>
    <w:rsid w:val="00E454FD"/>
    <w:rsid w:val="00E455B6"/>
    <w:rsid w:val="00E46030"/>
    <w:rsid w:val="00E464C3"/>
    <w:rsid w:val="00E46A99"/>
    <w:rsid w:val="00E46F46"/>
    <w:rsid w:val="00E46FA8"/>
    <w:rsid w:val="00E47208"/>
    <w:rsid w:val="00E47839"/>
    <w:rsid w:val="00E47B20"/>
    <w:rsid w:val="00E50AC6"/>
    <w:rsid w:val="00E51759"/>
    <w:rsid w:val="00E5179F"/>
    <w:rsid w:val="00E520D2"/>
    <w:rsid w:val="00E527FA"/>
    <w:rsid w:val="00E52FD0"/>
    <w:rsid w:val="00E530E0"/>
    <w:rsid w:val="00E531B3"/>
    <w:rsid w:val="00E53861"/>
    <w:rsid w:val="00E53A46"/>
    <w:rsid w:val="00E53EBE"/>
    <w:rsid w:val="00E53F09"/>
    <w:rsid w:val="00E544E3"/>
    <w:rsid w:val="00E54C70"/>
    <w:rsid w:val="00E55843"/>
    <w:rsid w:val="00E565B0"/>
    <w:rsid w:val="00E56BAF"/>
    <w:rsid w:val="00E600E9"/>
    <w:rsid w:val="00E60185"/>
    <w:rsid w:val="00E608C2"/>
    <w:rsid w:val="00E60B83"/>
    <w:rsid w:val="00E611B7"/>
    <w:rsid w:val="00E6135C"/>
    <w:rsid w:val="00E61647"/>
    <w:rsid w:val="00E619F3"/>
    <w:rsid w:val="00E6277E"/>
    <w:rsid w:val="00E631F9"/>
    <w:rsid w:val="00E637A4"/>
    <w:rsid w:val="00E63861"/>
    <w:rsid w:val="00E64597"/>
    <w:rsid w:val="00E6462A"/>
    <w:rsid w:val="00E64907"/>
    <w:rsid w:val="00E64C97"/>
    <w:rsid w:val="00E65281"/>
    <w:rsid w:val="00E65497"/>
    <w:rsid w:val="00E656F0"/>
    <w:rsid w:val="00E65943"/>
    <w:rsid w:val="00E65E2D"/>
    <w:rsid w:val="00E65EB3"/>
    <w:rsid w:val="00E66517"/>
    <w:rsid w:val="00E66901"/>
    <w:rsid w:val="00E67366"/>
    <w:rsid w:val="00E6781C"/>
    <w:rsid w:val="00E67D06"/>
    <w:rsid w:val="00E7017E"/>
    <w:rsid w:val="00E7027C"/>
    <w:rsid w:val="00E7053F"/>
    <w:rsid w:val="00E70577"/>
    <w:rsid w:val="00E709DB"/>
    <w:rsid w:val="00E70C09"/>
    <w:rsid w:val="00E715C9"/>
    <w:rsid w:val="00E71705"/>
    <w:rsid w:val="00E71A4C"/>
    <w:rsid w:val="00E71AB1"/>
    <w:rsid w:val="00E71D83"/>
    <w:rsid w:val="00E71DAD"/>
    <w:rsid w:val="00E71E2C"/>
    <w:rsid w:val="00E71EC2"/>
    <w:rsid w:val="00E720C1"/>
    <w:rsid w:val="00E7258E"/>
    <w:rsid w:val="00E72721"/>
    <w:rsid w:val="00E72977"/>
    <w:rsid w:val="00E738E0"/>
    <w:rsid w:val="00E738F2"/>
    <w:rsid w:val="00E73985"/>
    <w:rsid w:val="00E73B9F"/>
    <w:rsid w:val="00E74711"/>
    <w:rsid w:val="00E74B94"/>
    <w:rsid w:val="00E74F0A"/>
    <w:rsid w:val="00E7544A"/>
    <w:rsid w:val="00E754CC"/>
    <w:rsid w:val="00E755E2"/>
    <w:rsid w:val="00E75F2C"/>
    <w:rsid w:val="00E76B67"/>
    <w:rsid w:val="00E775CC"/>
    <w:rsid w:val="00E776D6"/>
    <w:rsid w:val="00E7789F"/>
    <w:rsid w:val="00E77FE7"/>
    <w:rsid w:val="00E804DE"/>
    <w:rsid w:val="00E80902"/>
    <w:rsid w:val="00E80C8C"/>
    <w:rsid w:val="00E81007"/>
    <w:rsid w:val="00E810D4"/>
    <w:rsid w:val="00E811B2"/>
    <w:rsid w:val="00E815F3"/>
    <w:rsid w:val="00E81712"/>
    <w:rsid w:val="00E818D2"/>
    <w:rsid w:val="00E8196E"/>
    <w:rsid w:val="00E81CAD"/>
    <w:rsid w:val="00E82540"/>
    <w:rsid w:val="00E825E5"/>
    <w:rsid w:val="00E82945"/>
    <w:rsid w:val="00E82975"/>
    <w:rsid w:val="00E82ADF"/>
    <w:rsid w:val="00E82B3D"/>
    <w:rsid w:val="00E82C03"/>
    <w:rsid w:val="00E82E88"/>
    <w:rsid w:val="00E83B5D"/>
    <w:rsid w:val="00E83F2B"/>
    <w:rsid w:val="00E84256"/>
    <w:rsid w:val="00E84681"/>
    <w:rsid w:val="00E8469C"/>
    <w:rsid w:val="00E84894"/>
    <w:rsid w:val="00E84E89"/>
    <w:rsid w:val="00E85441"/>
    <w:rsid w:val="00E8555B"/>
    <w:rsid w:val="00E858AC"/>
    <w:rsid w:val="00E8663A"/>
    <w:rsid w:val="00E866A5"/>
    <w:rsid w:val="00E86CEC"/>
    <w:rsid w:val="00E86DDC"/>
    <w:rsid w:val="00E873CD"/>
    <w:rsid w:val="00E8741B"/>
    <w:rsid w:val="00E878BA"/>
    <w:rsid w:val="00E87923"/>
    <w:rsid w:val="00E87AB8"/>
    <w:rsid w:val="00E87B3F"/>
    <w:rsid w:val="00E87C98"/>
    <w:rsid w:val="00E9033D"/>
    <w:rsid w:val="00E90596"/>
    <w:rsid w:val="00E90738"/>
    <w:rsid w:val="00E907B3"/>
    <w:rsid w:val="00E90D21"/>
    <w:rsid w:val="00E90F39"/>
    <w:rsid w:val="00E9164F"/>
    <w:rsid w:val="00E91AC6"/>
    <w:rsid w:val="00E91E41"/>
    <w:rsid w:val="00E920B5"/>
    <w:rsid w:val="00E922D1"/>
    <w:rsid w:val="00E9235F"/>
    <w:rsid w:val="00E927EE"/>
    <w:rsid w:val="00E92AB4"/>
    <w:rsid w:val="00E932D8"/>
    <w:rsid w:val="00E93762"/>
    <w:rsid w:val="00E93B5E"/>
    <w:rsid w:val="00E940D2"/>
    <w:rsid w:val="00E94130"/>
    <w:rsid w:val="00E94490"/>
    <w:rsid w:val="00E94593"/>
    <w:rsid w:val="00E94872"/>
    <w:rsid w:val="00E95A7A"/>
    <w:rsid w:val="00E96291"/>
    <w:rsid w:val="00E963AE"/>
    <w:rsid w:val="00E96703"/>
    <w:rsid w:val="00E9674E"/>
    <w:rsid w:val="00E9676C"/>
    <w:rsid w:val="00E96A0C"/>
    <w:rsid w:val="00E97054"/>
    <w:rsid w:val="00E970D3"/>
    <w:rsid w:val="00E97967"/>
    <w:rsid w:val="00E979BA"/>
    <w:rsid w:val="00E97B94"/>
    <w:rsid w:val="00E97E36"/>
    <w:rsid w:val="00E97F27"/>
    <w:rsid w:val="00EA0915"/>
    <w:rsid w:val="00EA0FE2"/>
    <w:rsid w:val="00EA121D"/>
    <w:rsid w:val="00EA13C4"/>
    <w:rsid w:val="00EA1421"/>
    <w:rsid w:val="00EA18E2"/>
    <w:rsid w:val="00EA1A67"/>
    <w:rsid w:val="00EA1A6F"/>
    <w:rsid w:val="00EA2360"/>
    <w:rsid w:val="00EA2497"/>
    <w:rsid w:val="00EA24A8"/>
    <w:rsid w:val="00EA2654"/>
    <w:rsid w:val="00EA2698"/>
    <w:rsid w:val="00EA2EF8"/>
    <w:rsid w:val="00EA33D0"/>
    <w:rsid w:val="00EA3488"/>
    <w:rsid w:val="00EA36DB"/>
    <w:rsid w:val="00EA3F95"/>
    <w:rsid w:val="00EA4458"/>
    <w:rsid w:val="00EA4F7D"/>
    <w:rsid w:val="00EA50AE"/>
    <w:rsid w:val="00EA5223"/>
    <w:rsid w:val="00EA53FF"/>
    <w:rsid w:val="00EA5F38"/>
    <w:rsid w:val="00EA5FAD"/>
    <w:rsid w:val="00EA603B"/>
    <w:rsid w:val="00EA6128"/>
    <w:rsid w:val="00EA61DE"/>
    <w:rsid w:val="00EA63FA"/>
    <w:rsid w:val="00EA6699"/>
    <w:rsid w:val="00EA6992"/>
    <w:rsid w:val="00EA6BD6"/>
    <w:rsid w:val="00EA6F72"/>
    <w:rsid w:val="00EA79F7"/>
    <w:rsid w:val="00EA7F2C"/>
    <w:rsid w:val="00EB01B8"/>
    <w:rsid w:val="00EB020D"/>
    <w:rsid w:val="00EB0C59"/>
    <w:rsid w:val="00EB0D28"/>
    <w:rsid w:val="00EB0E89"/>
    <w:rsid w:val="00EB162D"/>
    <w:rsid w:val="00EB1676"/>
    <w:rsid w:val="00EB16CE"/>
    <w:rsid w:val="00EB173D"/>
    <w:rsid w:val="00EB1909"/>
    <w:rsid w:val="00EB1E13"/>
    <w:rsid w:val="00EB1FB1"/>
    <w:rsid w:val="00EB1FDA"/>
    <w:rsid w:val="00EB26E6"/>
    <w:rsid w:val="00EB290D"/>
    <w:rsid w:val="00EB2E5A"/>
    <w:rsid w:val="00EB2FA2"/>
    <w:rsid w:val="00EB3189"/>
    <w:rsid w:val="00EB389C"/>
    <w:rsid w:val="00EB393C"/>
    <w:rsid w:val="00EB3C4F"/>
    <w:rsid w:val="00EB3E39"/>
    <w:rsid w:val="00EB433B"/>
    <w:rsid w:val="00EB48FA"/>
    <w:rsid w:val="00EB49C4"/>
    <w:rsid w:val="00EB4F3B"/>
    <w:rsid w:val="00EB52E2"/>
    <w:rsid w:val="00EB539C"/>
    <w:rsid w:val="00EB5657"/>
    <w:rsid w:val="00EB7469"/>
    <w:rsid w:val="00EB7E24"/>
    <w:rsid w:val="00EC0385"/>
    <w:rsid w:val="00EC0E57"/>
    <w:rsid w:val="00EC1070"/>
    <w:rsid w:val="00EC11A9"/>
    <w:rsid w:val="00EC12E0"/>
    <w:rsid w:val="00EC14B1"/>
    <w:rsid w:val="00EC1C82"/>
    <w:rsid w:val="00EC1DBC"/>
    <w:rsid w:val="00EC2142"/>
    <w:rsid w:val="00EC21C7"/>
    <w:rsid w:val="00EC2488"/>
    <w:rsid w:val="00EC2E58"/>
    <w:rsid w:val="00EC3933"/>
    <w:rsid w:val="00EC41C5"/>
    <w:rsid w:val="00EC437C"/>
    <w:rsid w:val="00EC4472"/>
    <w:rsid w:val="00EC4521"/>
    <w:rsid w:val="00EC4B2E"/>
    <w:rsid w:val="00EC4CF6"/>
    <w:rsid w:val="00EC4D2C"/>
    <w:rsid w:val="00EC4F2C"/>
    <w:rsid w:val="00EC4F93"/>
    <w:rsid w:val="00EC586C"/>
    <w:rsid w:val="00EC5B4C"/>
    <w:rsid w:val="00EC642F"/>
    <w:rsid w:val="00EC6439"/>
    <w:rsid w:val="00EC65FA"/>
    <w:rsid w:val="00EC667C"/>
    <w:rsid w:val="00EC6D0B"/>
    <w:rsid w:val="00EC6D19"/>
    <w:rsid w:val="00EC7A87"/>
    <w:rsid w:val="00EC7E03"/>
    <w:rsid w:val="00EC7EC8"/>
    <w:rsid w:val="00EC7FB9"/>
    <w:rsid w:val="00ED0155"/>
    <w:rsid w:val="00ED0401"/>
    <w:rsid w:val="00ED0988"/>
    <w:rsid w:val="00ED0CFD"/>
    <w:rsid w:val="00ED0E6E"/>
    <w:rsid w:val="00ED1E77"/>
    <w:rsid w:val="00ED2BA4"/>
    <w:rsid w:val="00ED2C7D"/>
    <w:rsid w:val="00ED2DAE"/>
    <w:rsid w:val="00ED317B"/>
    <w:rsid w:val="00ED3790"/>
    <w:rsid w:val="00ED3795"/>
    <w:rsid w:val="00ED3A70"/>
    <w:rsid w:val="00ED4050"/>
    <w:rsid w:val="00ED44A5"/>
    <w:rsid w:val="00ED5271"/>
    <w:rsid w:val="00ED5402"/>
    <w:rsid w:val="00ED638C"/>
    <w:rsid w:val="00ED6457"/>
    <w:rsid w:val="00ED6665"/>
    <w:rsid w:val="00ED6724"/>
    <w:rsid w:val="00ED7120"/>
    <w:rsid w:val="00ED7123"/>
    <w:rsid w:val="00ED72E0"/>
    <w:rsid w:val="00ED73D2"/>
    <w:rsid w:val="00ED7AA4"/>
    <w:rsid w:val="00EE062A"/>
    <w:rsid w:val="00EE08B1"/>
    <w:rsid w:val="00EE0B9A"/>
    <w:rsid w:val="00EE113A"/>
    <w:rsid w:val="00EE13B9"/>
    <w:rsid w:val="00EE15B8"/>
    <w:rsid w:val="00EE165B"/>
    <w:rsid w:val="00EE17E6"/>
    <w:rsid w:val="00EE18E3"/>
    <w:rsid w:val="00EE1A96"/>
    <w:rsid w:val="00EE208A"/>
    <w:rsid w:val="00EE2152"/>
    <w:rsid w:val="00EE282C"/>
    <w:rsid w:val="00EE2A4E"/>
    <w:rsid w:val="00EE2DEF"/>
    <w:rsid w:val="00EE2F2A"/>
    <w:rsid w:val="00EE3561"/>
    <w:rsid w:val="00EE35CE"/>
    <w:rsid w:val="00EE395D"/>
    <w:rsid w:val="00EE3A4F"/>
    <w:rsid w:val="00EE3AEC"/>
    <w:rsid w:val="00EE3E1E"/>
    <w:rsid w:val="00EE407A"/>
    <w:rsid w:val="00EE4247"/>
    <w:rsid w:val="00EE4405"/>
    <w:rsid w:val="00EE4935"/>
    <w:rsid w:val="00EE496F"/>
    <w:rsid w:val="00EE50D1"/>
    <w:rsid w:val="00EE522F"/>
    <w:rsid w:val="00EE532B"/>
    <w:rsid w:val="00EE5D32"/>
    <w:rsid w:val="00EE6835"/>
    <w:rsid w:val="00EE6B60"/>
    <w:rsid w:val="00EE79B6"/>
    <w:rsid w:val="00EE7C11"/>
    <w:rsid w:val="00EE7E69"/>
    <w:rsid w:val="00EF14F1"/>
    <w:rsid w:val="00EF1CCC"/>
    <w:rsid w:val="00EF2135"/>
    <w:rsid w:val="00EF312F"/>
    <w:rsid w:val="00EF333D"/>
    <w:rsid w:val="00EF379D"/>
    <w:rsid w:val="00EF394C"/>
    <w:rsid w:val="00EF3978"/>
    <w:rsid w:val="00EF3D27"/>
    <w:rsid w:val="00EF3D5E"/>
    <w:rsid w:val="00EF3DC4"/>
    <w:rsid w:val="00EF3FCD"/>
    <w:rsid w:val="00EF4092"/>
    <w:rsid w:val="00EF429E"/>
    <w:rsid w:val="00EF46B2"/>
    <w:rsid w:val="00EF4BC9"/>
    <w:rsid w:val="00EF58FC"/>
    <w:rsid w:val="00EF5910"/>
    <w:rsid w:val="00EF5DC9"/>
    <w:rsid w:val="00EF5EC0"/>
    <w:rsid w:val="00EF5FA0"/>
    <w:rsid w:val="00EF624E"/>
    <w:rsid w:val="00EF63A2"/>
    <w:rsid w:val="00EF64C5"/>
    <w:rsid w:val="00EF6D96"/>
    <w:rsid w:val="00EF7EF1"/>
    <w:rsid w:val="00F0022E"/>
    <w:rsid w:val="00F0050C"/>
    <w:rsid w:val="00F00661"/>
    <w:rsid w:val="00F00D6D"/>
    <w:rsid w:val="00F00E5B"/>
    <w:rsid w:val="00F00E63"/>
    <w:rsid w:val="00F01546"/>
    <w:rsid w:val="00F01904"/>
    <w:rsid w:val="00F01F57"/>
    <w:rsid w:val="00F02234"/>
    <w:rsid w:val="00F02362"/>
    <w:rsid w:val="00F025A7"/>
    <w:rsid w:val="00F02B4C"/>
    <w:rsid w:val="00F03061"/>
    <w:rsid w:val="00F03464"/>
    <w:rsid w:val="00F03868"/>
    <w:rsid w:val="00F03E0D"/>
    <w:rsid w:val="00F044EE"/>
    <w:rsid w:val="00F04C8D"/>
    <w:rsid w:val="00F05007"/>
    <w:rsid w:val="00F0541C"/>
    <w:rsid w:val="00F05AC5"/>
    <w:rsid w:val="00F05B02"/>
    <w:rsid w:val="00F05C55"/>
    <w:rsid w:val="00F06040"/>
    <w:rsid w:val="00F0665F"/>
    <w:rsid w:val="00F067C2"/>
    <w:rsid w:val="00F069E5"/>
    <w:rsid w:val="00F06D93"/>
    <w:rsid w:val="00F06FC0"/>
    <w:rsid w:val="00F07216"/>
    <w:rsid w:val="00F0782C"/>
    <w:rsid w:val="00F0789F"/>
    <w:rsid w:val="00F07B27"/>
    <w:rsid w:val="00F07B7B"/>
    <w:rsid w:val="00F102E7"/>
    <w:rsid w:val="00F10323"/>
    <w:rsid w:val="00F10747"/>
    <w:rsid w:val="00F10B61"/>
    <w:rsid w:val="00F10D61"/>
    <w:rsid w:val="00F11267"/>
    <w:rsid w:val="00F11986"/>
    <w:rsid w:val="00F11CAF"/>
    <w:rsid w:val="00F1260D"/>
    <w:rsid w:val="00F1286C"/>
    <w:rsid w:val="00F1292B"/>
    <w:rsid w:val="00F13C23"/>
    <w:rsid w:val="00F1440E"/>
    <w:rsid w:val="00F14658"/>
    <w:rsid w:val="00F14800"/>
    <w:rsid w:val="00F148D5"/>
    <w:rsid w:val="00F14AC6"/>
    <w:rsid w:val="00F14B92"/>
    <w:rsid w:val="00F14CD8"/>
    <w:rsid w:val="00F14D80"/>
    <w:rsid w:val="00F14F7E"/>
    <w:rsid w:val="00F15233"/>
    <w:rsid w:val="00F152EF"/>
    <w:rsid w:val="00F152F9"/>
    <w:rsid w:val="00F163A8"/>
    <w:rsid w:val="00F163D6"/>
    <w:rsid w:val="00F164AE"/>
    <w:rsid w:val="00F1696B"/>
    <w:rsid w:val="00F16987"/>
    <w:rsid w:val="00F1719A"/>
    <w:rsid w:val="00F17397"/>
    <w:rsid w:val="00F175BE"/>
    <w:rsid w:val="00F17A72"/>
    <w:rsid w:val="00F17F72"/>
    <w:rsid w:val="00F20066"/>
    <w:rsid w:val="00F2009B"/>
    <w:rsid w:val="00F20451"/>
    <w:rsid w:val="00F20DED"/>
    <w:rsid w:val="00F20FCF"/>
    <w:rsid w:val="00F217E2"/>
    <w:rsid w:val="00F21DF0"/>
    <w:rsid w:val="00F22129"/>
    <w:rsid w:val="00F224A0"/>
    <w:rsid w:val="00F224D8"/>
    <w:rsid w:val="00F227BE"/>
    <w:rsid w:val="00F235FE"/>
    <w:rsid w:val="00F2377F"/>
    <w:rsid w:val="00F23A41"/>
    <w:rsid w:val="00F23B64"/>
    <w:rsid w:val="00F243D1"/>
    <w:rsid w:val="00F24AA4"/>
    <w:rsid w:val="00F24D07"/>
    <w:rsid w:val="00F24E2F"/>
    <w:rsid w:val="00F25165"/>
    <w:rsid w:val="00F254D1"/>
    <w:rsid w:val="00F256FB"/>
    <w:rsid w:val="00F25A03"/>
    <w:rsid w:val="00F25CEE"/>
    <w:rsid w:val="00F26C82"/>
    <w:rsid w:val="00F26DC9"/>
    <w:rsid w:val="00F27447"/>
    <w:rsid w:val="00F275BB"/>
    <w:rsid w:val="00F27747"/>
    <w:rsid w:val="00F27AEA"/>
    <w:rsid w:val="00F27BDB"/>
    <w:rsid w:val="00F27CBA"/>
    <w:rsid w:val="00F27F0A"/>
    <w:rsid w:val="00F27FB9"/>
    <w:rsid w:val="00F3015B"/>
    <w:rsid w:val="00F303B7"/>
    <w:rsid w:val="00F30424"/>
    <w:rsid w:val="00F308C0"/>
    <w:rsid w:val="00F30CE6"/>
    <w:rsid w:val="00F30F92"/>
    <w:rsid w:val="00F312FF"/>
    <w:rsid w:val="00F3171C"/>
    <w:rsid w:val="00F31DA6"/>
    <w:rsid w:val="00F32F3D"/>
    <w:rsid w:val="00F33072"/>
    <w:rsid w:val="00F33342"/>
    <w:rsid w:val="00F335AB"/>
    <w:rsid w:val="00F33DB5"/>
    <w:rsid w:val="00F34D0D"/>
    <w:rsid w:val="00F34F22"/>
    <w:rsid w:val="00F354A2"/>
    <w:rsid w:val="00F35C11"/>
    <w:rsid w:val="00F35CE2"/>
    <w:rsid w:val="00F36238"/>
    <w:rsid w:val="00F36893"/>
    <w:rsid w:val="00F36FEE"/>
    <w:rsid w:val="00F3758E"/>
    <w:rsid w:val="00F37AD2"/>
    <w:rsid w:val="00F37CD4"/>
    <w:rsid w:val="00F37D25"/>
    <w:rsid w:val="00F40017"/>
    <w:rsid w:val="00F4001C"/>
    <w:rsid w:val="00F404A2"/>
    <w:rsid w:val="00F40557"/>
    <w:rsid w:val="00F408CC"/>
    <w:rsid w:val="00F40BC6"/>
    <w:rsid w:val="00F416E9"/>
    <w:rsid w:val="00F41C10"/>
    <w:rsid w:val="00F41F14"/>
    <w:rsid w:val="00F41F66"/>
    <w:rsid w:val="00F42051"/>
    <w:rsid w:val="00F42148"/>
    <w:rsid w:val="00F424D5"/>
    <w:rsid w:val="00F4335E"/>
    <w:rsid w:val="00F4344F"/>
    <w:rsid w:val="00F4362A"/>
    <w:rsid w:val="00F43D92"/>
    <w:rsid w:val="00F447A9"/>
    <w:rsid w:val="00F44EEC"/>
    <w:rsid w:val="00F44F20"/>
    <w:rsid w:val="00F450BB"/>
    <w:rsid w:val="00F4527D"/>
    <w:rsid w:val="00F455F1"/>
    <w:rsid w:val="00F45979"/>
    <w:rsid w:val="00F45A20"/>
    <w:rsid w:val="00F45E5F"/>
    <w:rsid w:val="00F461F0"/>
    <w:rsid w:val="00F46524"/>
    <w:rsid w:val="00F46612"/>
    <w:rsid w:val="00F466D8"/>
    <w:rsid w:val="00F46872"/>
    <w:rsid w:val="00F46B6C"/>
    <w:rsid w:val="00F46FDA"/>
    <w:rsid w:val="00F478F9"/>
    <w:rsid w:val="00F47BE1"/>
    <w:rsid w:val="00F50373"/>
    <w:rsid w:val="00F50455"/>
    <w:rsid w:val="00F50472"/>
    <w:rsid w:val="00F508E5"/>
    <w:rsid w:val="00F50F6F"/>
    <w:rsid w:val="00F51135"/>
    <w:rsid w:val="00F51145"/>
    <w:rsid w:val="00F52510"/>
    <w:rsid w:val="00F52651"/>
    <w:rsid w:val="00F534F0"/>
    <w:rsid w:val="00F5369E"/>
    <w:rsid w:val="00F53DA4"/>
    <w:rsid w:val="00F53E3D"/>
    <w:rsid w:val="00F5404A"/>
    <w:rsid w:val="00F543D3"/>
    <w:rsid w:val="00F54535"/>
    <w:rsid w:val="00F54605"/>
    <w:rsid w:val="00F547CC"/>
    <w:rsid w:val="00F5490A"/>
    <w:rsid w:val="00F5496E"/>
    <w:rsid w:val="00F54B61"/>
    <w:rsid w:val="00F54F28"/>
    <w:rsid w:val="00F54FF7"/>
    <w:rsid w:val="00F556E8"/>
    <w:rsid w:val="00F55AE5"/>
    <w:rsid w:val="00F56268"/>
    <w:rsid w:val="00F569B0"/>
    <w:rsid w:val="00F56CAB"/>
    <w:rsid w:val="00F57009"/>
    <w:rsid w:val="00F57390"/>
    <w:rsid w:val="00F57AFF"/>
    <w:rsid w:val="00F60152"/>
    <w:rsid w:val="00F6016C"/>
    <w:rsid w:val="00F602A2"/>
    <w:rsid w:val="00F60757"/>
    <w:rsid w:val="00F60913"/>
    <w:rsid w:val="00F6099D"/>
    <w:rsid w:val="00F60A7A"/>
    <w:rsid w:val="00F60BBF"/>
    <w:rsid w:val="00F60BE6"/>
    <w:rsid w:val="00F60E68"/>
    <w:rsid w:val="00F61248"/>
    <w:rsid w:val="00F62C59"/>
    <w:rsid w:val="00F62EC4"/>
    <w:rsid w:val="00F63A96"/>
    <w:rsid w:val="00F63C1B"/>
    <w:rsid w:val="00F63F47"/>
    <w:rsid w:val="00F648FA"/>
    <w:rsid w:val="00F64AAF"/>
    <w:rsid w:val="00F64C9D"/>
    <w:rsid w:val="00F65358"/>
    <w:rsid w:val="00F65478"/>
    <w:rsid w:val="00F658D4"/>
    <w:rsid w:val="00F65B91"/>
    <w:rsid w:val="00F65D75"/>
    <w:rsid w:val="00F6633F"/>
    <w:rsid w:val="00F66562"/>
    <w:rsid w:val="00F66EC0"/>
    <w:rsid w:val="00F6712C"/>
    <w:rsid w:val="00F67157"/>
    <w:rsid w:val="00F67191"/>
    <w:rsid w:val="00F67484"/>
    <w:rsid w:val="00F674F8"/>
    <w:rsid w:val="00F67968"/>
    <w:rsid w:val="00F679B3"/>
    <w:rsid w:val="00F67BDD"/>
    <w:rsid w:val="00F67D88"/>
    <w:rsid w:val="00F67E65"/>
    <w:rsid w:val="00F70404"/>
    <w:rsid w:val="00F70B7D"/>
    <w:rsid w:val="00F70F2A"/>
    <w:rsid w:val="00F71223"/>
    <w:rsid w:val="00F71243"/>
    <w:rsid w:val="00F716E6"/>
    <w:rsid w:val="00F71EE0"/>
    <w:rsid w:val="00F71F8B"/>
    <w:rsid w:val="00F72079"/>
    <w:rsid w:val="00F724C2"/>
    <w:rsid w:val="00F72B08"/>
    <w:rsid w:val="00F7302C"/>
    <w:rsid w:val="00F73282"/>
    <w:rsid w:val="00F73A2E"/>
    <w:rsid w:val="00F73A8A"/>
    <w:rsid w:val="00F73EB6"/>
    <w:rsid w:val="00F74088"/>
    <w:rsid w:val="00F743E8"/>
    <w:rsid w:val="00F746E9"/>
    <w:rsid w:val="00F74982"/>
    <w:rsid w:val="00F74AF1"/>
    <w:rsid w:val="00F74F5C"/>
    <w:rsid w:val="00F750CB"/>
    <w:rsid w:val="00F75230"/>
    <w:rsid w:val="00F75615"/>
    <w:rsid w:val="00F75667"/>
    <w:rsid w:val="00F75D50"/>
    <w:rsid w:val="00F75F22"/>
    <w:rsid w:val="00F76555"/>
    <w:rsid w:val="00F766C9"/>
    <w:rsid w:val="00F76777"/>
    <w:rsid w:val="00F76817"/>
    <w:rsid w:val="00F76A83"/>
    <w:rsid w:val="00F7720B"/>
    <w:rsid w:val="00F778C5"/>
    <w:rsid w:val="00F77A87"/>
    <w:rsid w:val="00F77E1A"/>
    <w:rsid w:val="00F80640"/>
    <w:rsid w:val="00F812B0"/>
    <w:rsid w:val="00F817D3"/>
    <w:rsid w:val="00F819AC"/>
    <w:rsid w:val="00F81A5B"/>
    <w:rsid w:val="00F81AFD"/>
    <w:rsid w:val="00F827BB"/>
    <w:rsid w:val="00F82DCB"/>
    <w:rsid w:val="00F82F24"/>
    <w:rsid w:val="00F83400"/>
    <w:rsid w:val="00F839EF"/>
    <w:rsid w:val="00F83E05"/>
    <w:rsid w:val="00F845D3"/>
    <w:rsid w:val="00F846E6"/>
    <w:rsid w:val="00F84CD5"/>
    <w:rsid w:val="00F85425"/>
    <w:rsid w:val="00F8543F"/>
    <w:rsid w:val="00F855B4"/>
    <w:rsid w:val="00F85AD6"/>
    <w:rsid w:val="00F85C47"/>
    <w:rsid w:val="00F86020"/>
    <w:rsid w:val="00F862B3"/>
    <w:rsid w:val="00F86643"/>
    <w:rsid w:val="00F86701"/>
    <w:rsid w:val="00F86862"/>
    <w:rsid w:val="00F8759B"/>
    <w:rsid w:val="00F87964"/>
    <w:rsid w:val="00F901F1"/>
    <w:rsid w:val="00F90457"/>
    <w:rsid w:val="00F90868"/>
    <w:rsid w:val="00F90D5D"/>
    <w:rsid w:val="00F91383"/>
    <w:rsid w:val="00F91ACA"/>
    <w:rsid w:val="00F91CE9"/>
    <w:rsid w:val="00F91E5C"/>
    <w:rsid w:val="00F922C5"/>
    <w:rsid w:val="00F927A0"/>
    <w:rsid w:val="00F92D55"/>
    <w:rsid w:val="00F9371B"/>
    <w:rsid w:val="00F94558"/>
    <w:rsid w:val="00F94595"/>
    <w:rsid w:val="00F947A7"/>
    <w:rsid w:val="00F949FD"/>
    <w:rsid w:val="00F94A4F"/>
    <w:rsid w:val="00F94AE1"/>
    <w:rsid w:val="00F94FFA"/>
    <w:rsid w:val="00F9519E"/>
    <w:rsid w:val="00F95414"/>
    <w:rsid w:val="00F955E3"/>
    <w:rsid w:val="00F9641F"/>
    <w:rsid w:val="00F96799"/>
    <w:rsid w:val="00F96BB6"/>
    <w:rsid w:val="00F96E4E"/>
    <w:rsid w:val="00F975C1"/>
    <w:rsid w:val="00F9794A"/>
    <w:rsid w:val="00FA018C"/>
    <w:rsid w:val="00FA03BA"/>
    <w:rsid w:val="00FA058E"/>
    <w:rsid w:val="00FA0685"/>
    <w:rsid w:val="00FA0F75"/>
    <w:rsid w:val="00FA0FF4"/>
    <w:rsid w:val="00FA14E4"/>
    <w:rsid w:val="00FA1B46"/>
    <w:rsid w:val="00FA1C45"/>
    <w:rsid w:val="00FA1CD3"/>
    <w:rsid w:val="00FA1F84"/>
    <w:rsid w:val="00FA26A9"/>
    <w:rsid w:val="00FA31C9"/>
    <w:rsid w:val="00FA33B7"/>
    <w:rsid w:val="00FA38FA"/>
    <w:rsid w:val="00FA3A37"/>
    <w:rsid w:val="00FA444D"/>
    <w:rsid w:val="00FA4E24"/>
    <w:rsid w:val="00FA4F55"/>
    <w:rsid w:val="00FA58A4"/>
    <w:rsid w:val="00FA58ED"/>
    <w:rsid w:val="00FA5C4D"/>
    <w:rsid w:val="00FA5C50"/>
    <w:rsid w:val="00FA5E39"/>
    <w:rsid w:val="00FA60B2"/>
    <w:rsid w:val="00FA638C"/>
    <w:rsid w:val="00FA6394"/>
    <w:rsid w:val="00FA63A0"/>
    <w:rsid w:val="00FA6691"/>
    <w:rsid w:val="00FA68C5"/>
    <w:rsid w:val="00FA6935"/>
    <w:rsid w:val="00FA6BC7"/>
    <w:rsid w:val="00FA7A19"/>
    <w:rsid w:val="00FB02B5"/>
    <w:rsid w:val="00FB0A2D"/>
    <w:rsid w:val="00FB13CF"/>
    <w:rsid w:val="00FB156D"/>
    <w:rsid w:val="00FB1A66"/>
    <w:rsid w:val="00FB1B07"/>
    <w:rsid w:val="00FB1F98"/>
    <w:rsid w:val="00FB2172"/>
    <w:rsid w:val="00FB2D95"/>
    <w:rsid w:val="00FB315F"/>
    <w:rsid w:val="00FB31A4"/>
    <w:rsid w:val="00FB3F43"/>
    <w:rsid w:val="00FB3FFF"/>
    <w:rsid w:val="00FB4157"/>
    <w:rsid w:val="00FB4187"/>
    <w:rsid w:val="00FB43CE"/>
    <w:rsid w:val="00FB45C2"/>
    <w:rsid w:val="00FB4859"/>
    <w:rsid w:val="00FB4CF7"/>
    <w:rsid w:val="00FB4EB8"/>
    <w:rsid w:val="00FB5F8F"/>
    <w:rsid w:val="00FB61B5"/>
    <w:rsid w:val="00FB6380"/>
    <w:rsid w:val="00FB6666"/>
    <w:rsid w:val="00FB697E"/>
    <w:rsid w:val="00FB6D94"/>
    <w:rsid w:val="00FC0623"/>
    <w:rsid w:val="00FC06EF"/>
    <w:rsid w:val="00FC0805"/>
    <w:rsid w:val="00FC0DA8"/>
    <w:rsid w:val="00FC0E01"/>
    <w:rsid w:val="00FC0FCA"/>
    <w:rsid w:val="00FC1078"/>
    <w:rsid w:val="00FC1265"/>
    <w:rsid w:val="00FC176A"/>
    <w:rsid w:val="00FC185E"/>
    <w:rsid w:val="00FC2006"/>
    <w:rsid w:val="00FC2234"/>
    <w:rsid w:val="00FC2659"/>
    <w:rsid w:val="00FC278A"/>
    <w:rsid w:val="00FC2CC5"/>
    <w:rsid w:val="00FC2E85"/>
    <w:rsid w:val="00FC37BD"/>
    <w:rsid w:val="00FC37EF"/>
    <w:rsid w:val="00FC3DC8"/>
    <w:rsid w:val="00FC3DE4"/>
    <w:rsid w:val="00FC3EA2"/>
    <w:rsid w:val="00FC4F54"/>
    <w:rsid w:val="00FC5443"/>
    <w:rsid w:val="00FC5C8A"/>
    <w:rsid w:val="00FC5DAE"/>
    <w:rsid w:val="00FC5FA6"/>
    <w:rsid w:val="00FC6139"/>
    <w:rsid w:val="00FC647D"/>
    <w:rsid w:val="00FC682B"/>
    <w:rsid w:val="00FC6A1D"/>
    <w:rsid w:val="00FC6FBC"/>
    <w:rsid w:val="00FC707B"/>
    <w:rsid w:val="00FC7409"/>
    <w:rsid w:val="00FC7E0D"/>
    <w:rsid w:val="00FD03CC"/>
    <w:rsid w:val="00FD0748"/>
    <w:rsid w:val="00FD0790"/>
    <w:rsid w:val="00FD081A"/>
    <w:rsid w:val="00FD0C1A"/>
    <w:rsid w:val="00FD1272"/>
    <w:rsid w:val="00FD15DE"/>
    <w:rsid w:val="00FD1A43"/>
    <w:rsid w:val="00FD20A2"/>
    <w:rsid w:val="00FD259A"/>
    <w:rsid w:val="00FD27D5"/>
    <w:rsid w:val="00FD29ED"/>
    <w:rsid w:val="00FD2CA4"/>
    <w:rsid w:val="00FD3B27"/>
    <w:rsid w:val="00FD3E6E"/>
    <w:rsid w:val="00FD3FD7"/>
    <w:rsid w:val="00FD402F"/>
    <w:rsid w:val="00FD4186"/>
    <w:rsid w:val="00FD42B1"/>
    <w:rsid w:val="00FD43EC"/>
    <w:rsid w:val="00FD45C3"/>
    <w:rsid w:val="00FD52F3"/>
    <w:rsid w:val="00FD5489"/>
    <w:rsid w:val="00FD57ED"/>
    <w:rsid w:val="00FD5822"/>
    <w:rsid w:val="00FD5C71"/>
    <w:rsid w:val="00FD5F34"/>
    <w:rsid w:val="00FD5F49"/>
    <w:rsid w:val="00FD5FBA"/>
    <w:rsid w:val="00FD66CE"/>
    <w:rsid w:val="00FD6787"/>
    <w:rsid w:val="00FD6AAB"/>
    <w:rsid w:val="00FD7058"/>
    <w:rsid w:val="00FD7113"/>
    <w:rsid w:val="00FD75C4"/>
    <w:rsid w:val="00FD786C"/>
    <w:rsid w:val="00FD7B99"/>
    <w:rsid w:val="00FE00F2"/>
    <w:rsid w:val="00FE0775"/>
    <w:rsid w:val="00FE0817"/>
    <w:rsid w:val="00FE154F"/>
    <w:rsid w:val="00FE18CA"/>
    <w:rsid w:val="00FE1A12"/>
    <w:rsid w:val="00FE1A6B"/>
    <w:rsid w:val="00FE1B19"/>
    <w:rsid w:val="00FE1C4C"/>
    <w:rsid w:val="00FE20EF"/>
    <w:rsid w:val="00FE24E9"/>
    <w:rsid w:val="00FE263D"/>
    <w:rsid w:val="00FE2927"/>
    <w:rsid w:val="00FE2C45"/>
    <w:rsid w:val="00FE33C7"/>
    <w:rsid w:val="00FE3402"/>
    <w:rsid w:val="00FE383B"/>
    <w:rsid w:val="00FE38D4"/>
    <w:rsid w:val="00FE3AF6"/>
    <w:rsid w:val="00FE3D62"/>
    <w:rsid w:val="00FE440C"/>
    <w:rsid w:val="00FE4C5D"/>
    <w:rsid w:val="00FE4F10"/>
    <w:rsid w:val="00FE505B"/>
    <w:rsid w:val="00FE5228"/>
    <w:rsid w:val="00FE5328"/>
    <w:rsid w:val="00FE544C"/>
    <w:rsid w:val="00FE631B"/>
    <w:rsid w:val="00FE6500"/>
    <w:rsid w:val="00FE6724"/>
    <w:rsid w:val="00FE6789"/>
    <w:rsid w:val="00FE6841"/>
    <w:rsid w:val="00FE68CA"/>
    <w:rsid w:val="00FE6932"/>
    <w:rsid w:val="00FE6D5B"/>
    <w:rsid w:val="00FE6D67"/>
    <w:rsid w:val="00FE6FD2"/>
    <w:rsid w:val="00FE787E"/>
    <w:rsid w:val="00FE7CC1"/>
    <w:rsid w:val="00FE7FC4"/>
    <w:rsid w:val="00FF0024"/>
    <w:rsid w:val="00FF060D"/>
    <w:rsid w:val="00FF166D"/>
    <w:rsid w:val="00FF1689"/>
    <w:rsid w:val="00FF18C7"/>
    <w:rsid w:val="00FF197B"/>
    <w:rsid w:val="00FF21E7"/>
    <w:rsid w:val="00FF2399"/>
    <w:rsid w:val="00FF2496"/>
    <w:rsid w:val="00FF249F"/>
    <w:rsid w:val="00FF309F"/>
    <w:rsid w:val="00FF3198"/>
    <w:rsid w:val="00FF32E0"/>
    <w:rsid w:val="00FF36DC"/>
    <w:rsid w:val="00FF3D94"/>
    <w:rsid w:val="00FF427A"/>
    <w:rsid w:val="00FF4A3E"/>
    <w:rsid w:val="00FF4CFC"/>
    <w:rsid w:val="00FF4E7F"/>
    <w:rsid w:val="00FF51FB"/>
    <w:rsid w:val="00FF5309"/>
    <w:rsid w:val="00FF5477"/>
    <w:rsid w:val="00FF55D7"/>
    <w:rsid w:val="00FF5756"/>
    <w:rsid w:val="00FF5802"/>
    <w:rsid w:val="00FF5958"/>
    <w:rsid w:val="00FF5B0C"/>
    <w:rsid w:val="00FF5CE9"/>
    <w:rsid w:val="00FF5EAB"/>
    <w:rsid w:val="00FF6470"/>
    <w:rsid w:val="00FF64BD"/>
    <w:rsid w:val="00FF66CC"/>
    <w:rsid w:val="00FF67B3"/>
    <w:rsid w:val="00FF694F"/>
    <w:rsid w:val="00FF6BB9"/>
    <w:rsid w:val="00FF6D82"/>
    <w:rsid w:val="00FF6FF9"/>
    <w:rsid w:val="00FF702F"/>
    <w:rsid w:val="00FF744B"/>
    <w:rsid w:val="00FF77EA"/>
    <w:rsid w:val="00FF7A05"/>
    <w:rsid w:val="00FF7D1D"/>
  </w:rsids>
  <m:mathPr>
    <m:mathFont m:val="Cambria Math"/>
    <m:brkBin m:val="before"/>
    <m:brkBinSub m:val="--"/>
    <m:smallFrac m:val="0"/>
    <m:dispDef/>
    <m:lMargin m:val="0"/>
    <m:rMargin m:val="0"/>
    <m:defJc m:val="centerGroup"/>
    <m:wrapIndent m:val="1440"/>
    <m:intLim m:val="subSup"/>
    <m:naryLim m:val="undOvr"/>
  </m:mathPr>
  <w:themeFontLang w:val="lt-LT" w:eastAsia="zh-CN"/>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608C2"/>
    <w:pPr>
      <w:spacing w:after="0" w:line="240" w:lineRule="auto"/>
    </w:pPr>
    <w:rPr>
      <w:rFonts w:ascii="Times New Roman" w:eastAsia="Times New Roman" w:hAnsi="Times New Roman" w:cs="Times New Roman"/>
      <w:sz w:val="24"/>
      <w:szCs w:val="20"/>
    </w:rPr>
  </w:style>
  <w:style w:type="paragraph" w:styleId="Antrat1">
    <w:name w:val="heading 1"/>
    <w:basedOn w:val="prastasis"/>
    <w:next w:val="prastasis"/>
    <w:link w:val="Antrat1Diagrama"/>
    <w:uiPriority w:val="9"/>
    <w:qFormat/>
    <w:rsid w:val="00547D49"/>
    <w:pPr>
      <w:keepNext/>
      <w:keepLines/>
      <w:numPr>
        <w:numId w:val="1"/>
      </w:numPr>
      <w:spacing w:before="360" w:after="240"/>
      <w:jc w:val="center"/>
      <w:outlineLvl w:val="0"/>
    </w:pPr>
    <w:rPr>
      <w:rFonts w:asciiTheme="minorHAnsi" w:eastAsiaTheme="majorEastAsia" w:hAnsiTheme="minorHAnsi" w:cstheme="majorBidi"/>
      <w:b/>
      <w:bCs/>
      <w:color w:val="365F91" w:themeColor="accent1" w:themeShade="BF"/>
      <w:sz w:val="28"/>
      <w:szCs w:val="24"/>
      <w:lang w:eastAsia="lt-LT"/>
    </w:rPr>
  </w:style>
  <w:style w:type="paragraph" w:styleId="Antrat2">
    <w:name w:val="heading 2"/>
    <w:basedOn w:val="prastasis"/>
    <w:next w:val="prastasis"/>
    <w:link w:val="Antrat2Diagrama"/>
    <w:uiPriority w:val="9"/>
    <w:unhideWhenUsed/>
    <w:qFormat/>
    <w:rsid w:val="00B8640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Antrat3">
    <w:name w:val="heading 3"/>
    <w:basedOn w:val="prastasis"/>
    <w:next w:val="prastasis"/>
    <w:link w:val="Antrat3Diagrama"/>
    <w:uiPriority w:val="9"/>
    <w:semiHidden/>
    <w:unhideWhenUsed/>
    <w:qFormat/>
    <w:rsid w:val="001F7F6F"/>
    <w:pPr>
      <w:keepNext/>
      <w:keepLines/>
      <w:spacing w:before="200"/>
      <w:outlineLvl w:val="2"/>
    </w:pPr>
    <w:rPr>
      <w:rFonts w:asciiTheme="majorHAnsi" w:eastAsiaTheme="majorEastAsia" w:hAnsiTheme="majorHAnsi" w:cstheme="majorBidi"/>
      <w:b/>
      <w:bCs/>
      <w:color w:val="4F81BD" w:themeColor="accent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CharDiagramaCharChar1">
    <w:name w:val="Char Diagrama Char Char1"/>
    <w:basedOn w:val="prastasis"/>
    <w:rsid w:val="002D6066"/>
    <w:pPr>
      <w:spacing w:after="160" w:line="240" w:lineRule="exact"/>
    </w:pPr>
    <w:rPr>
      <w:rFonts w:ascii="Tahoma" w:hAnsi="Tahoma"/>
      <w:sz w:val="20"/>
      <w:lang w:val="en-US"/>
    </w:rPr>
  </w:style>
  <w:style w:type="paragraph" w:styleId="Sraopastraipa">
    <w:name w:val="List Paragraph"/>
    <w:aliases w:val="List Paragraph (numbered (a)),References,WB List Paragraph,Akapit z listą,Dot pt,F5 List Paragraph,List Paragraph1,Recommendation,List Paragraph11,Numerowanie,Kolorowa lista — akcent 11,Akapit z listą1,Listaszerű bekezdés1,Bullet EY,lp1"/>
    <w:basedOn w:val="prastasis"/>
    <w:link w:val="SraopastraipaDiagrama"/>
    <w:uiPriority w:val="34"/>
    <w:qFormat/>
    <w:rsid w:val="002D6066"/>
    <w:pPr>
      <w:spacing w:after="200" w:line="276" w:lineRule="auto"/>
      <w:ind w:left="720"/>
      <w:contextualSpacing/>
    </w:pPr>
    <w:rPr>
      <w:rFonts w:ascii="Calibri" w:eastAsia="Calibri" w:hAnsi="Calibri"/>
      <w:sz w:val="22"/>
      <w:szCs w:val="22"/>
    </w:rPr>
  </w:style>
  <w:style w:type="paragraph" w:styleId="Debesliotekstas">
    <w:name w:val="Balloon Text"/>
    <w:basedOn w:val="prastasis"/>
    <w:link w:val="DebesliotekstasDiagrama"/>
    <w:uiPriority w:val="99"/>
    <w:semiHidden/>
    <w:unhideWhenUsed/>
    <w:rsid w:val="002D6066"/>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2D6066"/>
    <w:rPr>
      <w:rFonts w:ascii="Tahoma" w:eastAsia="Times New Roman" w:hAnsi="Tahoma" w:cs="Tahoma"/>
      <w:sz w:val="16"/>
      <w:szCs w:val="16"/>
    </w:rPr>
  </w:style>
  <w:style w:type="paragraph" w:customStyle="1" w:styleId="CharDiagramaCharChar">
    <w:name w:val="Char Diagrama Char Char"/>
    <w:basedOn w:val="prastasis"/>
    <w:rsid w:val="002E5B8A"/>
    <w:pPr>
      <w:spacing w:after="160" w:line="240" w:lineRule="exact"/>
    </w:pPr>
    <w:rPr>
      <w:rFonts w:ascii="Tahoma" w:hAnsi="Tahoma"/>
      <w:sz w:val="20"/>
      <w:lang w:val="en-US"/>
    </w:rPr>
  </w:style>
  <w:style w:type="character" w:styleId="Komentaronuoroda">
    <w:name w:val="annotation reference"/>
    <w:basedOn w:val="Numatytasispastraiposriftas"/>
    <w:uiPriority w:val="99"/>
    <w:semiHidden/>
    <w:unhideWhenUsed/>
    <w:rsid w:val="00C2465F"/>
    <w:rPr>
      <w:sz w:val="16"/>
      <w:szCs w:val="16"/>
    </w:rPr>
  </w:style>
  <w:style w:type="paragraph" w:styleId="Komentarotekstas">
    <w:name w:val="annotation text"/>
    <w:basedOn w:val="prastasis"/>
    <w:link w:val="KomentarotekstasDiagrama"/>
    <w:uiPriority w:val="99"/>
    <w:unhideWhenUsed/>
    <w:rsid w:val="00C2465F"/>
    <w:rPr>
      <w:sz w:val="20"/>
    </w:rPr>
  </w:style>
  <w:style w:type="character" w:customStyle="1" w:styleId="KomentarotekstasDiagrama">
    <w:name w:val="Komentaro tekstas Diagrama"/>
    <w:basedOn w:val="Numatytasispastraiposriftas"/>
    <w:link w:val="Komentarotekstas"/>
    <w:uiPriority w:val="99"/>
    <w:rsid w:val="00C2465F"/>
    <w:rPr>
      <w:rFonts w:ascii="Times New Roman" w:eastAsia="Times New Roman" w:hAnsi="Times New Roman" w:cs="Times New Roman"/>
      <w:sz w:val="20"/>
      <w:szCs w:val="20"/>
    </w:rPr>
  </w:style>
  <w:style w:type="paragraph" w:styleId="Komentarotema">
    <w:name w:val="annotation subject"/>
    <w:basedOn w:val="Komentarotekstas"/>
    <w:next w:val="Komentarotekstas"/>
    <w:link w:val="KomentarotemaDiagrama"/>
    <w:uiPriority w:val="99"/>
    <w:semiHidden/>
    <w:unhideWhenUsed/>
    <w:rsid w:val="00C2465F"/>
    <w:rPr>
      <w:b/>
      <w:bCs/>
    </w:rPr>
  </w:style>
  <w:style w:type="character" w:customStyle="1" w:styleId="KomentarotemaDiagrama">
    <w:name w:val="Komentaro tema Diagrama"/>
    <w:basedOn w:val="KomentarotekstasDiagrama"/>
    <w:link w:val="Komentarotema"/>
    <w:uiPriority w:val="99"/>
    <w:semiHidden/>
    <w:rsid w:val="00C2465F"/>
    <w:rPr>
      <w:rFonts w:ascii="Times New Roman" w:eastAsia="Times New Roman" w:hAnsi="Times New Roman" w:cs="Times New Roman"/>
      <w:b/>
      <w:bCs/>
      <w:sz w:val="20"/>
      <w:szCs w:val="20"/>
    </w:rPr>
  </w:style>
  <w:style w:type="paragraph" w:styleId="prastasistinklapis">
    <w:name w:val="Normal (Web)"/>
    <w:basedOn w:val="prastasis"/>
    <w:uiPriority w:val="99"/>
    <w:unhideWhenUsed/>
    <w:rsid w:val="00AE3D8C"/>
    <w:pPr>
      <w:spacing w:before="100" w:beforeAutospacing="1" w:after="100" w:afterAutospacing="1"/>
    </w:pPr>
    <w:rPr>
      <w:rFonts w:eastAsiaTheme="minorEastAsia"/>
      <w:szCs w:val="24"/>
      <w:lang w:eastAsia="lt-LT"/>
    </w:rPr>
  </w:style>
  <w:style w:type="paragraph" w:styleId="Antrats">
    <w:name w:val="header"/>
    <w:basedOn w:val="prastasis"/>
    <w:link w:val="AntratsDiagrama"/>
    <w:uiPriority w:val="99"/>
    <w:unhideWhenUsed/>
    <w:rsid w:val="00885DE2"/>
    <w:pPr>
      <w:tabs>
        <w:tab w:val="center" w:pos="4819"/>
        <w:tab w:val="right" w:pos="9638"/>
      </w:tabs>
    </w:pPr>
  </w:style>
  <w:style w:type="character" w:customStyle="1" w:styleId="AntratsDiagrama">
    <w:name w:val="Antraštės Diagrama"/>
    <w:basedOn w:val="Numatytasispastraiposriftas"/>
    <w:link w:val="Antrats"/>
    <w:uiPriority w:val="99"/>
    <w:rsid w:val="00885DE2"/>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885DE2"/>
    <w:pPr>
      <w:tabs>
        <w:tab w:val="center" w:pos="4819"/>
        <w:tab w:val="right" w:pos="9638"/>
      </w:tabs>
    </w:pPr>
  </w:style>
  <w:style w:type="character" w:customStyle="1" w:styleId="PoratDiagrama">
    <w:name w:val="Poraštė Diagrama"/>
    <w:basedOn w:val="Numatytasispastraiposriftas"/>
    <w:link w:val="Porat"/>
    <w:uiPriority w:val="99"/>
    <w:rsid w:val="00885DE2"/>
    <w:rPr>
      <w:rFonts w:ascii="Times New Roman" w:eastAsia="Times New Roman" w:hAnsi="Times New Roman" w:cs="Times New Roman"/>
      <w:sz w:val="24"/>
      <w:szCs w:val="20"/>
    </w:rPr>
  </w:style>
  <w:style w:type="table" w:styleId="Lentelstinklelis">
    <w:name w:val="Table Grid"/>
    <w:basedOn w:val="prastojilentel"/>
    <w:uiPriority w:val="59"/>
    <w:rsid w:val="009E3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taisymai">
    <w:name w:val="Revision"/>
    <w:hidden/>
    <w:uiPriority w:val="99"/>
    <w:semiHidden/>
    <w:rsid w:val="003F2736"/>
    <w:pPr>
      <w:spacing w:after="0" w:line="240" w:lineRule="auto"/>
    </w:pPr>
    <w:rPr>
      <w:rFonts w:ascii="Times New Roman" w:eastAsia="Times New Roman" w:hAnsi="Times New Roman" w:cs="Times New Roman"/>
      <w:sz w:val="24"/>
      <w:szCs w:val="20"/>
    </w:rPr>
  </w:style>
  <w:style w:type="table" w:customStyle="1" w:styleId="Lentelstinklelis1">
    <w:name w:val="Lentelės tinklelis1"/>
    <w:basedOn w:val="prastojilentel"/>
    <w:next w:val="Lentelstinklelis"/>
    <w:uiPriority w:val="59"/>
    <w:rsid w:val="0043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qFormat/>
    <w:rsid w:val="00F76555"/>
    <w:pPr>
      <w:spacing w:after="240"/>
      <w:jc w:val="both"/>
    </w:pPr>
    <w:rPr>
      <w:rFonts w:eastAsia="SimSun"/>
      <w:szCs w:val="24"/>
      <w:lang w:eastAsia="lt-LT"/>
    </w:rPr>
  </w:style>
  <w:style w:type="character" w:customStyle="1" w:styleId="PagrindinistekstasDiagrama">
    <w:name w:val="Pagrindinis tekstas Diagrama"/>
    <w:basedOn w:val="Numatytasispastraiposriftas"/>
    <w:link w:val="Pagrindinistekstas"/>
    <w:rsid w:val="00F76555"/>
    <w:rPr>
      <w:rFonts w:ascii="Times New Roman" w:eastAsia="SimSun" w:hAnsi="Times New Roman" w:cs="Times New Roman"/>
      <w:sz w:val="24"/>
      <w:szCs w:val="24"/>
      <w:lang w:eastAsia="lt-LT"/>
    </w:rPr>
  </w:style>
  <w:style w:type="paragraph" w:styleId="Puslapioinaostekstas">
    <w:name w:val="footnote text"/>
    <w:aliases w:val="• Isnasos,Footnote Text Char Char,Footnote,Fußnotentextf,stile 1,Footnote1,Footnote2,Footnote3,Footnote4,Footnote5,Footnote6,Footnote7,Footnote8,Footnote9,Footnote10,Footnote11,Footnote21,Footnote31,Footnote41,Footnote51,f,fn,o"/>
    <w:basedOn w:val="prastasis"/>
    <w:link w:val="PuslapioinaostekstasDiagrama"/>
    <w:uiPriority w:val="99"/>
    <w:unhideWhenUsed/>
    <w:qFormat/>
    <w:rsid w:val="004D3793"/>
    <w:rPr>
      <w:sz w:val="20"/>
    </w:rPr>
  </w:style>
  <w:style w:type="character" w:customStyle="1" w:styleId="PuslapioinaostekstasDiagrama">
    <w:name w:val="Puslapio išnašos tekstas Diagrama"/>
    <w:aliases w:val="• Isnasos Diagrama,Footnote Text Char Char Diagrama,Footnote Diagrama,Fußnotentextf Diagrama,stile 1 Diagrama,Footnote1 Diagrama,Footnote2 Diagrama,Footnote3 Diagrama,Footnote4 Diagrama,Footnote5 Diagrama,f Diagrama"/>
    <w:basedOn w:val="Numatytasispastraiposriftas"/>
    <w:link w:val="Puslapioinaostekstas"/>
    <w:uiPriority w:val="99"/>
    <w:rsid w:val="004D3793"/>
    <w:rPr>
      <w:rFonts w:ascii="Times New Roman" w:eastAsia="Times New Roman" w:hAnsi="Times New Roman" w:cs="Times New Roman"/>
      <w:sz w:val="20"/>
      <w:szCs w:val="20"/>
    </w:rPr>
  </w:style>
  <w:style w:type="character" w:styleId="Puslapioinaosnuoroda">
    <w:name w:val="footnote reference"/>
    <w:aliases w:val="• Isnasos nuoroda,Footnotes refss,Appel note de bas de p,Footnote symbol,Voetnootverwijzing,Times 10 Point,Exposant 3 Point,BVI fnr,Footnote Reference Number,SUPERS,Footnote anchor,Footnote reference number,Footnote number,fr,FR"/>
    <w:basedOn w:val="Numatytasispastraiposriftas"/>
    <w:link w:val="SUPERSChar"/>
    <w:uiPriority w:val="99"/>
    <w:unhideWhenUsed/>
    <w:qFormat/>
    <w:rsid w:val="004D3793"/>
    <w:rPr>
      <w:vertAlign w:val="superscript"/>
    </w:rPr>
  </w:style>
  <w:style w:type="paragraph" w:styleId="prastojitrauka">
    <w:name w:val="Normal Indent"/>
    <w:basedOn w:val="prastasis"/>
    <w:uiPriority w:val="99"/>
    <w:semiHidden/>
    <w:unhideWhenUsed/>
    <w:rsid w:val="008C4570"/>
    <w:pPr>
      <w:ind w:left="1296"/>
    </w:pPr>
  </w:style>
  <w:style w:type="character" w:customStyle="1" w:styleId="Antrat1Diagrama">
    <w:name w:val="Antraštė 1 Diagrama"/>
    <w:basedOn w:val="Numatytasispastraiposriftas"/>
    <w:link w:val="Antrat1"/>
    <w:uiPriority w:val="9"/>
    <w:rsid w:val="00547D49"/>
    <w:rPr>
      <w:rFonts w:eastAsiaTheme="majorEastAsia" w:cstheme="majorBidi"/>
      <w:b/>
      <w:bCs/>
      <w:color w:val="365F91" w:themeColor="accent1" w:themeShade="BF"/>
      <w:sz w:val="28"/>
      <w:szCs w:val="24"/>
      <w:lang w:eastAsia="lt-LT"/>
    </w:rPr>
  </w:style>
  <w:style w:type="character" w:customStyle="1" w:styleId="Antrat2Diagrama">
    <w:name w:val="Antraštė 2 Diagrama"/>
    <w:basedOn w:val="Numatytasispastraiposriftas"/>
    <w:link w:val="Antrat2"/>
    <w:uiPriority w:val="9"/>
    <w:rsid w:val="00B86403"/>
    <w:rPr>
      <w:rFonts w:asciiTheme="majorHAnsi" w:eastAsiaTheme="majorEastAsia" w:hAnsiTheme="majorHAnsi" w:cstheme="majorBidi"/>
      <w:b/>
      <w:bCs/>
      <w:color w:val="4F81BD" w:themeColor="accent1"/>
      <w:sz w:val="26"/>
      <w:szCs w:val="26"/>
    </w:rPr>
  </w:style>
  <w:style w:type="paragraph" w:styleId="Turinioantrat">
    <w:name w:val="TOC Heading"/>
    <w:basedOn w:val="Antrat1"/>
    <w:next w:val="prastasis"/>
    <w:uiPriority w:val="39"/>
    <w:unhideWhenUsed/>
    <w:qFormat/>
    <w:rsid w:val="00B86403"/>
    <w:pPr>
      <w:spacing w:line="276" w:lineRule="auto"/>
      <w:outlineLvl w:val="9"/>
    </w:pPr>
  </w:style>
  <w:style w:type="paragraph" w:styleId="Turinys1">
    <w:name w:val="toc 1"/>
    <w:basedOn w:val="prastasis"/>
    <w:next w:val="prastasis"/>
    <w:autoRedefine/>
    <w:uiPriority w:val="39"/>
    <w:unhideWhenUsed/>
    <w:rsid w:val="00B86403"/>
    <w:pPr>
      <w:spacing w:after="100"/>
    </w:pPr>
  </w:style>
  <w:style w:type="paragraph" w:styleId="Turinys2">
    <w:name w:val="toc 2"/>
    <w:basedOn w:val="prastasis"/>
    <w:next w:val="prastasis"/>
    <w:autoRedefine/>
    <w:uiPriority w:val="39"/>
    <w:unhideWhenUsed/>
    <w:rsid w:val="00B86403"/>
    <w:pPr>
      <w:spacing w:after="100"/>
      <w:ind w:left="240"/>
    </w:pPr>
  </w:style>
  <w:style w:type="character" w:styleId="Hipersaitas">
    <w:name w:val="Hyperlink"/>
    <w:basedOn w:val="Numatytasispastraiposriftas"/>
    <w:uiPriority w:val="99"/>
    <w:unhideWhenUsed/>
    <w:rsid w:val="00B86403"/>
    <w:rPr>
      <w:color w:val="0000FF" w:themeColor="hyperlink"/>
      <w:u w:val="single"/>
    </w:rPr>
  </w:style>
  <w:style w:type="paragraph" w:customStyle="1" w:styleId="DiagramaDiagrama1DiagramaDiagramaDiagramaDiagramaDiagramaDiagramaDiagramaDiagramaDiagramaDiagramaDiagrama">
    <w:name w:val="Diagrama Diagrama1 Diagrama Diagrama Diagrama Diagrama Diagrama Diagrama Diagrama Diagrama Diagrama Diagrama Diagrama"/>
    <w:basedOn w:val="prastasis"/>
    <w:rsid w:val="00B86403"/>
    <w:pPr>
      <w:spacing w:after="160" w:line="240" w:lineRule="exact"/>
    </w:pPr>
    <w:rPr>
      <w:rFonts w:ascii="Tahoma" w:hAnsi="Tahoma"/>
      <w:sz w:val="20"/>
      <w:lang w:val="en-US"/>
    </w:rPr>
  </w:style>
  <w:style w:type="character" w:customStyle="1" w:styleId="SraopastraipaDiagrama">
    <w:name w:val="Sąrašo pastraipa Diagrama"/>
    <w:aliases w:val="List Paragraph (numbered (a)) Diagrama,References Diagrama,WB List Paragraph Diagrama,Akapit z listą Diagrama,Dot pt Diagrama,F5 List Paragraph Diagrama,List Paragraph1 Diagrama,Recommendation Diagrama,List Paragraph11 Diagrama"/>
    <w:link w:val="Sraopastraipa"/>
    <w:uiPriority w:val="34"/>
    <w:locked/>
    <w:rsid w:val="00433A9A"/>
    <w:rPr>
      <w:rFonts w:ascii="Calibri" w:eastAsia="Calibri" w:hAnsi="Calibri" w:cs="Times New Roman"/>
    </w:rPr>
  </w:style>
  <w:style w:type="paragraph" w:styleId="Antrat">
    <w:name w:val="caption"/>
    <w:aliases w:val="• Caption,Table caption,paveikslas,Paveikslo pavadinimas,TabelOverskrift"/>
    <w:basedOn w:val="prastasis"/>
    <w:next w:val="prastasis"/>
    <w:link w:val="AntratDiagrama"/>
    <w:uiPriority w:val="99"/>
    <w:unhideWhenUsed/>
    <w:qFormat/>
    <w:rsid w:val="00433A9A"/>
    <w:pPr>
      <w:spacing w:after="200"/>
    </w:pPr>
    <w:rPr>
      <w:rFonts w:ascii="Calibri" w:eastAsia="Calibri" w:hAnsi="Calibri"/>
      <w:b/>
      <w:bCs/>
      <w:color w:val="4F81BD"/>
      <w:sz w:val="18"/>
      <w:szCs w:val="18"/>
    </w:rPr>
  </w:style>
  <w:style w:type="paragraph" w:customStyle="1" w:styleId="antrat2ZZ">
    <w:name w:val="antraštė 2_ZZ"/>
    <w:basedOn w:val="prastasis"/>
    <w:link w:val="antrat2ZZDiagrama"/>
    <w:qFormat/>
    <w:rsid w:val="00547D49"/>
    <w:pPr>
      <w:keepNext/>
      <w:keepLines/>
      <w:spacing w:before="360" w:after="240"/>
      <w:jc w:val="center"/>
      <w:outlineLvl w:val="0"/>
    </w:pPr>
    <w:rPr>
      <w:rFonts w:asciiTheme="minorHAnsi" w:eastAsiaTheme="majorEastAsia" w:hAnsiTheme="minorHAnsi" w:cstheme="majorBidi"/>
      <w:b/>
      <w:bCs/>
      <w:color w:val="365F91" w:themeColor="accent1" w:themeShade="BF"/>
      <w:sz w:val="26"/>
      <w:szCs w:val="28"/>
      <w:lang w:eastAsia="lt-LT"/>
    </w:rPr>
  </w:style>
  <w:style w:type="paragraph" w:customStyle="1" w:styleId="antrat3zz">
    <w:name w:val="antraštė 3_zz"/>
    <w:basedOn w:val="Antrat2"/>
    <w:link w:val="antrat3zzDiagrama"/>
    <w:qFormat/>
    <w:rsid w:val="00547D49"/>
    <w:pPr>
      <w:spacing w:before="240" w:after="120"/>
    </w:pPr>
    <w:rPr>
      <w:rFonts w:asciiTheme="minorHAnsi" w:hAnsiTheme="minorHAnsi"/>
      <w:color w:val="595959" w:themeColor="text1" w:themeTint="A6"/>
      <w:sz w:val="24"/>
      <w:szCs w:val="24"/>
      <w:lang w:eastAsia="lt-LT"/>
    </w:rPr>
  </w:style>
  <w:style w:type="character" w:customStyle="1" w:styleId="antrat2ZZDiagrama">
    <w:name w:val="antraštė 2_ZZ Diagrama"/>
    <w:basedOn w:val="Numatytasispastraiposriftas"/>
    <w:link w:val="antrat2ZZ"/>
    <w:rsid w:val="00547D49"/>
    <w:rPr>
      <w:rFonts w:eastAsiaTheme="majorEastAsia" w:cstheme="majorBidi"/>
      <w:b/>
      <w:bCs/>
      <w:color w:val="365F91" w:themeColor="accent1" w:themeShade="BF"/>
      <w:sz w:val="26"/>
      <w:szCs w:val="28"/>
      <w:lang w:eastAsia="lt-LT"/>
    </w:rPr>
  </w:style>
  <w:style w:type="character" w:customStyle="1" w:styleId="antrat3zzDiagrama">
    <w:name w:val="antraštė 3_zz Diagrama"/>
    <w:basedOn w:val="Antrat2Diagrama"/>
    <w:link w:val="antrat3zz"/>
    <w:rsid w:val="00547D49"/>
    <w:rPr>
      <w:rFonts w:asciiTheme="majorHAnsi" w:eastAsiaTheme="majorEastAsia" w:hAnsiTheme="majorHAnsi" w:cstheme="majorBidi"/>
      <w:b/>
      <w:bCs/>
      <w:color w:val="595959" w:themeColor="text1" w:themeTint="A6"/>
      <w:sz w:val="24"/>
      <w:szCs w:val="24"/>
      <w:lang w:eastAsia="lt-LT"/>
    </w:rPr>
  </w:style>
  <w:style w:type="paragraph" w:styleId="Pavadinimas">
    <w:name w:val="Title"/>
    <w:basedOn w:val="prastasis"/>
    <w:next w:val="prastasis"/>
    <w:link w:val="PavadinimasDiagrama"/>
    <w:uiPriority w:val="10"/>
    <w:qFormat/>
    <w:rsid w:val="00FC613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28"/>
      <w:szCs w:val="52"/>
    </w:rPr>
  </w:style>
  <w:style w:type="character" w:customStyle="1" w:styleId="PavadinimasDiagrama">
    <w:name w:val="Pavadinimas Diagrama"/>
    <w:basedOn w:val="Numatytasispastraiposriftas"/>
    <w:link w:val="Pavadinimas"/>
    <w:uiPriority w:val="10"/>
    <w:rsid w:val="00FC6139"/>
    <w:rPr>
      <w:rFonts w:asciiTheme="majorHAnsi" w:eastAsiaTheme="majorEastAsia" w:hAnsiTheme="majorHAnsi" w:cstheme="majorBidi"/>
      <w:color w:val="17365D" w:themeColor="text2" w:themeShade="BF"/>
      <w:spacing w:val="5"/>
      <w:kern w:val="28"/>
      <w:sz w:val="28"/>
      <w:szCs w:val="52"/>
    </w:rPr>
  </w:style>
  <w:style w:type="paragraph" w:customStyle="1" w:styleId="088095CB421E4E02BDC9682AFEE1723A">
    <w:name w:val="088095CB421E4E02BDC9682AFEE1723A"/>
    <w:rsid w:val="00866DFB"/>
    <w:rPr>
      <w:rFonts w:eastAsiaTheme="minorEastAsia"/>
      <w:lang w:eastAsia="lt-LT"/>
    </w:rPr>
  </w:style>
  <w:style w:type="paragraph" w:styleId="Pagrindiniotekstotrauka">
    <w:name w:val="Body Text Indent"/>
    <w:basedOn w:val="prastasis"/>
    <w:link w:val="PagrindiniotekstotraukaDiagrama"/>
    <w:uiPriority w:val="99"/>
    <w:unhideWhenUsed/>
    <w:rsid w:val="004F2F37"/>
    <w:pPr>
      <w:spacing w:after="120"/>
      <w:ind w:left="283"/>
    </w:pPr>
  </w:style>
  <w:style w:type="character" w:customStyle="1" w:styleId="PagrindiniotekstotraukaDiagrama">
    <w:name w:val="Pagrindinio teksto įtrauka Diagrama"/>
    <w:basedOn w:val="Numatytasispastraiposriftas"/>
    <w:link w:val="Pagrindiniotekstotrauka"/>
    <w:uiPriority w:val="99"/>
    <w:rsid w:val="004F2F37"/>
    <w:rPr>
      <w:rFonts w:ascii="Times New Roman" w:eastAsia="Times New Roman" w:hAnsi="Times New Roman" w:cs="Times New Roman"/>
      <w:sz w:val="24"/>
      <w:szCs w:val="20"/>
    </w:rPr>
  </w:style>
  <w:style w:type="paragraph" w:customStyle="1" w:styleId="SUPERSChar">
    <w:name w:val="SUPERS Char"/>
    <w:aliases w:val="EN Footnote Reference Char"/>
    <w:basedOn w:val="prastasis"/>
    <w:link w:val="Puslapioinaosnuoroda"/>
    <w:uiPriority w:val="99"/>
    <w:rsid w:val="004F2F37"/>
    <w:pPr>
      <w:spacing w:after="160" w:line="240" w:lineRule="exact"/>
    </w:pPr>
    <w:rPr>
      <w:rFonts w:asciiTheme="minorHAnsi" w:eastAsiaTheme="minorHAnsi" w:hAnsiTheme="minorHAnsi" w:cstheme="minorBidi"/>
      <w:sz w:val="22"/>
      <w:szCs w:val="22"/>
      <w:vertAlign w:val="superscript"/>
    </w:rPr>
  </w:style>
  <w:style w:type="character" w:customStyle="1" w:styleId="AntratDiagrama">
    <w:name w:val="Antraštė Diagrama"/>
    <w:aliases w:val="• Caption Diagrama,Table caption Diagrama,paveikslas Diagrama,Paveikslo pavadinimas Diagrama,TabelOverskrift Diagrama"/>
    <w:link w:val="Antrat"/>
    <w:uiPriority w:val="99"/>
    <w:locked/>
    <w:rsid w:val="004F2F37"/>
    <w:rPr>
      <w:rFonts w:ascii="Calibri" w:eastAsia="Calibri" w:hAnsi="Calibri" w:cs="Times New Roman"/>
      <w:b/>
      <w:bCs/>
      <w:color w:val="4F81BD"/>
      <w:sz w:val="18"/>
      <w:szCs w:val="18"/>
    </w:rPr>
  </w:style>
  <w:style w:type="paragraph" w:customStyle="1" w:styleId="Pagrindinispaprastastekstas">
    <w:name w:val="• Pagrindinis paprastas tekstas"/>
    <w:basedOn w:val="prastasis"/>
    <w:link w:val="PagrindinispaprastastekstasChar"/>
    <w:uiPriority w:val="99"/>
    <w:rsid w:val="004F2F37"/>
    <w:pPr>
      <w:jc w:val="both"/>
    </w:pPr>
    <w:rPr>
      <w:rFonts w:ascii="Cambria" w:eastAsia="Calibri" w:hAnsi="Cambria" w:cs="Cambria"/>
      <w:szCs w:val="24"/>
      <w:lang w:eastAsia="lt-LT"/>
    </w:rPr>
  </w:style>
  <w:style w:type="character" w:customStyle="1" w:styleId="PagrindinispaprastastekstasChar">
    <w:name w:val="• Pagrindinis paprastas tekstas Char"/>
    <w:link w:val="Pagrindinispaprastastekstas"/>
    <w:uiPriority w:val="99"/>
    <w:locked/>
    <w:rsid w:val="004F2F37"/>
    <w:rPr>
      <w:rFonts w:ascii="Cambria" w:eastAsia="Calibri" w:hAnsi="Cambria" w:cs="Cambria"/>
      <w:sz w:val="24"/>
      <w:szCs w:val="24"/>
      <w:lang w:eastAsia="lt-LT"/>
    </w:rPr>
  </w:style>
  <w:style w:type="paragraph" w:customStyle="1" w:styleId="tekstas">
    <w:name w:val="tekstas"/>
    <w:basedOn w:val="prastasis"/>
    <w:link w:val="tekstasDiagrama"/>
    <w:qFormat/>
    <w:rsid w:val="004F2F37"/>
    <w:pPr>
      <w:ind w:firstLine="426"/>
      <w:jc w:val="both"/>
    </w:pPr>
    <w:rPr>
      <w:rFonts w:asciiTheme="minorHAnsi" w:hAnsiTheme="minorHAnsi"/>
      <w:color w:val="666666"/>
      <w:szCs w:val="24"/>
    </w:rPr>
  </w:style>
  <w:style w:type="character" w:customStyle="1" w:styleId="tekstasDiagrama">
    <w:name w:val="tekstas Diagrama"/>
    <w:basedOn w:val="Numatytasispastraiposriftas"/>
    <w:link w:val="tekstas"/>
    <w:rsid w:val="004F2F37"/>
    <w:rPr>
      <w:rFonts w:eastAsia="Times New Roman" w:cs="Times New Roman"/>
      <w:color w:val="666666"/>
      <w:sz w:val="24"/>
      <w:szCs w:val="24"/>
    </w:rPr>
  </w:style>
  <w:style w:type="paragraph" w:customStyle="1" w:styleId="Textboxtekstas">
    <w:name w:val="• Text box tekstas"/>
    <w:basedOn w:val="prastasis"/>
    <w:uiPriority w:val="99"/>
    <w:rsid w:val="001F7F6F"/>
    <w:pPr>
      <w:jc w:val="both"/>
    </w:pPr>
    <w:rPr>
      <w:rFonts w:ascii="Cambria" w:hAnsi="Cambria" w:cs="Cambria"/>
      <w:color w:val="4181B6"/>
      <w:kern w:val="32"/>
      <w:sz w:val="20"/>
      <w:lang w:eastAsia="lt-LT"/>
    </w:rPr>
  </w:style>
  <w:style w:type="character" w:customStyle="1" w:styleId="Antrat3Diagrama">
    <w:name w:val="Antraštė 3 Diagrama"/>
    <w:basedOn w:val="Numatytasispastraiposriftas"/>
    <w:link w:val="Antrat3"/>
    <w:uiPriority w:val="9"/>
    <w:semiHidden/>
    <w:rsid w:val="001F7F6F"/>
    <w:rPr>
      <w:rFonts w:asciiTheme="majorHAnsi" w:eastAsiaTheme="majorEastAsia" w:hAnsiTheme="majorHAnsi" w:cstheme="majorBidi"/>
      <w:b/>
      <w:bCs/>
      <w:color w:val="4F81BD" w:themeColor="accent1"/>
      <w:sz w:val="24"/>
      <w:szCs w:val="20"/>
    </w:rPr>
  </w:style>
  <w:style w:type="character" w:customStyle="1" w:styleId="apple-converted-space">
    <w:name w:val="apple-converted-space"/>
    <w:basedOn w:val="Numatytasispastraiposriftas"/>
    <w:uiPriority w:val="99"/>
    <w:rsid w:val="001F7F6F"/>
  </w:style>
  <w:style w:type="paragraph" w:customStyle="1" w:styleId="Default">
    <w:name w:val="Default"/>
    <w:rsid w:val="0070625D"/>
    <w:pPr>
      <w:autoSpaceDE w:val="0"/>
      <w:autoSpaceDN w:val="0"/>
      <w:adjustRightInd w:val="0"/>
      <w:spacing w:after="0" w:line="240" w:lineRule="auto"/>
    </w:pPr>
    <w:rPr>
      <w:rFonts w:ascii="Times New Roman" w:eastAsia="Calibri" w:hAnsi="Times New Roman" w:cs="Times New Roman"/>
      <w:color w:val="000000"/>
      <w:sz w:val="24"/>
      <w:szCs w:val="24"/>
      <w:lang w:eastAsia="lt-LT"/>
    </w:rPr>
  </w:style>
  <w:style w:type="paragraph" w:styleId="Betarp">
    <w:name w:val="No Spacing"/>
    <w:link w:val="BetarpDiagrama"/>
    <w:uiPriority w:val="1"/>
    <w:qFormat/>
    <w:rsid w:val="00E40E9A"/>
    <w:pPr>
      <w:spacing w:after="0" w:line="240" w:lineRule="auto"/>
    </w:pPr>
    <w:rPr>
      <w:rFonts w:ascii="Times New Roman" w:eastAsia="Times New Roman" w:hAnsi="Times New Roman" w:cs="Times New Roman"/>
      <w:sz w:val="24"/>
      <w:szCs w:val="20"/>
    </w:rPr>
  </w:style>
  <w:style w:type="table" w:styleId="viesussraas1parykinimas">
    <w:name w:val="Light List Accent 1"/>
    <w:basedOn w:val="prastojilentel"/>
    <w:uiPriority w:val="61"/>
    <w:rsid w:val="00007F9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Lentelsturinys">
    <w:name w:val="Lentelės turinys"/>
    <w:basedOn w:val="prastasis"/>
    <w:rsid w:val="00C20A70"/>
    <w:pPr>
      <w:widowControl w:val="0"/>
      <w:suppressLineNumbers/>
      <w:suppressAutoHyphens/>
    </w:pPr>
    <w:rPr>
      <w:rFonts w:eastAsia="SimSun" w:cs="Lucida Sans"/>
      <w:kern w:val="1"/>
      <w:szCs w:val="24"/>
      <w:lang w:eastAsia="hi-IN" w:bidi="hi-IN"/>
    </w:rPr>
  </w:style>
  <w:style w:type="table" w:customStyle="1" w:styleId="Lentelstinklelis2">
    <w:name w:val="Lentelės tinklelis2"/>
    <w:basedOn w:val="prastojilentel"/>
    <w:next w:val="Lentelstinklelis"/>
    <w:uiPriority w:val="59"/>
    <w:rsid w:val="00502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59"/>
    <w:rsid w:val="004A32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next w:val="Lentelstinklelis"/>
    <w:uiPriority w:val="59"/>
    <w:rsid w:val="002D59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spalvinimas1parykinimas">
    <w:name w:val="Light Shading Accent 1"/>
    <w:basedOn w:val="prastojilentel"/>
    <w:uiPriority w:val="60"/>
    <w:rsid w:val="00807D9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iesustinklelis1parykinimas">
    <w:name w:val="Light Grid Accent 1"/>
    <w:basedOn w:val="prastojilentel"/>
    <w:uiPriority w:val="62"/>
    <w:rsid w:val="00807D9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entelstinklelis4">
    <w:name w:val="Lentelės tinklelis4"/>
    <w:basedOn w:val="prastojilentel"/>
    <w:next w:val="Lentelstinklelis"/>
    <w:uiPriority w:val="59"/>
    <w:rsid w:val="00BA0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59"/>
    <w:rsid w:val="00091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2">
    <w:name w:val="Lentelės tinklelis22"/>
    <w:basedOn w:val="prastojilentel"/>
    <w:next w:val="Lentelstinklelis"/>
    <w:uiPriority w:val="59"/>
    <w:rsid w:val="00091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1">
    <w:name w:val="Lentelės tinklelis211"/>
    <w:basedOn w:val="prastojilentel"/>
    <w:next w:val="Lentelstinklelis"/>
    <w:uiPriority w:val="59"/>
    <w:rsid w:val="003958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tarpDiagrama">
    <w:name w:val="Be tarpų Diagrama"/>
    <w:basedOn w:val="Numatytasispastraiposriftas"/>
    <w:link w:val="Betarp"/>
    <w:uiPriority w:val="1"/>
    <w:rsid w:val="00AF0AF2"/>
    <w:rPr>
      <w:rFonts w:ascii="Times New Roman" w:eastAsia="Times New Roman" w:hAnsi="Times New Roman" w:cs="Times New Roman"/>
      <w:sz w:val="24"/>
      <w:szCs w:val="20"/>
    </w:rPr>
  </w:style>
  <w:style w:type="table" w:customStyle="1" w:styleId="Lentelstinklelis6">
    <w:name w:val="Lentelės tinklelis6"/>
    <w:basedOn w:val="prastojilentel"/>
    <w:next w:val="Lentelstinklelis"/>
    <w:uiPriority w:val="59"/>
    <w:rsid w:val="002A71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A0"/>
    <w:uiPriority w:val="99"/>
    <w:rsid w:val="00DF3F93"/>
    <w:rPr>
      <w:color w:val="000000"/>
      <w:sz w:val="18"/>
    </w:rPr>
  </w:style>
  <w:style w:type="character" w:customStyle="1" w:styleId="CharAttribute5">
    <w:name w:val="CharAttribute5"/>
    <w:rsid w:val="00DF3F93"/>
    <w:rPr>
      <w:rFonts w:ascii="Times New Roman" w:eastAsia="Batang" w:hAnsi="Batang"/>
      <w:sz w:val="24"/>
    </w:rPr>
  </w:style>
  <w:style w:type="paragraph" w:styleId="Dokumentoinaostekstas">
    <w:name w:val="endnote text"/>
    <w:basedOn w:val="prastasis"/>
    <w:link w:val="DokumentoinaostekstasDiagrama"/>
    <w:uiPriority w:val="99"/>
    <w:semiHidden/>
    <w:unhideWhenUsed/>
    <w:rsid w:val="002E6DDB"/>
    <w:rPr>
      <w:sz w:val="20"/>
    </w:rPr>
  </w:style>
  <w:style w:type="character" w:customStyle="1" w:styleId="DokumentoinaostekstasDiagrama">
    <w:name w:val="Dokumento išnašos tekstas Diagrama"/>
    <w:basedOn w:val="Numatytasispastraiposriftas"/>
    <w:link w:val="Dokumentoinaostekstas"/>
    <w:uiPriority w:val="99"/>
    <w:semiHidden/>
    <w:rsid w:val="002E6DDB"/>
    <w:rPr>
      <w:rFonts w:ascii="Times New Roman" w:eastAsia="Times New Roman" w:hAnsi="Times New Roman" w:cs="Times New Roman"/>
      <w:sz w:val="20"/>
      <w:szCs w:val="20"/>
    </w:rPr>
  </w:style>
  <w:style w:type="character" w:styleId="Dokumentoinaosnumeris">
    <w:name w:val="endnote reference"/>
    <w:basedOn w:val="Numatytasispastraiposriftas"/>
    <w:uiPriority w:val="99"/>
    <w:semiHidden/>
    <w:unhideWhenUsed/>
    <w:rsid w:val="002E6DDB"/>
    <w:rPr>
      <w:vertAlign w:val="superscript"/>
    </w:rPr>
  </w:style>
  <w:style w:type="character" w:styleId="Perirtashipersaitas">
    <w:name w:val="FollowedHyperlink"/>
    <w:basedOn w:val="Numatytasispastraiposriftas"/>
    <w:uiPriority w:val="99"/>
    <w:semiHidden/>
    <w:unhideWhenUsed/>
    <w:rsid w:val="00A82E6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608C2"/>
    <w:pPr>
      <w:spacing w:after="0" w:line="240" w:lineRule="auto"/>
    </w:pPr>
    <w:rPr>
      <w:rFonts w:ascii="Times New Roman" w:eastAsia="Times New Roman" w:hAnsi="Times New Roman" w:cs="Times New Roman"/>
      <w:sz w:val="24"/>
      <w:szCs w:val="20"/>
    </w:rPr>
  </w:style>
  <w:style w:type="paragraph" w:styleId="Antrat1">
    <w:name w:val="heading 1"/>
    <w:basedOn w:val="prastasis"/>
    <w:next w:val="prastasis"/>
    <w:link w:val="Antrat1Diagrama"/>
    <w:uiPriority w:val="9"/>
    <w:qFormat/>
    <w:rsid w:val="00547D49"/>
    <w:pPr>
      <w:keepNext/>
      <w:keepLines/>
      <w:numPr>
        <w:numId w:val="1"/>
      </w:numPr>
      <w:spacing w:before="360" w:after="240"/>
      <w:jc w:val="center"/>
      <w:outlineLvl w:val="0"/>
    </w:pPr>
    <w:rPr>
      <w:rFonts w:asciiTheme="minorHAnsi" w:eastAsiaTheme="majorEastAsia" w:hAnsiTheme="minorHAnsi" w:cstheme="majorBidi"/>
      <w:b/>
      <w:bCs/>
      <w:color w:val="365F91" w:themeColor="accent1" w:themeShade="BF"/>
      <w:sz w:val="28"/>
      <w:szCs w:val="24"/>
      <w:lang w:eastAsia="lt-LT"/>
    </w:rPr>
  </w:style>
  <w:style w:type="paragraph" w:styleId="Antrat2">
    <w:name w:val="heading 2"/>
    <w:basedOn w:val="prastasis"/>
    <w:next w:val="prastasis"/>
    <w:link w:val="Antrat2Diagrama"/>
    <w:uiPriority w:val="9"/>
    <w:unhideWhenUsed/>
    <w:qFormat/>
    <w:rsid w:val="00B8640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Antrat3">
    <w:name w:val="heading 3"/>
    <w:basedOn w:val="prastasis"/>
    <w:next w:val="prastasis"/>
    <w:link w:val="Antrat3Diagrama"/>
    <w:uiPriority w:val="9"/>
    <w:semiHidden/>
    <w:unhideWhenUsed/>
    <w:qFormat/>
    <w:rsid w:val="001F7F6F"/>
    <w:pPr>
      <w:keepNext/>
      <w:keepLines/>
      <w:spacing w:before="200"/>
      <w:outlineLvl w:val="2"/>
    </w:pPr>
    <w:rPr>
      <w:rFonts w:asciiTheme="majorHAnsi" w:eastAsiaTheme="majorEastAsia" w:hAnsiTheme="majorHAnsi" w:cstheme="majorBidi"/>
      <w:b/>
      <w:bCs/>
      <w:color w:val="4F81BD" w:themeColor="accent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CharDiagramaCharChar1">
    <w:name w:val="Char Diagrama Char Char1"/>
    <w:basedOn w:val="prastasis"/>
    <w:rsid w:val="002D6066"/>
    <w:pPr>
      <w:spacing w:after="160" w:line="240" w:lineRule="exact"/>
    </w:pPr>
    <w:rPr>
      <w:rFonts w:ascii="Tahoma" w:hAnsi="Tahoma"/>
      <w:sz w:val="20"/>
      <w:lang w:val="en-US"/>
    </w:rPr>
  </w:style>
  <w:style w:type="paragraph" w:styleId="Sraopastraipa">
    <w:name w:val="List Paragraph"/>
    <w:aliases w:val="List Paragraph (numbered (a)),References,WB List Paragraph,Akapit z listą,Dot pt,F5 List Paragraph,List Paragraph1,Recommendation,List Paragraph11,Numerowanie,Kolorowa lista — akcent 11,Akapit z listą1,Listaszerű bekezdés1,Bullet EY,lp1"/>
    <w:basedOn w:val="prastasis"/>
    <w:link w:val="SraopastraipaDiagrama"/>
    <w:uiPriority w:val="34"/>
    <w:qFormat/>
    <w:rsid w:val="002D6066"/>
    <w:pPr>
      <w:spacing w:after="200" w:line="276" w:lineRule="auto"/>
      <w:ind w:left="720"/>
      <w:contextualSpacing/>
    </w:pPr>
    <w:rPr>
      <w:rFonts w:ascii="Calibri" w:eastAsia="Calibri" w:hAnsi="Calibri"/>
      <w:sz w:val="22"/>
      <w:szCs w:val="22"/>
    </w:rPr>
  </w:style>
  <w:style w:type="paragraph" w:styleId="Debesliotekstas">
    <w:name w:val="Balloon Text"/>
    <w:basedOn w:val="prastasis"/>
    <w:link w:val="DebesliotekstasDiagrama"/>
    <w:uiPriority w:val="99"/>
    <w:semiHidden/>
    <w:unhideWhenUsed/>
    <w:rsid w:val="002D6066"/>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2D6066"/>
    <w:rPr>
      <w:rFonts w:ascii="Tahoma" w:eastAsia="Times New Roman" w:hAnsi="Tahoma" w:cs="Tahoma"/>
      <w:sz w:val="16"/>
      <w:szCs w:val="16"/>
    </w:rPr>
  </w:style>
  <w:style w:type="paragraph" w:customStyle="1" w:styleId="CharDiagramaCharChar">
    <w:name w:val="Char Diagrama Char Char"/>
    <w:basedOn w:val="prastasis"/>
    <w:rsid w:val="002E5B8A"/>
    <w:pPr>
      <w:spacing w:after="160" w:line="240" w:lineRule="exact"/>
    </w:pPr>
    <w:rPr>
      <w:rFonts w:ascii="Tahoma" w:hAnsi="Tahoma"/>
      <w:sz w:val="20"/>
      <w:lang w:val="en-US"/>
    </w:rPr>
  </w:style>
  <w:style w:type="character" w:styleId="Komentaronuoroda">
    <w:name w:val="annotation reference"/>
    <w:basedOn w:val="Numatytasispastraiposriftas"/>
    <w:uiPriority w:val="99"/>
    <w:semiHidden/>
    <w:unhideWhenUsed/>
    <w:rsid w:val="00C2465F"/>
    <w:rPr>
      <w:sz w:val="16"/>
      <w:szCs w:val="16"/>
    </w:rPr>
  </w:style>
  <w:style w:type="paragraph" w:styleId="Komentarotekstas">
    <w:name w:val="annotation text"/>
    <w:basedOn w:val="prastasis"/>
    <w:link w:val="KomentarotekstasDiagrama"/>
    <w:uiPriority w:val="99"/>
    <w:unhideWhenUsed/>
    <w:rsid w:val="00C2465F"/>
    <w:rPr>
      <w:sz w:val="20"/>
    </w:rPr>
  </w:style>
  <w:style w:type="character" w:customStyle="1" w:styleId="KomentarotekstasDiagrama">
    <w:name w:val="Komentaro tekstas Diagrama"/>
    <w:basedOn w:val="Numatytasispastraiposriftas"/>
    <w:link w:val="Komentarotekstas"/>
    <w:uiPriority w:val="99"/>
    <w:rsid w:val="00C2465F"/>
    <w:rPr>
      <w:rFonts w:ascii="Times New Roman" w:eastAsia="Times New Roman" w:hAnsi="Times New Roman" w:cs="Times New Roman"/>
      <w:sz w:val="20"/>
      <w:szCs w:val="20"/>
    </w:rPr>
  </w:style>
  <w:style w:type="paragraph" w:styleId="Komentarotema">
    <w:name w:val="annotation subject"/>
    <w:basedOn w:val="Komentarotekstas"/>
    <w:next w:val="Komentarotekstas"/>
    <w:link w:val="KomentarotemaDiagrama"/>
    <w:uiPriority w:val="99"/>
    <w:semiHidden/>
    <w:unhideWhenUsed/>
    <w:rsid w:val="00C2465F"/>
    <w:rPr>
      <w:b/>
      <w:bCs/>
    </w:rPr>
  </w:style>
  <w:style w:type="character" w:customStyle="1" w:styleId="KomentarotemaDiagrama">
    <w:name w:val="Komentaro tema Diagrama"/>
    <w:basedOn w:val="KomentarotekstasDiagrama"/>
    <w:link w:val="Komentarotema"/>
    <w:uiPriority w:val="99"/>
    <w:semiHidden/>
    <w:rsid w:val="00C2465F"/>
    <w:rPr>
      <w:rFonts w:ascii="Times New Roman" w:eastAsia="Times New Roman" w:hAnsi="Times New Roman" w:cs="Times New Roman"/>
      <w:b/>
      <w:bCs/>
      <w:sz w:val="20"/>
      <w:szCs w:val="20"/>
    </w:rPr>
  </w:style>
  <w:style w:type="paragraph" w:styleId="prastasistinklapis">
    <w:name w:val="Normal (Web)"/>
    <w:basedOn w:val="prastasis"/>
    <w:uiPriority w:val="99"/>
    <w:unhideWhenUsed/>
    <w:rsid w:val="00AE3D8C"/>
    <w:pPr>
      <w:spacing w:before="100" w:beforeAutospacing="1" w:after="100" w:afterAutospacing="1"/>
    </w:pPr>
    <w:rPr>
      <w:rFonts w:eastAsiaTheme="minorEastAsia"/>
      <w:szCs w:val="24"/>
      <w:lang w:eastAsia="lt-LT"/>
    </w:rPr>
  </w:style>
  <w:style w:type="paragraph" w:styleId="Antrats">
    <w:name w:val="header"/>
    <w:basedOn w:val="prastasis"/>
    <w:link w:val="AntratsDiagrama"/>
    <w:uiPriority w:val="99"/>
    <w:unhideWhenUsed/>
    <w:rsid w:val="00885DE2"/>
    <w:pPr>
      <w:tabs>
        <w:tab w:val="center" w:pos="4819"/>
        <w:tab w:val="right" w:pos="9638"/>
      </w:tabs>
    </w:pPr>
  </w:style>
  <w:style w:type="character" w:customStyle="1" w:styleId="AntratsDiagrama">
    <w:name w:val="Antraštės Diagrama"/>
    <w:basedOn w:val="Numatytasispastraiposriftas"/>
    <w:link w:val="Antrats"/>
    <w:uiPriority w:val="99"/>
    <w:rsid w:val="00885DE2"/>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885DE2"/>
    <w:pPr>
      <w:tabs>
        <w:tab w:val="center" w:pos="4819"/>
        <w:tab w:val="right" w:pos="9638"/>
      </w:tabs>
    </w:pPr>
  </w:style>
  <w:style w:type="character" w:customStyle="1" w:styleId="PoratDiagrama">
    <w:name w:val="Poraštė Diagrama"/>
    <w:basedOn w:val="Numatytasispastraiposriftas"/>
    <w:link w:val="Porat"/>
    <w:uiPriority w:val="99"/>
    <w:rsid w:val="00885DE2"/>
    <w:rPr>
      <w:rFonts w:ascii="Times New Roman" w:eastAsia="Times New Roman" w:hAnsi="Times New Roman" w:cs="Times New Roman"/>
      <w:sz w:val="24"/>
      <w:szCs w:val="20"/>
    </w:rPr>
  </w:style>
  <w:style w:type="table" w:styleId="Lentelstinklelis">
    <w:name w:val="Table Grid"/>
    <w:basedOn w:val="prastojilentel"/>
    <w:uiPriority w:val="59"/>
    <w:rsid w:val="009E3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taisymai">
    <w:name w:val="Revision"/>
    <w:hidden/>
    <w:uiPriority w:val="99"/>
    <w:semiHidden/>
    <w:rsid w:val="003F2736"/>
    <w:pPr>
      <w:spacing w:after="0" w:line="240" w:lineRule="auto"/>
    </w:pPr>
    <w:rPr>
      <w:rFonts w:ascii="Times New Roman" w:eastAsia="Times New Roman" w:hAnsi="Times New Roman" w:cs="Times New Roman"/>
      <w:sz w:val="24"/>
      <w:szCs w:val="20"/>
    </w:rPr>
  </w:style>
  <w:style w:type="table" w:customStyle="1" w:styleId="Lentelstinklelis1">
    <w:name w:val="Lentelės tinklelis1"/>
    <w:basedOn w:val="prastojilentel"/>
    <w:next w:val="Lentelstinklelis"/>
    <w:uiPriority w:val="59"/>
    <w:rsid w:val="0043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qFormat/>
    <w:rsid w:val="00F76555"/>
    <w:pPr>
      <w:spacing w:after="240"/>
      <w:jc w:val="both"/>
    </w:pPr>
    <w:rPr>
      <w:rFonts w:eastAsia="SimSun"/>
      <w:szCs w:val="24"/>
      <w:lang w:eastAsia="lt-LT"/>
    </w:rPr>
  </w:style>
  <w:style w:type="character" w:customStyle="1" w:styleId="PagrindinistekstasDiagrama">
    <w:name w:val="Pagrindinis tekstas Diagrama"/>
    <w:basedOn w:val="Numatytasispastraiposriftas"/>
    <w:link w:val="Pagrindinistekstas"/>
    <w:rsid w:val="00F76555"/>
    <w:rPr>
      <w:rFonts w:ascii="Times New Roman" w:eastAsia="SimSun" w:hAnsi="Times New Roman" w:cs="Times New Roman"/>
      <w:sz w:val="24"/>
      <w:szCs w:val="24"/>
      <w:lang w:eastAsia="lt-LT"/>
    </w:rPr>
  </w:style>
  <w:style w:type="paragraph" w:styleId="Puslapioinaostekstas">
    <w:name w:val="footnote text"/>
    <w:aliases w:val="• Isnasos,Footnote Text Char Char,Footnote,Fußnotentextf,stile 1,Footnote1,Footnote2,Footnote3,Footnote4,Footnote5,Footnote6,Footnote7,Footnote8,Footnote9,Footnote10,Footnote11,Footnote21,Footnote31,Footnote41,Footnote51,f,fn,o"/>
    <w:basedOn w:val="prastasis"/>
    <w:link w:val="PuslapioinaostekstasDiagrama"/>
    <w:uiPriority w:val="99"/>
    <w:unhideWhenUsed/>
    <w:qFormat/>
    <w:rsid w:val="004D3793"/>
    <w:rPr>
      <w:sz w:val="20"/>
    </w:rPr>
  </w:style>
  <w:style w:type="character" w:customStyle="1" w:styleId="PuslapioinaostekstasDiagrama">
    <w:name w:val="Puslapio išnašos tekstas Diagrama"/>
    <w:aliases w:val="• Isnasos Diagrama,Footnote Text Char Char Diagrama,Footnote Diagrama,Fußnotentextf Diagrama,stile 1 Diagrama,Footnote1 Diagrama,Footnote2 Diagrama,Footnote3 Diagrama,Footnote4 Diagrama,Footnote5 Diagrama,f Diagrama"/>
    <w:basedOn w:val="Numatytasispastraiposriftas"/>
    <w:link w:val="Puslapioinaostekstas"/>
    <w:uiPriority w:val="99"/>
    <w:rsid w:val="004D3793"/>
    <w:rPr>
      <w:rFonts w:ascii="Times New Roman" w:eastAsia="Times New Roman" w:hAnsi="Times New Roman" w:cs="Times New Roman"/>
      <w:sz w:val="20"/>
      <w:szCs w:val="20"/>
    </w:rPr>
  </w:style>
  <w:style w:type="character" w:styleId="Puslapioinaosnuoroda">
    <w:name w:val="footnote reference"/>
    <w:aliases w:val="• Isnasos nuoroda,Footnotes refss,Appel note de bas de p,Footnote symbol,Voetnootverwijzing,Times 10 Point,Exposant 3 Point,BVI fnr,Footnote Reference Number,SUPERS,Footnote anchor,Footnote reference number,Footnote number,fr,FR"/>
    <w:basedOn w:val="Numatytasispastraiposriftas"/>
    <w:link w:val="SUPERSChar"/>
    <w:uiPriority w:val="99"/>
    <w:unhideWhenUsed/>
    <w:qFormat/>
    <w:rsid w:val="004D3793"/>
    <w:rPr>
      <w:vertAlign w:val="superscript"/>
    </w:rPr>
  </w:style>
  <w:style w:type="paragraph" w:styleId="prastojitrauka">
    <w:name w:val="Normal Indent"/>
    <w:basedOn w:val="prastasis"/>
    <w:uiPriority w:val="99"/>
    <w:semiHidden/>
    <w:unhideWhenUsed/>
    <w:rsid w:val="008C4570"/>
    <w:pPr>
      <w:ind w:left="1296"/>
    </w:pPr>
  </w:style>
  <w:style w:type="character" w:customStyle="1" w:styleId="Antrat1Diagrama">
    <w:name w:val="Antraštė 1 Diagrama"/>
    <w:basedOn w:val="Numatytasispastraiposriftas"/>
    <w:link w:val="Antrat1"/>
    <w:uiPriority w:val="9"/>
    <w:rsid w:val="00547D49"/>
    <w:rPr>
      <w:rFonts w:eastAsiaTheme="majorEastAsia" w:cstheme="majorBidi"/>
      <w:b/>
      <w:bCs/>
      <w:color w:val="365F91" w:themeColor="accent1" w:themeShade="BF"/>
      <w:sz w:val="28"/>
      <w:szCs w:val="24"/>
      <w:lang w:eastAsia="lt-LT"/>
    </w:rPr>
  </w:style>
  <w:style w:type="character" w:customStyle="1" w:styleId="Antrat2Diagrama">
    <w:name w:val="Antraštė 2 Diagrama"/>
    <w:basedOn w:val="Numatytasispastraiposriftas"/>
    <w:link w:val="Antrat2"/>
    <w:uiPriority w:val="9"/>
    <w:rsid w:val="00B86403"/>
    <w:rPr>
      <w:rFonts w:asciiTheme="majorHAnsi" w:eastAsiaTheme="majorEastAsia" w:hAnsiTheme="majorHAnsi" w:cstheme="majorBidi"/>
      <w:b/>
      <w:bCs/>
      <w:color w:val="4F81BD" w:themeColor="accent1"/>
      <w:sz w:val="26"/>
      <w:szCs w:val="26"/>
    </w:rPr>
  </w:style>
  <w:style w:type="paragraph" w:styleId="Turinioantrat">
    <w:name w:val="TOC Heading"/>
    <w:basedOn w:val="Antrat1"/>
    <w:next w:val="prastasis"/>
    <w:uiPriority w:val="39"/>
    <w:unhideWhenUsed/>
    <w:qFormat/>
    <w:rsid w:val="00B86403"/>
    <w:pPr>
      <w:spacing w:line="276" w:lineRule="auto"/>
      <w:outlineLvl w:val="9"/>
    </w:pPr>
  </w:style>
  <w:style w:type="paragraph" w:styleId="Turinys1">
    <w:name w:val="toc 1"/>
    <w:basedOn w:val="prastasis"/>
    <w:next w:val="prastasis"/>
    <w:autoRedefine/>
    <w:uiPriority w:val="39"/>
    <w:unhideWhenUsed/>
    <w:rsid w:val="00B86403"/>
    <w:pPr>
      <w:spacing w:after="100"/>
    </w:pPr>
  </w:style>
  <w:style w:type="paragraph" w:styleId="Turinys2">
    <w:name w:val="toc 2"/>
    <w:basedOn w:val="prastasis"/>
    <w:next w:val="prastasis"/>
    <w:autoRedefine/>
    <w:uiPriority w:val="39"/>
    <w:unhideWhenUsed/>
    <w:rsid w:val="00B86403"/>
    <w:pPr>
      <w:spacing w:after="100"/>
      <w:ind w:left="240"/>
    </w:pPr>
  </w:style>
  <w:style w:type="character" w:styleId="Hipersaitas">
    <w:name w:val="Hyperlink"/>
    <w:basedOn w:val="Numatytasispastraiposriftas"/>
    <w:uiPriority w:val="99"/>
    <w:unhideWhenUsed/>
    <w:rsid w:val="00B86403"/>
    <w:rPr>
      <w:color w:val="0000FF" w:themeColor="hyperlink"/>
      <w:u w:val="single"/>
    </w:rPr>
  </w:style>
  <w:style w:type="paragraph" w:customStyle="1" w:styleId="DiagramaDiagrama1DiagramaDiagramaDiagramaDiagramaDiagramaDiagramaDiagramaDiagramaDiagramaDiagramaDiagrama">
    <w:name w:val="Diagrama Diagrama1 Diagrama Diagrama Diagrama Diagrama Diagrama Diagrama Diagrama Diagrama Diagrama Diagrama Diagrama"/>
    <w:basedOn w:val="prastasis"/>
    <w:rsid w:val="00B86403"/>
    <w:pPr>
      <w:spacing w:after="160" w:line="240" w:lineRule="exact"/>
    </w:pPr>
    <w:rPr>
      <w:rFonts w:ascii="Tahoma" w:hAnsi="Tahoma"/>
      <w:sz w:val="20"/>
      <w:lang w:val="en-US"/>
    </w:rPr>
  </w:style>
  <w:style w:type="character" w:customStyle="1" w:styleId="SraopastraipaDiagrama">
    <w:name w:val="Sąrašo pastraipa Diagrama"/>
    <w:aliases w:val="List Paragraph (numbered (a)) Diagrama,References Diagrama,WB List Paragraph Diagrama,Akapit z listą Diagrama,Dot pt Diagrama,F5 List Paragraph Diagrama,List Paragraph1 Diagrama,Recommendation Diagrama,List Paragraph11 Diagrama"/>
    <w:link w:val="Sraopastraipa"/>
    <w:uiPriority w:val="34"/>
    <w:locked/>
    <w:rsid w:val="00433A9A"/>
    <w:rPr>
      <w:rFonts w:ascii="Calibri" w:eastAsia="Calibri" w:hAnsi="Calibri" w:cs="Times New Roman"/>
    </w:rPr>
  </w:style>
  <w:style w:type="paragraph" w:styleId="Antrat">
    <w:name w:val="caption"/>
    <w:aliases w:val="• Caption,Table caption,paveikslas,Paveikslo pavadinimas,TabelOverskrift"/>
    <w:basedOn w:val="prastasis"/>
    <w:next w:val="prastasis"/>
    <w:link w:val="AntratDiagrama"/>
    <w:uiPriority w:val="99"/>
    <w:unhideWhenUsed/>
    <w:qFormat/>
    <w:rsid w:val="00433A9A"/>
    <w:pPr>
      <w:spacing w:after="200"/>
    </w:pPr>
    <w:rPr>
      <w:rFonts w:ascii="Calibri" w:eastAsia="Calibri" w:hAnsi="Calibri"/>
      <w:b/>
      <w:bCs/>
      <w:color w:val="4F81BD"/>
      <w:sz w:val="18"/>
      <w:szCs w:val="18"/>
    </w:rPr>
  </w:style>
  <w:style w:type="paragraph" w:customStyle="1" w:styleId="antrat2ZZ">
    <w:name w:val="antraštė 2_ZZ"/>
    <w:basedOn w:val="prastasis"/>
    <w:link w:val="antrat2ZZDiagrama"/>
    <w:qFormat/>
    <w:rsid w:val="00547D49"/>
    <w:pPr>
      <w:keepNext/>
      <w:keepLines/>
      <w:spacing w:before="360" w:after="240"/>
      <w:jc w:val="center"/>
      <w:outlineLvl w:val="0"/>
    </w:pPr>
    <w:rPr>
      <w:rFonts w:asciiTheme="minorHAnsi" w:eastAsiaTheme="majorEastAsia" w:hAnsiTheme="minorHAnsi" w:cstheme="majorBidi"/>
      <w:b/>
      <w:bCs/>
      <w:color w:val="365F91" w:themeColor="accent1" w:themeShade="BF"/>
      <w:sz w:val="26"/>
      <w:szCs w:val="28"/>
      <w:lang w:eastAsia="lt-LT"/>
    </w:rPr>
  </w:style>
  <w:style w:type="paragraph" w:customStyle="1" w:styleId="antrat3zz">
    <w:name w:val="antraštė 3_zz"/>
    <w:basedOn w:val="Antrat2"/>
    <w:link w:val="antrat3zzDiagrama"/>
    <w:qFormat/>
    <w:rsid w:val="00547D49"/>
    <w:pPr>
      <w:spacing w:before="240" w:after="120"/>
    </w:pPr>
    <w:rPr>
      <w:rFonts w:asciiTheme="minorHAnsi" w:hAnsiTheme="minorHAnsi"/>
      <w:color w:val="595959" w:themeColor="text1" w:themeTint="A6"/>
      <w:sz w:val="24"/>
      <w:szCs w:val="24"/>
      <w:lang w:eastAsia="lt-LT"/>
    </w:rPr>
  </w:style>
  <w:style w:type="character" w:customStyle="1" w:styleId="antrat2ZZDiagrama">
    <w:name w:val="antraštė 2_ZZ Diagrama"/>
    <w:basedOn w:val="Numatytasispastraiposriftas"/>
    <w:link w:val="antrat2ZZ"/>
    <w:rsid w:val="00547D49"/>
    <w:rPr>
      <w:rFonts w:eastAsiaTheme="majorEastAsia" w:cstheme="majorBidi"/>
      <w:b/>
      <w:bCs/>
      <w:color w:val="365F91" w:themeColor="accent1" w:themeShade="BF"/>
      <w:sz w:val="26"/>
      <w:szCs w:val="28"/>
      <w:lang w:eastAsia="lt-LT"/>
    </w:rPr>
  </w:style>
  <w:style w:type="character" w:customStyle="1" w:styleId="antrat3zzDiagrama">
    <w:name w:val="antraštė 3_zz Diagrama"/>
    <w:basedOn w:val="Antrat2Diagrama"/>
    <w:link w:val="antrat3zz"/>
    <w:rsid w:val="00547D49"/>
    <w:rPr>
      <w:rFonts w:asciiTheme="majorHAnsi" w:eastAsiaTheme="majorEastAsia" w:hAnsiTheme="majorHAnsi" w:cstheme="majorBidi"/>
      <w:b/>
      <w:bCs/>
      <w:color w:val="595959" w:themeColor="text1" w:themeTint="A6"/>
      <w:sz w:val="24"/>
      <w:szCs w:val="24"/>
      <w:lang w:eastAsia="lt-LT"/>
    </w:rPr>
  </w:style>
  <w:style w:type="paragraph" w:styleId="Pavadinimas">
    <w:name w:val="Title"/>
    <w:basedOn w:val="prastasis"/>
    <w:next w:val="prastasis"/>
    <w:link w:val="PavadinimasDiagrama"/>
    <w:uiPriority w:val="10"/>
    <w:qFormat/>
    <w:rsid w:val="00FC613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28"/>
      <w:szCs w:val="52"/>
    </w:rPr>
  </w:style>
  <w:style w:type="character" w:customStyle="1" w:styleId="PavadinimasDiagrama">
    <w:name w:val="Pavadinimas Diagrama"/>
    <w:basedOn w:val="Numatytasispastraiposriftas"/>
    <w:link w:val="Pavadinimas"/>
    <w:uiPriority w:val="10"/>
    <w:rsid w:val="00FC6139"/>
    <w:rPr>
      <w:rFonts w:asciiTheme="majorHAnsi" w:eastAsiaTheme="majorEastAsia" w:hAnsiTheme="majorHAnsi" w:cstheme="majorBidi"/>
      <w:color w:val="17365D" w:themeColor="text2" w:themeShade="BF"/>
      <w:spacing w:val="5"/>
      <w:kern w:val="28"/>
      <w:sz w:val="28"/>
      <w:szCs w:val="52"/>
    </w:rPr>
  </w:style>
  <w:style w:type="paragraph" w:customStyle="1" w:styleId="088095CB421E4E02BDC9682AFEE1723A">
    <w:name w:val="088095CB421E4E02BDC9682AFEE1723A"/>
    <w:rsid w:val="00866DFB"/>
    <w:rPr>
      <w:rFonts w:eastAsiaTheme="minorEastAsia"/>
      <w:lang w:eastAsia="lt-LT"/>
    </w:rPr>
  </w:style>
  <w:style w:type="paragraph" w:styleId="Pagrindiniotekstotrauka">
    <w:name w:val="Body Text Indent"/>
    <w:basedOn w:val="prastasis"/>
    <w:link w:val="PagrindiniotekstotraukaDiagrama"/>
    <w:uiPriority w:val="99"/>
    <w:unhideWhenUsed/>
    <w:rsid w:val="004F2F37"/>
    <w:pPr>
      <w:spacing w:after="120"/>
      <w:ind w:left="283"/>
    </w:pPr>
  </w:style>
  <w:style w:type="character" w:customStyle="1" w:styleId="PagrindiniotekstotraukaDiagrama">
    <w:name w:val="Pagrindinio teksto įtrauka Diagrama"/>
    <w:basedOn w:val="Numatytasispastraiposriftas"/>
    <w:link w:val="Pagrindiniotekstotrauka"/>
    <w:uiPriority w:val="99"/>
    <w:rsid w:val="004F2F37"/>
    <w:rPr>
      <w:rFonts w:ascii="Times New Roman" w:eastAsia="Times New Roman" w:hAnsi="Times New Roman" w:cs="Times New Roman"/>
      <w:sz w:val="24"/>
      <w:szCs w:val="20"/>
    </w:rPr>
  </w:style>
  <w:style w:type="paragraph" w:customStyle="1" w:styleId="SUPERSChar">
    <w:name w:val="SUPERS Char"/>
    <w:aliases w:val="EN Footnote Reference Char"/>
    <w:basedOn w:val="prastasis"/>
    <w:link w:val="Puslapioinaosnuoroda"/>
    <w:uiPriority w:val="99"/>
    <w:rsid w:val="004F2F37"/>
    <w:pPr>
      <w:spacing w:after="160" w:line="240" w:lineRule="exact"/>
    </w:pPr>
    <w:rPr>
      <w:rFonts w:asciiTheme="minorHAnsi" w:eastAsiaTheme="minorHAnsi" w:hAnsiTheme="minorHAnsi" w:cstheme="minorBidi"/>
      <w:sz w:val="22"/>
      <w:szCs w:val="22"/>
      <w:vertAlign w:val="superscript"/>
    </w:rPr>
  </w:style>
  <w:style w:type="character" w:customStyle="1" w:styleId="AntratDiagrama">
    <w:name w:val="Antraštė Diagrama"/>
    <w:aliases w:val="• Caption Diagrama,Table caption Diagrama,paveikslas Diagrama,Paveikslo pavadinimas Diagrama,TabelOverskrift Diagrama"/>
    <w:link w:val="Antrat"/>
    <w:uiPriority w:val="99"/>
    <w:locked/>
    <w:rsid w:val="004F2F37"/>
    <w:rPr>
      <w:rFonts w:ascii="Calibri" w:eastAsia="Calibri" w:hAnsi="Calibri" w:cs="Times New Roman"/>
      <w:b/>
      <w:bCs/>
      <w:color w:val="4F81BD"/>
      <w:sz w:val="18"/>
      <w:szCs w:val="18"/>
    </w:rPr>
  </w:style>
  <w:style w:type="paragraph" w:customStyle="1" w:styleId="Pagrindinispaprastastekstas">
    <w:name w:val="• Pagrindinis paprastas tekstas"/>
    <w:basedOn w:val="prastasis"/>
    <w:link w:val="PagrindinispaprastastekstasChar"/>
    <w:uiPriority w:val="99"/>
    <w:rsid w:val="004F2F37"/>
    <w:pPr>
      <w:jc w:val="both"/>
    </w:pPr>
    <w:rPr>
      <w:rFonts w:ascii="Cambria" w:eastAsia="Calibri" w:hAnsi="Cambria" w:cs="Cambria"/>
      <w:szCs w:val="24"/>
      <w:lang w:eastAsia="lt-LT"/>
    </w:rPr>
  </w:style>
  <w:style w:type="character" w:customStyle="1" w:styleId="PagrindinispaprastastekstasChar">
    <w:name w:val="• Pagrindinis paprastas tekstas Char"/>
    <w:link w:val="Pagrindinispaprastastekstas"/>
    <w:uiPriority w:val="99"/>
    <w:locked/>
    <w:rsid w:val="004F2F37"/>
    <w:rPr>
      <w:rFonts w:ascii="Cambria" w:eastAsia="Calibri" w:hAnsi="Cambria" w:cs="Cambria"/>
      <w:sz w:val="24"/>
      <w:szCs w:val="24"/>
      <w:lang w:eastAsia="lt-LT"/>
    </w:rPr>
  </w:style>
  <w:style w:type="paragraph" w:customStyle="1" w:styleId="tekstas">
    <w:name w:val="tekstas"/>
    <w:basedOn w:val="prastasis"/>
    <w:link w:val="tekstasDiagrama"/>
    <w:qFormat/>
    <w:rsid w:val="004F2F37"/>
    <w:pPr>
      <w:ind w:firstLine="426"/>
      <w:jc w:val="both"/>
    </w:pPr>
    <w:rPr>
      <w:rFonts w:asciiTheme="minorHAnsi" w:hAnsiTheme="minorHAnsi"/>
      <w:color w:val="666666"/>
      <w:szCs w:val="24"/>
    </w:rPr>
  </w:style>
  <w:style w:type="character" w:customStyle="1" w:styleId="tekstasDiagrama">
    <w:name w:val="tekstas Diagrama"/>
    <w:basedOn w:val="Numatytasispastraiposriftas"/>
    <w:link w:val="tekstas"/>
    <w:rsid w:val="004F2F37"/>
    <w:rPr>
      <w:rFonts w:eastAsia="Times New Roman" w:cs="Times New Roman"/>
      <w:color w:val="666666"/>
      <w:sz w:val="24"/>
      <w:szCs w:val="24"/>
    </w:rPr>
  </w:style>
  <w:style w:type="paragraph" w:customStyle="1" w:styleId="Textboxtekstas">
    <w:name w:val="• Text box tekstas"/>
    <w:basedOn w:val="prastasis"/>
    <w:uiPriority w:val="99"/>
    <w:rsid w:val="001F7F6F"/>
    <w:pPr>
      <w:jc w:val="both"/>
    </w:pPr>
    <w:rPr>
      <w:rFonts w:ascii="Cambria" w:hAnsi="Cambria" w:cs="Cambria"/>
      <w:color w:val="4181B6"/>
      <w:kern w:val="32"/>
      <w:sz w:val="20"/>
      <w:lang w:eastAsia="lt-LT"/>
    </w:rPr>
  </w:style>
  <w:style w:type="character" w:customStyle="1" w:styleId="Antrat3Diagrama">
    <w:name w:val="Antraštė 3 Diagrama"/>
    <w:basedOn w:val="Numatytasispastraiposriftas"/>
    <w:link w:val="Antrat3"/>
    <w:uiPriority w:val="9"/>
    <w:semiHidden/>
    <w:rsid w:val="001F7F6F"/>
    <w:rPr>
      <w:rFonts w:asciiTheme="majorHAnsi" w:eastAsiaTheme="majorEastAsia" w:hAnsiTheme="majorHAnsi" w:cstheme="majorBidi"/>
      <w:b/>
      <w:bCs/>
      <w:color w:val="4F81BD" w:themeColor="accent1"/>
      <w:sz w:val="24"/>
      <w:szCs w:val="20"/>
    </w:rPr>
  </w:style>
  <w:style w:type="character" w:customStyle="1" w:styleId="apple-converted-space">
    <w:name w:val="apple-converted-space"/>
    <w:basedOn w:val="Numatytasispastraiposriftas"/>
    <w:uiPriority w:val="99"/>
    <w:rsid w:val="001F7F6F"/>
  </w:style>
  <w:style w:type="paragraph" w:customStyle="1" w:styleId="Default">
    <w:name w:val="Default"/>
    <w:rsid w:val="0070625D"/>
    <w:pPr>
      <w:autoSpaceDE w:val="0"/>
      <w:autoSpaceDN w:val="0"/>
      <w:adjustRightInd w:val="0"/>
      <w:spacing w:after="0" w:line="240" w:lineRule="auto"/>
    </w:pPr>
    <w:rPr>
      <w:rFonts w:ascii="Times New Roman" w:eastAsia="Calibri" w:hAnsi="Times New Roman" w:cs="Times New Roman"/>
      <w:color w:val="000000"/>
      <w:sz w:val="24"/>
      <w:szCs w:val="24"/>
      <w:lang w:eastAsia="lt-LT"/>
    </w:rPr>
  </w:style>
  <w:style w:type="paragraph" w:styleId="Betarp">
    <w:name w:val="No Spacing"/>
    <w:link w:val="BetarpDiagrama"/>
    <w:uiPriority w:val="1"/>
    <w:qFormat/>
    <w:rsid w:val="00E40E9A"/>
    <w:pPr>
      <w:spacing w:after="0" w:line="240" w:lineRule="auto"/>
    </w:pPr>
    <w:rPr>
      <w:rFonts w:ascii="Times New Roman" w:eastAsia="Times New Roman" w:hAnsi="Times New Roman" w:cs="Times New Roman"/>
      <w:sz w:val="24"/>
      <w:szCs w:val="20"/>
    </w:rPr>
  </w:style>
  <w:style w:type="table" w:styleId="viesussraas1parykinimas">
    <w:name w:val="Light List Accent 1"/>
    <w:basedOn w:val="prastojilentel"/>
    <w:uiPriority w:val="61"/>
    <w:rsid w:val="00007F9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Lentelsturinys">
    <w:name w:val="Lentelės turinys"/>
    <w:basedOn w:val="prastasis"/>
    <w:rsid w:val="00C20A70"/>
    <w:pPr>
      <w:widowControl w:val="0"/>
      <w:suppressLineNumbers/>
      <w:suppressAutoHyphens/>
    </w:pPr>
    <w:rPr>
      <w:rFonts w:eastAsia="SimSun" w:cs="Lucida Sans"/>
      <w:kern w:val="1"/>
      <w:szCs w:val="24"/>
      <w:lang w:eastAsia="hi-IN" w:bidi="hi-IN"/>
    </w:rPr>
  </w:style>
  <w:style w:type="table" w:customStyle="1" w:styleId="Lentelstinklelis2">
    <w:name w:val="Lentelės tinklelis2"/>
    <w:basedOn w:val="prastojilentel"/>
    <w:next w:val="Lentelstinklelis"/>
    <w:uiPriority w:val="59"/>
    <w:rsid w:val="00502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59"/>
    <w:rsid w:val="004A32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next w:val="Lentelstinklelis"/>
    <w:uiPriority w:val="59"/>
    <w:rsid w:val="002D59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spalvinimas1parykinimas">
    <w:name w:val="Light Shading Accent 1"/>
    <w:basedOn w:val="prastojilentel"/>
    <w:uiPriority w:val="60"/>
    <w:rsid w:val="00807D9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iesustinklelis1parykinimas">
    <w:name w:val="Light Grid Accent 1"/>
    <w:basedOn w:val="prastojilentel"/>
    <w:uiPriority w:val="62"/>
    <w:rsid w:val="00807D9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entelstinklelis4">
    <w:name w:val="Lentelės tinklelis4"/>
    <w:basedOn w:val="prastojilentel"/>
    <w:next w:val="Lentelstinklelis"/>
    <w:uiPriority w:val="59"/>
    <w:rsid w:val="00BA0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59"/>
    <w:rsid w:val="00091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2">
    <w:name w:val="Lentelės tinklelis22"/>
    <w:basedOn w:val="prastojilentel"/>
    <w:next w:val="Lentelstinklelis"/>
    <w:uiPriority w:val="59"/>
    <w:rsid w:val="00091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1">
    <w:name w:val="Lentelės tinklelis211"/>
    <w:basedOn w:val="prastojilentel"/>
    <w:next w:val="Lentelstinklelis"/>
    <w:uiPriority w:val="59"/>
    <w:rsid w:val="003958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tarpDiagrama">
    <w:name w:val="Be tarpų Diagrama"/>
    <w:basedOn w:val="Numatytasispastraiposriftas"/>
    <w:link w:val="Betarp"/>
    <w:uiPriority w:val="1"/>
    <w:rsid w:val="00AF0AF2"/>
    <w:rPr>
      <w:rFonts w:ascii="Times New Roman" w:eastAsia="Times New Roman" w:hAnsi="Times New Roman" w:cs="Times New Roman"/>
      <w:sz w:val="24"/>
      <w:szCs w:val="20"/>
    </w:rPr>
  </w:style>
  <w:style w:type="table" w:customStyle="1" w:styleId="Lentelstinklelis6">
    <w:name w:val="Lentelės tinklelis6"/>
    <w:basedOn w:val="prastojilentel"/>
    <w:next w:val="Lentelstinklelis"/>
    <w:uiPriority w:val="59"/>
    <w:rsid w:val="002A71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A0"/>
    <w:uiPriority w:val="99"/>
    <w:rsid w:val="00DF3F93"/>
    <w:rPr>
      <w:color w:val="000000"/>
      <w:sz w:val="18"/>
    </w:rPr>
  </w:style>
  <w:style w:type="character" w:customStyle="1" w:styleId="CharAttribute5">
    <w:name w:val="CharAttribute5"/>
    <w:rsid w:val="00DF3F93"/>
    <w:rPr>
      <w:rFonts w:ascii="Times New Roman" w:eastAsia="Batang" w:hAnsi="Batang"/>
      <w:sz w:val="24"/>
    </w:rPr>
  </w:style>
  <w:style w:type="paragraph" w:styleId="Dokumentoinaostekstas">
    <w:name w:val="endnote text"/>
    <w:basedOn w:val="prastasis"/>
    <w:link w:val="DokumentoinaostekstasDiagrama"/>
    <w:uiPriority w:val="99"/>
    <w:semiHidden/>
    <w:unhideWhenUsed/>
    <w:rsid w:val="002E6DDB"/>
    <w:rPr>
      <w:sz w:val="20"/>
    </w:rPr>
  </w:style>
  <w:style w:type="character" w:customStyle="1" w:styleId="DokumentoinaostekstasDiagrama">
    <w:name w:val="Dokumento išnašos tekstas Diagrama"/>
    <w:basedOn w:val="Numatytasispastraiposriftas"/>
    <w:link w:val="Dokumentoinaostekstas"/>
    <w:uiPriority w:val="99"/>
    <w:semiHidden/>
    <w:rsid w:val="002E6DDB"/>
    <w:rPr>
      <w:rFonts w:ascii="Times New Roman" w:eastAsia="Times New Roman" w:hAnsi="Times New Roman" w:cs="Times New Roman"/>
      <w:sz w:val="20"/>
      <w:szCs w:val="20"/>
    </w:rPr>
  </w:style>
  <w:style w:type="character" w:styleId="Dokumentoinaosnumeris">
    <w:name w:val="endnote reference"/>
    <w:basedOn w:val="Numatytasispastraiposriftas"/>
    <w:uiPriority w:val="99"/>
    <w:semiHidden/>
    <w:unhideWhenUsed/>
    <w:rsid w:val="002E6DDB"/>
    <w:rPr>
      <w:vertAlign w:val="superscript"/>
    </w:rPr>
  </w:style>
  <w:style w:type="character" w:styleId="Perirtashipersaitas">
    <w:name w:val="FollowedHyperlink"/>
    <w:basedOn w:val="Numatytasispastraiposriftas"/>
    <w:uiPriority w:val="99"/>
    <w:semiHidden/>
    <w:unhideWhenUsed/>
    <w:rsid w:val="00A82E6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119900">
      <w:bodyDiv w:val="1"/>
      <w:marLeft w:val="0"/>
      <w:marRight w:val="0"/>
      <w:marTop w:val="0"/>
      <w:marBottom w:val="0"/>
      <w:divBdr>
        <w:top w:val="none" w:sz="0" w:space="0" w:color="auto"/>
        <w:left w:val="none" w:sz="0" w:space="0" w:color="auto"/>
        <w:bottom w:val="none" w:sz="0" w:space="0" w:color="auto"/>
        <w:right w:val="none" w:sz="0" w:space="0" w:color="auto"/>
      </w:divBdr>
    </w:div>
    <w:div w:id="155414527">
      <w:bodyDiv w:val="1"/>
      <w:marLeft w:val="0"/>
      <w:marRight w:val="0"/>
      <w:marTop w:val="0"/>
      <w:marBottom w:val="0"/>
      <w:divBdr>
        <w:top w:val="none" w:sz="0" w:space="0" w:color="auto"/>
        <w:left w:val="none" w:sz="0" w:space="0" w:color="auto"/>
        <w:bottom w:val="none" w:sz="0" w:space="0" w:color="auto"/>
        <w:right w:val="none" w:sz="0" w:space="0" w:color="auto"/>
      </w:divBdr>
    </w:div>
    <w:div w:id="163715740">
      <w:bodyDiv w:val="1"/>
      <w:marLeft w:val="0"/>
      <w:marRight w:val="0"/>
      <w:marTop w:val="0"/>
      <w:marBottom w:val="0"/>
      <w:divBdr>
        <w:top w:val="none" w:sz="0" w:space="0" w:color="auto"/>
        <w:left w:val="none" w:sz="0" w:space="0" w:color="auto"/>
        <w:bottom w:val="none" w:sz="0" w:space="0" w:color="auto"/>
        <w:right w:val="none" w:sz="0" w:space="0" w:color="auto"/>
      </w:divBdr>
    </w:div>
    <w:div w:id="221986623">
      <w:bodyDiv w:val="1"/>
      <w:marLeft w:val="0"/>
      <w:marRight w:val="0"/>
      <w:marTop w:val="0"/>
      <w:marBottom w:val="0"/>
      <w:divBdr>
        <w:top w:val="none" w:sz="0" w:space="0" w:color="auto"/>
        <w:left w:val="none" w:sz="0" w:space="0" w:color="auto"/>
        <w:bottom w:val="none" w:sz="0" w:space="0" w:color="auto"/>
        <w:right w:val="none" w:sz="0" w:space="0" w:color="auto"/>
      </w:divBdr>
    </w:div>
    <w:div w:id="270474910">
      <w:bodyDiv w:val="1"/>
      <w:marLeft w:val="0"/>
      <w:marRight w:val="0"/>
      <w:marTop w:val="0"/>
      <w:marBottom w:val="0"/>
      <w:divBdr>
        <w:top w:val="none" w:sz="0" w:space="0" w:color="auto"/>
        <w:left w:val="none" w:sz="0" w:space="0" w:color="auto"/>
        <w:bottom w:val="none" w:sz="0" w:space="0" w:color="auto"/>
        <w:right w:val="none" w:sz="0" w:space="0" w:color="auto"/>
      </w:divBdr>
    </w:div>
    <w:div w:id="284775129">
      <w:bodyDiv w:val="1"/>
      <w:marLeft w:val="0"/>
      <w:marRight w:val="0"/>
      <w:marTop w:val="0"/>
      <w:marBottom w:val="0"/>
      <w:divBdr>
        <w:top w:val="none" w:sz="0" w:space="0" w:color="auto"/>
        <w:left w:val="none" w:sz="0" w:space="0" w:color="auto"/>
        <w:bottom w:val="none" w:sz="0" w:space="0" w:color="auto"/>
        <w:right w:val="none" w:sz="0" w:space="0" w:color="auto"/>
      </w:divBdr>
    </w:div>
    <w:div w:id="291253484">
      <w:bodyDiv w:val="1"/>
      <w:marLeft w:val="0"/>
      <w:marRight w:val="0"/>
      <w:marTop w:val="0"/>
      <w:marBottom w:val="0"/>
      <w:divBdr>
        <w:top w:val="none" w:sz="0" w:space="0" w:color="auto"/>
        <w:left w:val="none" w:sz="0" w:space="0" w:color="auto"/>
        <w:bottom w:val="none" w:sz="0" w:space="0" w:color="auto"/>
        <w:right w:val="none" w:sz="0" w:space="0" w:color="auto"/>
      </w:divBdr>
    </w:div>
    <w:div w:id="314459824">
      <w:bodyDiv w:val="1"/>
      <w:marLeft w:val="0"/>
      <w:marRight w:val="0"/>
      <w:marTop w:val="0"/>
      <w:marBottom w:val="0"/>
      <w:divBdr>
        <w:top w:val="none" w:sz="0" w:space="0" w:color="auto"/>
        <w:left w:val="none" w:sz="0" w:space="0" w:color="auto"/>
        <w:bottom w:val="none" w:sz="0" w:space="0" w:color="auto"/>
        <w:right w:val="none" w:sz="0" w:space="0" w:color="auto"/>
      </w:divBdr>
    </w:div>
    <w:div w:id="373164676">
      <w:bodyDiv w:val="1"/>
      <w:marLeft w:val="0"/>
      <w:marRight w:val="0"/>
      <w:marTop w:val="0"/>
      <w:marBottom w:val="0"/>
      <w:divBdr>
        <w:top w:val="none" w:sz="0" w:space="0" w:color="auto"/>
        <w:left w:val="none" w:sz="0" w:space="0" w:color="auto"/>
        <w:bottom w:val="none" w:sz="0" w:space="0" w:color="auto"/>
        <w:right w:val="none" w:sz="0" w:space="0" w:color="auto"/>
      </w:divBdr>
    </w:div>
    <w:div w:id="391582831">
      <w:bodyDiv w:val="1"/>
      <w:marLeft w:val="0"/>
      <w:marRight w:val="0"/>
      <w:marTop w:val="0"/>
      <w:marBottom w:val="0"/>
      <w:divBdr>
        <w:top w:val="none" w:sz="0" w:space="0" w:color="auto"/>
        <w:left w:val="none" w:sz="0" w:space="0" w:color="auto"/>
        <w:bottom w:val="none" w:sz="0" w:space="0" w:color="auto"/>
        <w:right w:val="none" w:sz="0" w:space="0" w:color="auto"/>
      </w:divBdr>
    </w:div>
    <w:div w:id="488207009">
      <w:bodyDiv w:val="1"/>
      <w:marLeft w:val="0"/>
      <w:marRight w:val="0"/>
      <w:marTop w:val="0"/>
      <w:marBottom w:val="0"/>
      <w:divBdr>
        <w:top w:val="none" w:sz="0" w:space="0" w:color="auto"/>
        <w:left w:val="none" w:sz="0" w:space="0" w:color="auto"/>
        <w:bottom w:val="none" w:sz="0" w:space="0" w:color="auto"/>
        <w:right w:val="none" w:sz="0" w:space="0" w:color="auto"/>
      </w:divBdr>
    </w:div>
    <w:div w:id="537206612">
      <w:bodyDiv w:val="1"/>
      <w:marLeft w:val="0"/>
      <w:marRight w:val="0"/>
      <w:marTop w:val="0"/>
      <w:marBottom w:val="0"/>
      <w:divBdr>
        <w:top w:val="none" w:sz="0" w:space="0" w:color="auto"/>
        <w:left w:val="none" w:sz="0" w:space="0" w:color="auto"/>
        <w:bottom w:val="none" w:sz="0" w:space="0" w:color="auto"/>
        <w:right w:val="none" w:sz="0" w:space="0" w:color="auto"/>
      </w:divBdr>
    </w:div>
    <w:div w:id="571938157">
      <w:bodyDiv w:val="1"/>
      <w:marLeft w:val="0"/>
      <w:marRight w:val="0"/>
      <w:marTop w:val="0"/>
      <w:marBottom w:val="0"/>
      <w:divBdr>
        <w:top w:val="none" w:sz="0" w:space="0" w:color="auto"/>
        <w:left w:val="none" w:sz="0" w:space="0" w:color="auto"/>
        <w:bottom w:val="none" w:sz="0" w:space="0" w:color="auto"/>
        <w:right w:val="none" w:sz="0" w:space="0" w:color="auto"/>
      </w:divBdr>
    </w:div>
    <w:div w:id="609706730">
      <w:bodyDiv w:val="1"/>
      <w:marLeft w:val="0"/>
      <w:marRight w:val="0"/>
      <w:marTop w:val="0"/>
      <w:marBottom w:val="0"/>
      <w:divBdr>
        <w:top w:val="none" w:sz="0" w:space="0" w:color="auto"/>
        <w:left w:val="none" w:sz="0" w:space="0" w:color="auto"/>
        <w:bottom w:val="none" w:sz="0" w:space="0" w:color="auto"/>
        <w:right w:val="none" w:sz="0" w:space="0" w:color="auto"/>
      </w:divBdr>
      <w:divsChild>
        <w:div w:id="396052592">
          <w:marLeft w:val="1714"/>
          <w:marRight w:val="0"/>
          <w:marTop w:val="75"/>
          <w:marBottom w:val="0"/>
          <w:divBdr>
            <w:top w:val="none" w:sz="0" w:space="0" w:color="auto"/>
            <w:left w:val="none" w:sz="0" w:space="0" w:color="auto"/>
            <w:bottom w:val="none" w:sz="0" w:space="0" w:color="auto"/>
            <w:right w:val="none" w:sz="0" w:space="0" w:color="auto"/>
          </w:divBdr>
        </w:div>
        <w:div w:id="905215583">
          <w:marLeft w:val="1714"/>
          <w:marRight w:val="0"/>
          <w:marTop w:val="75"/>
          <w:marBottom w:val="0"/>
          <w:divBdr>
            <w:top w:val="none" w:sz="0" w:space="0" w:color="auto"/>
            <w:left w:val="none" w:sz="0" w:space="0" w:color="auto"/>
            <w:bottom w:val="none" w:sz="0" w:space="0" w:color="auto"/>
            <w:right w:val="none" w:sz="0" w:space="0" w:color="auto"/>
          </w:divBdr>
        </w:div>
        <w:div w:id="967510897">
          <w:marLeft w:val="1714"/>
          <w:marRight w:val="0"/>
          <w:marTop w:val="75"/>
          <w:marBottom w:val="0"/>
          <w:divBdr>
            <w:top w:val="none" w:sz="0" w:space="0" w:color="auto"/>
            <w:left w:val="none" w:sz="0" w:space="0" w:color="auto"/>
            <w:bottom w:val="none" w:sz="0" w:space="0" w:color="auto"/>
            <w:right w:val="none" w:sz="0" w:space="0" w:color="auto"/>
          </w:divBdr>
        </w:div>
        <w:div w:id="968781886">
          <w:marLeft w:val="1714"/>
          <w:marRight w:val="0"/>
          <w:marTop w:val="75"/>
          <w:marBottom w:val="0"/>
          <w:divBdr>
            <w:top w:val="none" w:sz="0" w:space="0" w:color="auto"/>
            <w:left w:val="none" w:sz="0" w:space="0" w:color="auto"/>
            <w:bottom w:val="none" w:sz="0" w:space="0" w:color="auto"/>
            <w:right w:val="none" w:sz="0" w:space="0" w:color="auto"/>
          </w:divBdr>
        </w:div>
        <w:div w:id="1092822886">
          <w:marLeft w:val="1714"/>
          <w:marRight w:val="0"/>
          <w:marTop w:val="75"/>
          <w:marBottom w:val="0"/>
          <w:divBdr>
            <w:top w:val="none" w:sz="0" w:space="0" w:color="auto"/>
            <w:left w:val="none" w:sz="0" w:space="0" w:color="auto"/>
            <w:bottom w:val="none" w:sz="0" w:space="0" w:color="auto"/>
            <w:right w:val="none" w:sz="0" w:space="0" w:color="auto"/>
          </w:divBdr>
        </w:div>
        <w:div w:id="1123118034">
          <w:marLeft w:val="1714"/>
          <w:marRight w:val="0"/>
          <w:marTop w:val="75"/>
          <w:marBottom w:val="0"/>
          <w:divBdr>
            <w:top w:val="none" w:sz="0" w:space="0" w:color="auto"/>
            <w:left w:val="none" w:sz="0" w:space="0" w:color="auto"/>
            <w:bottom w:val="none" w:sz="0" w:space="0" w:color="auto"/>
            <w:right w:val="none" w:sz="0" w:space="0" w:color="auto"/>
          </w:divBdr>
        </w:div>
        <w:div w:id="1359312501">
          <w:marLeft w:val="1714"/>
          <w:marRight w:val="0"/>
          <w:marTop w:val="75"/>
          <w:marBottom w:val="0"/>
          <w:divBdr>
            <w:top w:val="none" w:sz="0" w:space="0" w:color="auto"/>
            <w:left w:val="none" w:sz="0" w:space="0" w:color="auto"/>
            <w:bottom w:val="none" w:sz="0" w:space="0" w:color="auto"/>
            <w:right w:val="none" w:sz="0" w:space="0" w:color="auto"/>
          </w:divBdr>
        </w:div>
        <w:div w:id="1544361329">
          <w:marLeft w:val="1714"/>
          <w:marRight w:val="0"/>
          <w:marTop w:val="75"/>
          <w:marBottom w:val="0"/>
          <w:divBdr>
            <w:top w:val="none" w:sz="0" w:space="0" w:color="auto"/>
            <w:left w:val="none" w:sz="0" w:space="0" w:color="auto"/>
            <w:bottom w:val="none" w:sz="0" w:space="0" w:color="auto"/>
            <w:right w:val="none" w:sz="0" w:space="0" w:color="auto"/>
          </w:divBdr>
        </w:div>
        <w:div w:id="1598906246">
          <w:marLeft w:val="1714"/>
          <w:marRight w:val="0"/>
          <w:marTop w:val="75"/>
          <w:marBottom w:val="0"/>
          <w:divBdr>
            <w:top w:val="none" w:sz="0" w:space="0" w:color="auto"/>
            <w:left w:val="none" w:sz="0" w:space="0" w:color="auto"/>
            <w:bottom w:val="none" w:sz="0" w:space="0" w:color="auto"/>
            <w:right w:val="none" w:sz="0" w:space="0" w:color="auto"/>
          </w:divBdr>
        </w:div>
        <w:div w:id="1650475242">
          <w:marLeft w:val="907"/>
          <w:marRight w:val="0"/>
          <w:marTop w:val="0"/>
          <w:marBottom w:val="0"/>
          <w:divBdr>
            <w:top w:val="none" w:sz="0" w:space="0" w:color="auto"/>
            <w:left w:val="none" w:sz="0" w:space="0" w:color="auto"/>
            <w:bottom w:val="none" w:sz="0" w:space="0" w:color="auto"/>
            <w:right w:val="none" w:sz="0" w:space="0" w:color="auto"/>
          </w:divBdr>
        </w:div>
      </w:divsChild>
    </w:div>
    <w:div w:id="630941715">
      <w:bodyDiv w:val="1"/>
      <w:marLeft w:val="0"/>
      <w:marRight w:val="0"/>
      <w:marTop w:val="0"/>
      <w:marBottom w:val="0"/>
      <w:divBdr>
        <w:top w:val="none" w:sz="0" w:space="0" w:color="auto"/>
        <w:left w:val="none" w:sz="0" w:space="0" w:color="auto"/>
        <w:bottom w:val="none" w:sz="0" w:space="0" w:color="auto"/>
        <w:right w:val="none" w:sz="0" w:space="0" w:color="auto"/>
      </w:divBdr>
    </w:div>
    <w:div w:id="646474119">
      <w:bodyDiv w:val="1"/>
      <w:marLeft w:val="0"/>
      <w:marRight w:val="0"/>
      <w:marTop w:val="0"/>
      <w:marBottom w:val="0"/>
      <w:divBdr>
        <w:top w:val="none" w:sz="0" w:space="0" w:color="auto"/>
        <w:left w:val="none" w:sz="0" w:space="0" w:color="auto"/>
        <w:bottom w:val="none" w:sz="0" w:space="0" w:color="auto"/>
        <w:right w:val="none" w:sz="0" w:space="0" w:color="auto"/>
      </w:divBdr>
    </w:div>
    <w:div w:id="788399989">
      <w:bodyDiv w:val="1"/>
      <w:marLeft w:val="0"/>
      <w:marRight w:val="0"/>
      <w:marTop w:val="0"/>
      <w:marBottom w:val="0"/>
      <w:divBdr>
        <w:top w:val="none" w:sz="0" w:space="0" w:color="auto"/>
        <w:left w:val="none" w:sz="0" w:space="0" w:color="auto"/>
        <w:bottom w:val="none" w:sz="0" w:space="0" w:color="auto"/>
        <w:right w:val="none" w:sz="0" w:space="0" w:color="auto"/>
      </w:divBdr>
    </w:div>
    <w:div w:id="793907955">
      <w:bodyDiv w:val="1"/>
      <w:marLeft w:val="0"/>
      <w:marRight w:val="0"/>
      <w:marTop w:val="0"/>
      <w:marBottom w:val="0"/>
      <w:divBdr>
        <w:top w:val="none" w:sz="0" w:space="0" w:color="auto"/>
        <w:left w:val="none" w:sz="0" w:space="0" w:color="auto"/>
        <w:bottom w:val="none" w:sz="0" w:space="0" w:color="auto"/>
        <w:right w:val="none" w:sz="0" w:space="0" w:color="auto"/>
      </w:divBdr>
    </w:div>
    <w:div w:id="809596204">
      <w:bodyDiv w:val="1"/>
      <w:marLeft w:val="0"/>
      <w:marRight w:val="0"/>
      <w:marTop w:val="0"/>
      <w:marBottom w:val="0"/>
      <w:divBdr>
        <w:top w:val="none" w:sz="0" w:space="0" w:color="auto"/>
        <w:left w:val="none" w:sz="0" w:space="0" w:color="auto"/>
        <w:bottom w:val="none" w:sz="0" w:space="0" w:color="auto"/>
        <w:right w:val="none" w:sz="0" w:space="0" w:color="auto"/>
      </w:divBdr>
    </w:div>
    <w:div w:id="825323978">
      <w:bodyDiv w:val="1"/>
      <w:marLeft w:val="0"/>
      <w:marRight w:val="0"/>
      <w:marTop w:val="0"/>
      <w:marBottom w:val="0"/>
      <w:divBdr>
        <w:top w:val="none" w:sz="0" w:space="0" w:color="auto"/>
        <w:left w:val="none" w:sz="0" w:space="0" w:color="auto"/>
        <w:bottom w:val="none" w:sz="0" w:space="0" w:color="auto"/>
        <w:right w:val="none" w:sz="0" w:space="0" w:color="auto"/>
      </w:divBdr>
    </w:div>
    <w:div w:id="829828410">
      <w:bodyDiv w:val="1"/>
      <w:marLeft w:val="0"/>
      <w:marRight w:val="0"/>
      <w:marTop w:val="0"/>
      <w:marBottom w:val="0"/>
      <w:divBdr>
        <w:top w:val="none" w:sz="0" w:space="0" w:color="auto"/>
        <w:left w:val="none" w:sz="0" w:space="0" w:color="auto"/>
        <w:bottom w:val="none" w:sz="0" w:space="0" w:color="auto"/>
        <w:right w:val="none" w:sz="0" w:space="0" w:color="auto"/>
      </w:divBdr>
    </w:div>
    <w:div w:id="842476026">
      <w:bodyDiv w:val="1"/>
      <w:marLeft w:val="0"/>
      <w:marRight w:val="0"/>
      <w:marTop w:val="0"/>
      <w:marBottom w:val="0"/>
      <w:divBdr>
        <w:top w:val="none" w:sz="0" w:space="0" w:color="auto"/>
        <w:left w:val="none" w:sz="0" w:space="0" w:color="auto"/>
        <w:bottom w:val="none" w:sz="0" w:space="0" w:color="auto"/>
        <w:right w:val="none" w:sz="0" w:space="0" w:color="auto"/>
      </w:divBdr>
    </w:div>
    <w:div w:id="874661843">
      <w:bodyDiv w:val="1"/>
      <w:marLeft w:val="0"/>
      <w:marRight w:val="0"/>
      <w:marTop w:val="0"/>
      <w:marBottom w:val="0"/>
      <w:divBdr>
        <w:top w:val="none" w:sz="0" w:space="0" w:color="auto"/>
        <w:left w:val="none" w:sz="0" w:space="0" w:color="auto"/>
        <w:bottom w:val="none" w:sz="0" w:space="0" w:color="auto"/>
        <w:right w:val="none" w:sz="0" w:space="0" w:color="auto"/>
      </w:divBdr>
    </w:div>
    <w:div w:id="934824993">
      <w:bodyDiv w:val="1"/>
      <w:marLeft w:val="0"/>
      <w:marRight w:val="0"/>
      <w:marTop w:val="0"/>
      <w:marBottom w:val="0"/>
      <w:divBdr>
        <w:top w:val="none" w:sz="0" w:space="0" w:color="auto"/>
        <w:left w:val="none" w:sz="0" w:space="0" w:color="auto"/>
        <w:bottom w:val="none" w:sz="0" w:space="0" w:color="auto"/>
        <w:right w:val="none" w:sz="0" w:space="0" w:color="auto"/>
      </w:divBdr>
    </w:div>
    <w:div w:id="986125759">
      <w:bodyDiv w:val="1"/>
      <w:marLeft w:val="0"/>
      <w:marRight w:val="0"/>
      <w:marTop w:val="0"/>
      <w:marBottom w:val="0"/>
      <w:divBdr>
        <w:top w:val="none" w:sz="0" w:space="0" w:color="auto"/>
        <w:left w:val="none" w:sz="0" w:space="0" w:color="auto"/>
        <w:bottom w:val="none" w:sz="0" w:space="0" w:color="auto"/>
        <w:right w:val="none" w:sz="0" w:space="0" w:color="auto"/>
      </w:divBdr>
    </w:div>
    <w:div w:id="990986465">
      <w:bodyDiv w:val="1"/>
      <w:marLeft w:val="0"/>
      <w:marRight w:val="0"/>
      <w:marTop w:val="0"/>
      <w:marBottom w:val="0"/>
      <w:divBdr>
        <w:top w:val="none" w:sz="0" w:space="0" w:color="auto"/>
        <w:left w:val="none" w:sz="0" w:space="0" w:color="auto"/>
        <w:bottom w:val="none" w:sz="0" w:space="0" w:color="auto"/>
        <w:right w:val="none" w:sz="0" w:space="0" w:color="auto"/>
      </w:divBdr>
    </w:div>
    <w:div w:id="996542787">
      <w:bodyDiv w:val="1"/>
      <w:marLeft w:val="0"/>
      <w:marRight w:val="0"/>
      <w:marTop w:val="0"/>
      <w:marBottom w:val="0"/>
      <w:divBdr>
        <w:top w:val="none" w:sz="0" w:space="0" w:color="auto"/>
        <w:left w:val="none" w:sz="0" w:space="0" w:color="auto"/>
        <w:bottom w:val="none" w:sz="0" w:space="0" w:color="auto"/>
        <w:right w:val="none" w:sz="0" w:space="0" w:color="auto"/>
      </w:divBdr>
    </w:div>
    <w:div w:id="1004088443">
      <w:bodyDiv w:val="1"/>
      <w:marLeft w:val="0"/>
      <w:marRight w:val="0"/>
      <w:marTop w:val="0"/>
      <w:marBottom w:val="0"/>
      <w:divBdr>
        <w:top w:val="none" w:sz="0" w:space="0" w:color="auto"/>
        <w:left w:val="none" w:sz="0" w:space="0" w:color="auto"/>
        <w:bottom w:val="none" w:sz="0" w:space="0" w:color="auto"/>
        <w:right w:val="none" w:sz="0" w:space="0" w:color="auto"/>
      </w:divBdr>
    </w:div>
    <w:div w:id="1021081779">
      <w:bodyDiv w:val="1"/>
      <w:marLeft w:val="0"/>
      <w:marRight w:val="0"/>
      <w:marTop w:val="0"/>
      <w:marBottom w:val="0"/>
      <w:divBdr>
        <w:top w:val="none" w:sz="0" w:space="0" w:color="auto"/>
        <w:left w:val="none" w:sz="0" w:space="0" w:color="auto"/>
        <w:bottom w:val="none" w:sz="0" w:space="0" w:color="auto"/>
        <w:right w:val="none" w:sz="0" w:space="0" w:color="auto"/>
      </w:divBdr>
    </w:div>
    <w:div w:id="1065185875">
      <w:bodyDiv w:val="1"/>
      <w:marLeft w:val="0"/>
      <w:marRight w:val="0"/>
      <w:marTop w:val="0"/>
      <w:marBottom w:val="0"/>
      <w:divBdr>
        <w:top w:val="none" w:sz="0" w:space="0" w:color="auto"/>
        <w:left w:val="none" w:sz="0" w:space="0" w:color="auto"/>
        <w:bottom w:val="none" w:sz="0" w:space="0" w:color="auto"/>
        <w:right w:val="none" w:sz="0" w:space="0" w:color="auto"/>
      </w:divBdr>
    </w:div>
    <w:div w:id="1146049598">
      <w:bodyDiv w:val="1"/>
      <w:marLeft w:val="0"/>
      <w:marRight w:val="0"/>
      <w:marTop w:val="0"/>
      <w:marBottom w:val="0"/>
      <w:divBdr>
        <w:top w:val="none" w:sz="0" w:space="0" w:color="auto"/>
        <w:left w:val="none" w:sz="0" w:space="0" w:color="auto"/>
        <w:bottom w:val="none" w:sz="0" w:space="0" w:color="auto"/>
        <w:right w:val="none" w:sz="0" w:space="0" w:color="auto"/>
      </w:divBdr>
    </w:div>
    <w:div w:id="1179198039">
      <w:bodyDiv w:val="1"/>
      <w:marLeft w:val="0"/>
      <w:marRight w:val="0"/>
      <w:marTop w:val="0"/>
      <w:marBottom w:val="0"/>
      <w:divBdr>
        <w:top w:val="none" w:sz="0" w:space="0" w:color="auto"/>
        <w:left w:val="none" w:sz="0" w:space="0" w:color="auto"/>
        <w:bottom w:val="none" w:sz="0" w:space="0" w:color="auto"/>
        <w:right w:val="none" w:sz="0" w:space="0" w:color="auto"/>
      </w:divBdr>
    </w:div>
    <w:div w:id="1241064183">
      <w:bodyDiv w:val="1"/>
      <w:marLeft w:val="0"/>
      <w:marRight w:val="0"/>
      <w:marTop w:val="0"/>
      <w:marBottom w:val="0"/>
      <w:divBdr>
        <w:top w:val="none" w:sz="0" w:space="0" w:color="auto"/>
        <w:left w:val="none" w:sz="0" w:space="0" w:color="auto"/>
        <w:bottom w:val="none" w:sz="0" w:space="0" w:color="auto"/>
        <w:right w:val="none" w:sz="0" w:space="0" w:color="auto"/>
      </w:divBdr>
    </w:div>
    <w:div w:id="1273904846">
      <w:bodyDiv w:val="1"/>
      <w:marLeft w:val="0"/>
      <w:marRight w:val="0"/>
      <w:marTop w:val="0"/>
      <w:marBottom w:val="0"/>
      <w:divBdr>
        <w:top w:val="none" w:sz="0" w:space="0" w:color="auto"/>
        <w:left w:val="none" w:sz="0" w:space="0" w:color="auto"/>
        <w:bottom w:val="none" w:sz="0" w:space="0" w:color="auto"/>
        <w:right w:val="none" w:sz="0" w:space="0" w:color="auto"/>
      </w:divBdr>
    </w:div>
    <w:div w:id="1292050136">
      <w:bodyDiv w:val="1"/>
      <w:marLeft w:val="0"/>
      <w:marRight w:val="0"/>
      <w:marTop w:val="0"/>
      <w:marBottom w:val="0"/>
      <w:divBdr>
        <w:top w:val="none" w:sz="0" w:space="0" w:color="auto"/>
        <w:left w:val="none" w:sz="0" w:space="0" w:color="auto"/>
        <w:bottom w:val="none" w:sz="0" w:space="0" w:color="auto"/>
        <w:right w:val="none" w:sz="0" w:space="0" w:color="auto"/>
      </w:divBdr>
    </w:div>
    <w:div w:id="1318917887">
      <w:bodyDiv w:val="1"/>
      <w:marLeft w:val="0"/>
      <w:marRight w:val="0"/>
      <w:marTop w:val="0"/>
      <w:marBottom w:val="0"/>
      <w:divBdr>
        <w:top w:val="none" w:sz="0" w:space="0" w:color="auto"/>
        <w:left w:val="none" w:sz="0" w:space="0" w:color="auto"/>
        <w:bottom w:val="none" w:sz="0" w:space="0" w:color="auto"/>
        <w:right w:val="none" w:sz="0" w:space="0" w:color="auto"/>
      </w:divBdr>
    </w:div>
    <w:div w:id="1344748184">
      <w:bodyDiv w:val="1"/>
      <w:marLeft w:val="0"/>
      <w:marRight w:val="0"/>
      <w:marTop w:val="0"/>
      <w:marBottom w:val="0"/>
      <w:divBdr>
        <w:top w:val="none" w:sz="0" w:space="0" w:color="auto"/>
        <w:left w:val="none" w:sz="0" w:space="0" w:color="auto"/>
        <w:bottom w:val="none" w:sz="0" w:space="0" w:color="auto"/>
        <w:right w:val="none" w:sz="0" w:space="0" w:color="auto"/>
      </w:divBdr>
    </w:div>
    <w:div w:id="1364747160">
      <w:bodyDiv w:val="1"/>
      <w:marLeft w:val="0"/>
      <w:marRight w:val="0"/>
      <w:marTop w:val="0"/>
      <w:marBottom w:val="0"/>
      <w:divBdr>
        <w:top w:val="none" w:sz="0" w:space="0" w:color="auto"/>
        <w:left w:val="none" w:sz="0" w:space="0" w:color="auto"/>
        <w:bottom w:val="none" w:sz="0" w:space="0" w:color="auto"/>
        <w:right w:val="none" w:sz="0" w:space="0" w:color="auto"/>
      </w:divBdr>
    </w:div>
    <w:div w:id="1370186813">
      <w:bodyDiv w:val="1"/>
      <w:marLeft w:val="0"/>
      <w:marRight w:val="0"/>
      <w:marTop w:val="0"/>
      <w:marBottom w:val="0"/>
      <w:divBdr>
        <w:top w:val="none" w:sz="0" w:space="0" w:color="auto"/>
        <w:left w:val="none" w:sz="0" w:space="0" w:color="auto"/>
        <w:bottom w:val="none" w:sz="0" w:space="0" w:color="auto"/>
        <w:right w:val="none" w:sz="0" w:space="0" w:color="auto"/>
      </w:divBdr>
    </w:div>
    <w:div w:id="1401362700">
      <w:bodyDiv w:val="1"/>
      <w:marLeft w:val="0"/>
      <w:marRight w:val="0"/>
      <w:marTop w:val="0"/>
      <w:marBottom w:val="0"/>
      <w:divBdr>
        <w:top w:val="none" w:sz="0" w:space="0" w:color="auto"/>
        <w:left w:val="none" w:sz="0" w:space="0" w:color="auto"/>
        <w:bottom w:val="none" w:sz="0" w:space="0" w:color="auto"/>
        <w:right w:val="none" w:sz="0" w:space="0" w:color="auto"/>
      </w:divBdr>
      <w:divsChild>
        <w:div w:id="3211662">
          <w:marLeft w:val="2246"/>
          <w:marRight w:val="0"/>
          <w:marTop w:val="75"/>
          <w:marBottom w:val="0"/>
          <w:divBdr>
            <w:top w:val="none" w:sz="0" w:space="0" w:color="auto"/>
            <w:left w:val="none" w:sz="0" w:space="0" w:color="auto"/>
            <w:bottom w:val="none" w:sz="0" w:space="0" w:color="auto"/>
            <w:right w:val="none" w:sz="0" w:space="0" w:color="auto"/>
          </w:divBdr>
        </w:div>
        <w:div w:id="35080355">
          <w:marLeft w:val="2246"/>
          <w:marRight w:val="0"/>
          <w:marTop w:val="75"/>
          <w:marBottom w:val="0"/>
          <w:divBdr>
            <w:top w:val="none" w:sz="0" w:space="0" w:color="auto"/>
            <w:left w:val="none" w:sz="0" w:space="0" w:color="auto"/>
            <w:bottom w:val="none" w:sz="0" w:space="0" w:color="auto"/>
            <w:right w:val="none" w:sz="0" w:space="0" w:color="auto"/>
          </w:divBdr>
        </w:div>
        <w:div w:id="183399961">
          <w:marLeft w:val="2246"/>
          <w:marRight w:val="0"/>
          <w:marTop w:val="75"/>
          <w:marBottom w:val="0"/>
          <w:divBdr>
            <w:top w:val="none" w:sz="0" w:space="0" w:color="auto"/>
            <w:left w:val="none" w:sz="0" w:space="0" w:color="auto"/>
            <w:bottom w:val="none" w:sz="0" w:space="0" w:color="auto"/>
            <w:right w:val="none" w:sz="0" w:space="0" w:color="auto"/>
          </w:divBdr>
        </w:div>
        <w:div w:id="554973074">
          <w:marLeft w:val="1714"/>
          <w:marRight w:val="0"/>
          <w:marTop w:val="75"/>
          <w:marBottom w:val="0"/>
          <w:divBdr>
            <w:top w:val="none" w:sz="0" w:space="0" w:color="auto"/>
            <w:left w:val="none" w:sz="0" w:space="0" w:color="auto"/>
            <w:bottom w:val="none" w:sz="0" w:space="0" w:color="auto"/>
            <w:right w:val="none" w:sz="0" w:space="0" w:color="auto"/>
          </w:divBdr>
        </w:div>
        <w:div w:id="1426001830">
          <w:marLeft w:val="2246"/>
          <w:marRight w:val="0"/>
          <w:marTop w:val="75"/>
          <w:marBottom w:val="0"/>
          <w:divBdr>
            <w:top w:val="none" w:sz="0" w:space="0" w:color="auto"/>
            <w:left w:val="none" w:sz="0" w:space="0" w:color="auto"/>
            <w:bottom w:val="none" w:sz="0" w:space="0" w:color="auto"/>
            <w:right w:val="none" w:sz="0" w:space="0" w:color="auto"/>
          </w:divBdr>
        </w:div>
        <w:div w:id="1439518957">
          <w:marLeft w:val="1714"/>
          <w:marRight w:val="0"/>
          <w:marTop w:val="75"/>
          <w:marBottom w:val="0"/>
          <w:divBdr>
            <w:top w:val="none" w:sz="0" w:space="0" w:color="auto"/>
            <w:left w:val="none" w:sz="0" w:space="0" w:color="auto"/>
            <w:bottom w:val="none" w:sz="0" w:space="0" w:color="auto"/>
            <w:right w:val="none" w:sz="0" w:space="0" w:color="auto"/>
          </w:divBdr>
        </w:div>
        <w:div w:id="1639870623">
          <w:marLeft w:val="1714"/>
          <w:marRight w:val="0"/>
          <w:marTop w:val="75"/>
          <w:marBottom w:val="0"/>
          <w:divBdr>
            <w:top w:val="none" w:sz="0" w:space="0" w:color="auto"/>
            <w:left w:val="none" w:sz="0" w:space="0" w:color="auto"/>
            <w:bottom w:val="none" w:sz="0" w:space="0" w:color="auto"/>
            <w:right w:val="none" w:sz="0" w:space="0" w:color="auto"/>
          </w:divBdr>
        </w:div>
        <w:div w:id="1641768776">
          <w:marLeft w:val="2246"/>
          <w:marRight w:val="0"/>
          <w:marTop w:val="75"/>
          <w:marBottom w:val="0"/>
          <w:divBdr>
            <w:top w:val="none" w:sz="0" w:space="0" w:color="auto"/>
            <w:left w:val="none" w:sz="0" w:space="0" w:color="auto"/>
            <w:bottom w:val="none" w:sz="0" w:space="0" w:color="auto"/>
            <w:right w:val="none" w:sz="0" w:space="0" w:color="auto"/>
          </w:divBdr>
        </w:div>
        <w:div w:id="1783958724">
          <w:marLeft w:val="907"/>
          <w:marRight w:val="0"/>
          <w:marTop w:val="0"/>
          <w:marBottom w:val="0"/>
          <w:divBdr>
            <w:top w:val="none" w:sz="0" w:space="0" w:color="auto"/>
            <w:left w:val="none" w:sz="0" w:space="0" w:color="auto"/>
            <w:bottom w:val="none" w:sz="0" w:space="0" w:color="auto"/>
            <w:right w:val="none" w:sz="0" w:space="0" w:color="auto"/>
          </w:divBdr>
        </w:div>
      </w:divsChild>
    </w:div>
    <w:div w:id="1429232724">
      <w:bodyDiv w:val="1"/>
      <w:marLeft w:val="0"/>
      <w:marRight w:val="0"/>
      <w:marTop w:val="0"/>
      <w:marBottom w:val="0"/>
      <w:divBdr>
        <w:top w:val="none" w:sz="0" w:space="0" w:color="auto"/>
        <w:left w:val="none" w:sz="0" w:space="0" w:color="auto"/>
        <w:bottom w:val="none" w:sz="0" w:space="0" w:color="auto"/>
        <w:right w:val="none" w:sz="0" w:space="0" w:color="auto"/>
      </w:divBdr>
    </w:div>
    <w:div w:id="1440953067">
      <w:bodyDiv w:val="1"/>
      <w:marLeft w:val="0"/>
      <w:marRight w:val="0"/>
      <w:marTop w:val="0"/>
      <w:marBottom w:val="0"/>
      <w:divBdr>
        <w:top w:val="none" w:sz="0" w:space="0" w:color="auto"/>
        <w:left w:val="none" w:sz="0" w:space="0" w:color="auto"/>
        <w:bottom w:val="none" w:sz="0" w:space="0" w:color="auto"/>
        <w:right w:val="none" w:sz="0" w:space="0" w:color="auto"/>
      </w:divBdr>
    </w:div>
    <w:div w:id="1480725485">
      <w:bodyDiv w:val="1"/>
      <w:marLeft w:val="0"/>
      <w:marRight w:val="0"/>
      <w:marTop w:val="0"/>
      <w:marBottom w:val="0"/>
      <w:divBdr>
        <w:top w:val="none" w:sz="0" w:space="0" w:color="auto"/>
        <w:left w:val="none" w:sz="0" w:space="0" w:color="auto"/>
        <w:bottom w:val="none" w:sz="0" w:space="0" w:color="auto"/>
        <w:right w:val="none" w:sz="0" w:space="0" w:color="auto"/>
      </w:divBdr>
    </w:div>
    <w:div w:id="1521160118">
      <w:bodyDiv w:val="1"/>
      <w:marLeft w:val="0"/>
      <w:marRight w:val="0"/>
      <w:marTop w:val="0"/>
      <w:marBottom w:val="0"/>
      <w:divBdr>
        <w:top w:val="none" w:sz="0" w:space="0" w:color="auto"/>
        <w:left w:val="none" w:sz="0" w:space="0" w:color="auto"/>
        <w:bottom w:val="none" w:sz="0" w:space="0" w:color="auto"/>
        <w:right w:val="none" w:sz="0" w:space="0" w:color="auto"/>
      </w:divBdr>
    </w:div>
    <w:div w:id="1545369386">
      <w:bodyDiv w:val="1"/>
      <w:marLeft w:val="0"/>
      <w:marRight w:val="0"/>
      <w:marTop w:val="0"/>
      <w:marBottom w:val="0"/>
      <w:divBdr>
        <w:top w:val="none" w:sz="0" w:space="0" w:color="auto"/>
        <w:left w:val="none" w:sz="0" w:space="0" w:color="auto"/>
        <w:bottom w:val="none" w:sz="0" w:space="0" w:color="auto"/>
        <w:right w:val="none" w:sz="0" w:space="0" w:color="auto"/>
      </w:divBdr>
      <w:divsChild>
        <w:div w:id="773325959">
          <w:marLeft w:val="547"/>
          <w:marRight w:val="0"/>
          <w:marTop w:val="0"/>
          <w:marBottom w:val="120"/>
          <w:divBdr>
            <w:top w:val="none" w:sz="0" w:space="0" w:color="auto"/>
            <w:left w:val="none" w:sz="0" w:space="0" w:color="auto"/>
            <w:bottom w:val="none" w:sz="0" w:space="0" w:color="auto"/>
            <w:right w:val="none" w:sz="0" w:space="0" w:color="auto"/>
          </w:divBdr>
        </w:div>
        <w:div w:id="1025904838">
          <w:marLeft w:val="547"/>
          <w:marRight w:val="0"/>
          <w:marTop w:val="0"/>
          <w:marBottom w:val="120"/>
          <w:divBdr>
            <w:top w:val="none" w:sz="0" w:space="0" w:color="auto"/>
            <w:left w:val="none" w:sz="0" w:space="0" w:color="auto"/>
            <w:bottom w:val="none" w:sz="0" w:space="0" w:color="auto"/>
            <w:right w:val="none" w:sz="0" w:space="0" w:color="auto"/>
          </w:divBdr>
        </w:div>
        <w:div w:id="1440030669">
          <w:marLeft w:val="547"/>
          <w:marRight w:val="0"/>
          <w:marTop w:val="0"/>
          <w:marBottom w:val="120"/>
          <w:divBdr>
            <w:top w:val="none" w:sz="0" w:space="0" w:color="auto"/>
            <w:left w:val="none" w:sz="0" w:space="0" w:color="auto"/>
            <w:bottom w:val="none" w:sz="0" w:space="0" w:color="auto"/>
            <w:right w:val="none" w:sz="0" w:space="0" w:color="auto"/>
          </w:divBdr>
        </w:div>
        <w:div w:id="1642616531">
          <w:marLeft w:val="547"/>
          <w:marRight w:val="0"/>
          <w:marTop w:val="0"/>
          <w:marBottom w:val="120"/>
          <w:divBdr>
            <w:top w:val="none" w:sz="0" w:space="0" w:color="auto"/>
            <w:left w:val="none" w:sz="0" w:space="0" w:color="auto"/>
            <w:bottom w:val="none" w:sz="0" w:space="0" w:color="auto"/>
            <w:right w:val="none" w:sz="0" w:space="0" w:color="auto"/>
          </w:divBdr>
        </w:div>
        <w:div w:id="1679691509">
          <w:marLeft w:val="547"/>
          <w:marRight w:val="0"/>
          <w:marTop w:val="0"/>
          <w:marBottom w:val="120"/>
          <w:divBdr>
            <w:top w:val="none" w:sz="0" w:space="0" w:color="auto"/>
            <w:left w:val="none" w:sz="0" w:space="0" w:color="auto"/>
            <w:bottom w:val="none" w:sz="0" w:space="0" w:color="auto"/>
            <w:right w:val="none" w:sz="0" w:space="0" w:color="auto"/>
          </w:divBdr>
        </w:div>
      </w:divsChild>
    </w:div>
    <w:div w:id="1584490561">
      <w:bodyDiv w:val="1"/>
      <w:marLeft w:val="0"/>
      <w:marRight w:val="0"/>
      <w:marTop w:val="0"/>
      <w:marBottom w:val="0"/>
      <w:divBdr>
        <w:top w:val="none" w:sz="0" w:space="0" w:color="auto"/>
        <w:left w:val="none" w:sz="0" w:space="0" w:color="auto"/>
        <w:bottom w:val="none" w:sz="0" w:space="0" w:color="auto"/>
        <w:right w:val="none" w:sz="0" w:space="0" w:color="auto"/>
      </w:divBdr>
    </w:div>
    <w:div w:id="1706710330">
      <w:bodyDiv w:val="1"/>
      <w:marLeft w:val="0"/>
      <w:marRight w:val="0"/>
      <w:marTop w:val="0"/>
      <w:marBottom w:val="0"/>
      <w:divBdr>
        <w:top w:val="none" w:sz="0" w:space="0" w:color="auto"/>
        <w:left w:val="none" w:sz="0" w:space="0" w:color="auto"/>
        <w:bottom w:val="none" w:sz="0" w:space="0" w:color="auto"/>
        <w:right w:val="none" w:sz="0" w:space="0" w:color="auto"/>
      </w:divBdr>
    </w:div>
    <w:div w:id="1735276090">
      <w:bodyDiv w:val="1"/>
      <w:marLeft w:val="0"/>
      <w:marRight w:val="0"/>
      <w:marTop w:val="0"/>
      <w:marBottom w:val="0"/>
      <w:divBdr>
        <w:top w:val="none" w:sz="0" w:space="0" w:color="auto"/>
        <w:left w:val="none" w:sz="0" w:space="0" w:color="auto"/>
        <w:bottom w:val="none" w:sz="0" w:space="0" w:color="auto"/>
        <w:right w:val="none" w:sz="0" w:space="0" w:color="auto"/>
      </w:divBdr>
    </w:div>
    <w:div w:id="1743016621">
      <w:bodyDiv w:val="1"/>
      <w:marLeft w:val="0"/>
      <w:marRight w:val="0"/>
      <w:marTop w:val="0"/>
      <w:marBottom w:val="0"/>
      <w:divBdr>
        <w:top w:val="none" w:sz="0" w:space="0" w:color="auto"/>
        <w:left w:val="none" w:sz="0" w:space="0" w:color="auto"/>
        <w:bottom w:val="none" w:sz="0" w:space="0" w:color="auto"/>
        <w:right w:val="none" w:sz="0" w:space="0" w:color="auto"/>
      </w:divBdr>
    </w:div>
    <w:div w:id="1789742753">
      <w:bodyDiv w:val="1"/>
      <w:marLeft w:val="0"/>
      <w:marRight w:val="0"/>
      <w:marTop w:val="0"/>
      <w:marBottom w:val="0"/>
      <w:divBdr>
        <w:top w:val="none" w:sz="0" w:space="0" w:color="auto"/>
        <w:left w:val="none" w:sz="0" w:space="0" w:color="auto"/>
        <w:bottom w:val="none" w:sz="0" w:space="0" w:color="auto"/>
        <w:right w:val="none" w:sz="0" w:space="0" w:color="auto"/>
      </w:divBdr>
    </w:div>
    <w:div w:id="1863322403">
      <w:bodyDiv w:val="1"/>
      <w:marLeft w:val="0"/>
      <w:marRight w:val="0"/>
      <w:marTop w:val="0"/>
      <w:marBottom w:val="0"/>
      <w:divBdr>
        <w:top w:val="none" w:sz="0" w:space="0" w:color="auto"/>
        <w:left w:val="none" w:sz="0" w:space="0" w:color="auto"/>
        <w:bottom w:val="none" w:sz="0" w:space="0" w:color="auto"/>
        <w:right w:val="none" w:sz="0" w:space="0" w:color="auto"/>
      </w:divBdr>
      <w:divsChild>
        <w:div w:id="575359000">
          <w:marLeft w:val="1714"/>
          <w:marRight w:val="0"/>
          <w:marTop w:val="75"/>
          <w:marBottom w:val="0"/>
          <w:divBdr>
            <w:top w:val="none" w:sz="0" w:space="0" w:color="auto"/>
            <w:left w:val="none" w:sz="0" w:space="0" w:color="auto"/>
            <w:bottom w:val="none" w:sz="0" w:space="0" w:color="auto"/>
            <w:right w:val="none" w:sz="0" w:space="0" w:color="auto"/>
          </w:divBdr>
        </w:div>
        <w:div w:id="940408560">
          <w:marLeft w:val="1714"/>
          <w:marRight w:val="0"/>
          <w:marTop w:val="75"/>
          <w:marBottom w:val="0"/>
          <w:divBdr>
            <w:top w:val="none" w:sz="0" w:space="0" w:color="auto"/>
            <w:left w:val="none" w:sz="0" w:space="0" w:color="auto"/>
            <w:bottom w:val="none" w:sz="0" w:space="0" w:color="auto"/>
            <w:right w:val="none" w:sz="0" w:space="0" w:color="auto"/>
          </w:divBdr>
        </w:div>
        <w:div w:id="1194147734">
          <w:marLeft w:val="1714"/>
          <w:marRight w:val="0"/>
          <w:marTop w:val="75"/>
          <w:marBottom w:val="0"/>
          <w:divBdr>
            <w:top w:val="none" w:sz="0" w:space="0" w:color="auto"/>
            <w:left w:val="none" w:sz="0" w:space="0" w:color="auto"/>
            <w:bottom w:val="none" w:sz="0" w:space="0" w:color="auto"/>
            <w:right w:val="none" w:sz="0" w:space="0" w:color="auto"/>
          </w:divBdr>
        </w:div>
      </w:divsChild>
    </w:div>
    <w:div w:id="1916474860">
      <w:bodyDiv w:val="1"/>
      <w:marLeft w:val="0"/>
      <w:marRight w:val="0"/>
      <w:marTop w:val="0"/>
      <w:marBottom w:val="0"/>
      <w:divBdr>
        <w:top w:val="none" w:sz="0" w:space="0" w:color="auto"/>
        <w:left w:val="none" w:sz="0" w:space="0" w:color="auto"/>
        <w:bottom w:val="none" w:sz="0" w:space="0" w:color="auto"/>
        <w:right w:val="none" w:sz="0" w:space="0" w:color="auto"/>
      </w:divBdr>
    </w:div>
    <w:div w:id="1922912658">
      <w:bodyDiv w:val="1"/>
      <w:marLeft w:val="0"/>
      <w:marRight w:val="0"/>
      <w:marTop w:val="0"/>
      <w:marBottom w:val="0"/>
      <w:divBdr>
        <w:top w:val="none" w:sz="0" w:space="0" w:color="auto"/>
        <w:left w:val="none" w:sz="0" w:space="0" w:color="auto"/>
        <w:bottom w:val="none" w:sz="0" w:space="0" w:color="auto"/>
        <w:right w:val="none" w:sz="0" w:space="0" w:color="auto"/>
      </w:divBdr>
    </w:div>
    <w:div w:id="1948734642">
      <w:bodyDiv w:val="1"/>
      <w:marLeft w:val="0"/>
      <w:marRight w:val="0"/>
      <w:marTop w:val="0"/>
      <w:marBottom w:val="0"/>
      <w:divBdr>
        <w:top w:val="none" w:sz="0" w:space="0" w:color="auto"/>
        <w:left w:val="none" w:sz="0" w:space="0" w:color="auto"/>
        <w:bottom w:val="none" w:sz="0" w:space="0" w:color="auto"/>
        <w:right w:val="none" w:sz="0" w:space="0" w:color="auto"/>
      </w:divBdr>
    </w:div>
    <w:div w:id="1970234001">
      <w:bodyDiv w:val="1"/>
      <w:marLeft w:val="0"/>
      <w:marRight w:val="0"/>
      <w:marTop w:val="0"/>
      <w:marBottom w:val="0"/>
      <w:divBdr>
        <w:top w:val="none" w:sz="0" w:space="0" w:color="auto"/>
        <w:left w:val="none" w:sz="0" w:space="0" w:color="auto"/>
        <w:bottom w:val="none" w:sz="0" w:space="0" w:color="auto"/>
        <w:right w:val="none" w:sz="0" w:space="0" w:color="auto"/>
      </w:divBdr>
    </w:div>
    <w:div w:id="1974407042">
      <w:bodyDiv w:val="1"/>
      <w:marLeft w:val="0"/>
      <w:marRight w:val="0"/>
      <w:marTop w:val="0"/>
      <w:marBottom w:val="0"/>
      <w:divBdr>
        <w:top w:val="none" w:sz="0" w:space="0" w:color="auto"/>
        <w:left w:val="none" w:sz="0" w:space="0" w:color="auto"/>
        <w:bottom w:val="none" w:sz="0" w:space="0" w:color="auto"/>
        <w:right w:val="none" w:sz="0" w:space="0" w:color="auto"/>
      </w:divBdr>
      <w:divsChild>
        <w:div w:id="925379446">
          <w:marLeft w:val="0"/>
          <w:marRight w:val="0"/>
          <w:marTop w:val="0"/>
          <w:marBottom w:val="0"/>
          <w:divBdr>
            <w:top w:val="none" w:sz="0" w:space="0" w:color="auto"/>
            <w:left w:val="none" w:sz="0" w:space="0" w:color="auto"/>
            <w:bottom w:val="none" w:sz="0" w:space="0" w:color="auto"/>
            <w:right w:val="none" w:sz="0" w:space="0" w:color="auto"/>
          </w:divBdr>
          <w:divsChild>
            <w:div w:id="1457067384">
              <w:marLeft w:val="0"/>
              <w:marRight w:val="0"/>
              <w:marTop w:val="0"/>
              <w:marBottom w:val="0"/>
              <w:divBdr>
                <w:top w:val="none" w:sz="0" w:space="0" w:color="auto"/>
                <w:left w:val="none" w:sz="0" w:space="0" w:color="auto"/>
                <w:bottom w:val="none" w:sz="0" w:space="0" w:color="auto"/>
                <w:right w:val="none" w:sz="0" w:space="0" w:color="auto"/>
              </w:divBdr>
              <w:divsChild>
                <w:div w:id="1386100382">
                  <w:marLeft w:val="0"/>
                  <w:marRight w:val="0"/>
                  <w:marTop w:val="0"/>
                  <w:marBottom w:val="0"/>
                  <w:divBdr>
                    <w:top w:val="none" w:sz="0" w:space="0" w:color="auto"/>
                    <w:left w:val="none" w:sz="0" w:space="0" w:color="auto"/>
                    <w:bottom w:val="none" w:sz="0" w:space="0" w:color="auto"/>
                    <w:right w:val="none" w:sz="0" w:space="0" w:color="auto"/>
                  </w:divBdr>
                  <w:divsChild>
                    <w:div w:id="2017415372">
                      <w:marLeft w:val="0"/>
                      <w:marRight w:val="0"/>
                      <w:marTop w:val="0"/>
                      <w:marBottom w:val="0"/>
                      <w:divBdr>
                        <w:top w:val="none" w:sz="0" w:space="0" w:color="auto"/>
                        <w:left w:val="none" w:sz="0" w:space="0" w:color="auto"/>
                        <w:bottom w:val="none" w:sz="0" w:space="0" w:color="auto"/>
                        <w:right w:val="none" w:sz="0" w:space="0" w:color="auto"/>
                      </w:divBdr>
                      <w:divsChild>
                        <w:div w:id="1879854719">
                          <w:marLeft w:val="0"/>
                          <w:marRight w:val="0"/>
                          <w:marTop w:val="0"/>
                          <w:marBottom w:val="0"/>
                          <w:divBdr>
                            <w:top w:val="none" w:sz="0" w:space="0" w:color="auto"/>
                            <w:left w:val="none" w:sz="0" w:space="0" w:color="auto"/>
                            <w:bottom w:val="none" w:sz="0" w:space="0" w:color="auto"/>
                            <w:right w:val="none" w:sz="0" w:space="0" w:color="auto"/>
                          </w:divBdr>
                          <w:divsChild>
                            <w:div w:id="1718121927">
                              <w:marLeft w:val="0"/>
                              <w:marRight w:val="0"/>
                              <w:marTop w:val="0"/>
                              <w:marBottom w:val="0"/>
                              <w:divBdr>
                                <w:top w:val="none" w:sz="0" w:space="0" w:color="auto"/>
                                <w:left w:val="none" w:sz="0" w:space="0" w:color="auto"/>
                                <w:bottom w:val="none" w:sz="0" w:space="0" w:color="auto"/>
                                <w:right w:val="none" w:sz="0" w:space="0" w:color="auto"/>
                              </w:divBdr>
                              <w:divsChild>
                                <w:div w:id="1015691624">
                                  <w:marLeft w:val="0"/>
                                  <w:marRight w:val="0"/>
                                  <w:marTop w:val="0"/>
                                  <w:marBottom w:val="0"/>
                                  <w:divBdr>
                                    <w:top w:val="none" w:sz="0" w:space="0" w:color="auto"/>
                                    <w:left w:val="none" w:sz="0" w:space="0" w:color="auto"/>
                                    <w:bottom w:val="none" w:sz="0" w:space="0" w:color="auto"/>
                                    <w:right w:val="none" w:sz="0" w:space="0" w:color="auto"/>
                                  </w:divBdr>
                                  <w:divsChild>
                                    <w:div w:id="273055534">
                                      <w:marLeft w:val="0"/>
                                      <w:marRight w:val="0"/>
                                      <w:marTop w:val="0"/>
                                      <w:marBottom w:val="0"/>
                                      <w:divBdr>
                                        <w:top w:val="none" w:sz="0" w:space="0" w:color="auto"/>
                                        <w:left w:val="none" w:sz="0" w:space="0" w:color="auto"/>
                                        <w:bottom w:val="none" w:sz="0" w:space="0" w:color="auto"/>
                                        <w:right w:val="none" w:sz="0" w:space="0" w:color="auto"/>
                                      </w:divBdr>
                                      <w:divsChild>
                                        <w:div w:id="316111951">
                                          <w:marLeft w:val="0"/>
                                          <w:marRight w:val="0"/>
                                          <w:marTop w:val="0"/>
                                          <w:marBottom w:val="0"/>
                                          <w:divBdr>
                                            <w:top w:val="none" w:sz="0" w:space="0" w:color="auto"/>
                                            <w:left w:val="none" w:sz="0" w:space="0" w:color="auto"/>
                                            <w:bottom w:val="none" w:sz="0" w:space="0" w:color="auto"/>
                                            <w:right w:val="none" w:sz="0" w:space="0" w:color="auto"/>
                                          </w:divBdr>
                                          <w:divsChild>
                                            <w:div w:id="1874223752">
                                              <w:marLeft w:val="0"/>
                                              <w:marRight w:val="0"/>
                                              <w:marTop w:val="0"/>
                                              <w:marBottom w:val="0"/>
                                              <w:divBdr>
                                                <w:top w:val="none" w:sz="0" w:space="0" w:color="auto"/>
                                                <w:left w:val="none" w:sz="0" w:space="0" w:color="auto"/>
                                                <w:bottom w:val="none" w:sz="0" w:space="0" w:color="auto"/>
                                                <w:right w:val="none" w:sz="0" w:space="0" w:color="auto"/>
                                              </w:divBdr>
                                              <w:divsChild>
                                                <w:div w:id="264770170">
                                                  <w:marLeft w:val="0"/>
                                                  <w:marRight w:val="0"/>
                                                  <w:marTop w:val="0"/>
                                                  <w:marBottom w:val="0"/>
                                                  <w:divBdr>
                                                    <w:top w:val="none" w:sz="0" w:space="0" w:color="auto"/>
                                                    <w:left w:val="none" w:sz="0" w:space="0" w:color="auto"/>
                                                    <w:bottom w:val="none" w:sz="0" w:space="0" w:color="auto"/>
                                                    <w:right w:val="none" w:sz="0" w:space="0" w:color="auto"/>
                                                  </w:divBdr>
                                                  <w:divsChild>
                                                    <w:div w:id="1511796723">
                                                      <w:marLeft w:val="0"/>
                                                      <w:marRight w:val="0"/>
                                                      <w:marTop w:val="0"/>
                                                      <w:marBottom w:val="0"/>
                                                      <w:divBdr>
                                                        <w:top w:val="none" w:sz="0" w:space="0" w:color="auto"/>
                                                        <w:left w:val="none" w:sz="0" w:space="0" w:color="auto"/>
                                                        <w:bottom w:val="none" w:sz="0" w:space="0" w:color="auto"/>
                                                        <w:right w:val="none" w:sz="0" w:space="0" w:color="auto"/>
                                                      </w:divBdr>
                                                      <w:divsChild>
                                                        <w:div w:id="1230506294">
                                                          <w:marLeft w:val="0"/>
                                                          <w:marRight w:val="0"/>
                                                          <w:marTop w:val="0"/>
                                                          <w:marBottom w:val="0"/>
                                                          <w:divBdr>
                                                            <w:top w:val="none" w:sz="0" w:space="0" w:color="auto"/>
                                                            <w:left w:val="none" w:sz="0" w:space="0" w:color="auto"/>
                                                            <w:bottom w:val="none" w:sz="0" w:space="0" w:color="auto"/>
                                                            <w:right w:val="none" w:sz="0" w:space="0" w:color="auto"/>
                                                          </w:divBdr>
                                                          <w:divsChild>
                                                            <w:div w:id="1548031106">
                                                              <w:marLeft w:val="0"/>
                                                              <w:marRight w:val="0"/>
                                                              <w:marTop w:val="0"/>
                                                              <w:marBottom w:val="0"/>
                                                              <w:divBdr>
                                                                <w:top w:val="none" w:sz="0" w:space="0" w:color="auto"/>
                                                                <w:left w:val="none" w:sz="0" w:space="0" w:color="auto"/>
                                                                <w:bottom w:val="none" w:sz="0" w:space="0" w:color="auto"/>
                                                                <w:right w:val="none" w:sz="0" w:space="0" w:color="auto"/>
                                                              </w:divBdr>
                                                              <w:divsChild>
                                                                <w:div w:id="367804266">
                                                                  <w:marLeft w:val="0"/>
                                                                  <w:marRight w:val="0"/>
                                                                  <w:marTop w:val="0"/>
                                                                  <w:marBottom w:val="0"/>
                                                                  <w:divBdr>
                                                                    <w:top w:val="none" w:sz="0" w:space="0" w:color="auto"/>
                                                                    <w:left w:val="none" w:sz="0" w:space="0" w:color="auto"/>
                                                                    <w:bottom w:val="none" w:sz="0" w:space="0" w:color="auto"/>
                                                                    <w:right w:val="none" w:sz="0" w:space="0" w:color="auto"/>
                                                                  </w:divBdr>
                                                                  <w:divsChild>
                                                                    <w:div w:id="217061428">
                                                                      <w:marLeft w:val="0"/>
                                                                      <w:marRight w:val="0"/>
                                                                      <w:marTop w:val="0"/>
                                                                      <w:marBottom w:val="0"/>
                                                                      <w:divBdr>
                                                                        <w:top w:val="none" w:sz="0" w:space="0" w:color="auto"/>
                                                                        <w:left w:val="none" w:sz="0" w:space="0" w:color="auto"/>
                                                                        <w:bottom w:val="none" w:sz="0" w:space="0" w:color="auto"/>
                                                                        <w:right w:val="none" w:sz="0" w:space="0" w:color="auto"/>
                                                                      </w:divBdr>
                                                                      <w:divsChild>
                                                                        <w:div w:id="722022671">
                                                                          <w:marLeft w:val="0"/>
                                                                          <w:marRight w:val="0"/>
                                                                          <w:marTop w:val="0"/>
                                                                          <w:marBottom w:val="0"/>
                                                                          <w:divBdr>
                                                                            <w:top w:val="none" w:sz="0" w:space="0" w:color="auto"/>
                                                                            <w:left w:val="none" w:sz="0" w:space="0" w:color="auto"/>
                                                                            <w:bottom w:val="none" w:sz="0" w:space="0" w:color="auto"/>
                                                                            <w:right w:val="none" w:sz="0" w:space="0" w:color="auto"/>
                                                                          </w:divBdr>
                                                                          <w:divsChild>
                                                                            <w:div w:id="69893904">
                                                                              <w:marLeft w:val="0"/>
                                                                              <w:marRight w:val="0"/>
                                                                              <w:marTop w:val="0"/>
                                                                              <w:marBottom w:val="0"/>
                                                                              <w:divBdr>
                                                                                <w:top w:val="none" w:sz="0" w:space="0" w:color="auto"/>
                                                                                <w:left w:val="none" w:sz="0" w:space="0" w:color="auto"/>
                                                                                <w:bottom w:val="none" w:sz="0" w:space="0" w:color="auto"/>
                                                                                <w:right w:val="none" w:sz="0" w:space="0" w:color="auto"/>
                                                                              </w:divBdr>
                                                                              <w:divsChild>
                                                                                <w:div w:id="1578901660">
                                                                                  <w:marLeft w:val="0"/>
                                                                                  <w:marRight w:val="0"/>
                                                                                  <w:marTop w:val="0"/>
                                                                                  <w:marBottom w:val="0"/>
                                                                                  <w:divBdr>
                                                                                    <w:top w:val="none" w:sz="0" w:space="0" w:color="auto"/>
                                                                                    <w:left w:val="none" w:sz="0" w:space="0" w:color="auto"/>
                                                                                    <w:bottom w:val="none" w:sz="0" w:space="0" w:color="auto"/>
                                                                                    <w:right w:val="none" w:sz="0" w:space="0" w:color="auto"/>
                                                                                  </w:divBdr>
                                                                                  <w:divsChild>
                                                                                    <w:div w:id="63988098">
                                                                                      <w:marLeft w:val="0"/>
                                                                                      <w:marRight w:val="0"/>
                                                                                      <w:marTop w:val="0"/>
                                                                                      <w:marBottom w:val="0"/>
                                                                                      <w:divBdr>
                                                                                        <w:top w:val="none" w:sz="0" w:space="0" w:color="auto"/>
                                                                                        <w:left w:val="none" w:sz="0" w:space="0" w:color="auto"/>
                                                                                        <w:bottom w:val="none" w:sz="0" w:space="0" w:color="auto"/>
                                                                                        <w:right w:val="none" w:sz="0" w:space="0" w:color="auto"/>
                                                                                      </w:divBdr>
                                                                                      <w:divsChild>
                                                                                        <w:div w:id="2115175538">
                                                                                          <w:marLeft w:val="0"/>
                                                                                          <w:marRight w:val="0"/>
                                                                                          <w:marTop w:val="0"/>
                                                                                          <w:marBottom w:val="0"/>
                                                                                          <w:divBdr>
                                                                                            <w:top w:val="none" w:sz="0" w:space="0" w:color="auto"/>
                                                                                            <w:left w:val="none" w:sz="0" w:space="0" w:color="auto"/>
                                                                                            <w:bottom w:val="none" w:sz="0" w:space="0" w:color="auto"/>
                                                                                            <w:right w:val="none" w:sz="0" w:space="0" w:color="auto"/>
                                                                                          </w:divBdr>
                                                                                          <w:divsChild>
                                                                                            <w:div w:id="1272938034">
                                                                                              <w:marLeft w:val="0"/>
                                                                                              <w:marRight w:val="120"/>
                                                                                              <w:marTop w:val="0"/>
                                                                                              <w:marBottom w:val="150"/>
                                                                                              <w:divBdr>
                                                                                                <w:top w:val="single" w:sz="2" w:space="0" w:color="EFEFEF"/>
                                                                                                <w:left w:val="single" w:sz="6" w:space="0" w:color="EFEFEF"/>
                                                                                                <w:bottom w:val="single" w:sz="6" w:space="0" w:color="E2E2E2"/>
                                                                                                <w:right w:val="single" w:sz="6" w:space="0" w:color="EFEFEF"/>
                                                                                              </w:divBdr>
                                                                                              <w:divsChild>
                                                                                                <w:div w:id="1857694728">
                                                                                                  <w:marLeft w:val="0"/>
                                                                                                  <w:marRight w:val="0"/>
                                                                                                  <w:marTop w:val="0"/>
                                                                                                  <w:marBottom w:val="0"/>
                                                                                                  <w:divBdr>
                                                                                                    <w:top w:val="none" w:sz="0" w:space="0" w:color="auto"/>
                                                                                                    <w:left w:val="none" w:sz="0" w:space="0" w:color="auto"/>
                                                                                                    <w:bottom w:val="none" w:sz="0" w:space="0" w:color="auto"/>
                                                                                                    <w:right w:val="none" w:sz="0" w:space="0" w:color="auto"/>
                                                                                                  </w:divBdr>
                                                                                                  <w:divsChild>
                                                                                                    <w:div w:id="1277643474">
                                                                                                      <w:marLeft w:val="0"/>
                                                                                                      <w:marRight w:val="0"/>
                                                                                                      <w:marTop w:val="0"/>
                                                                                                      <w:marBottom w:val="0"/>
                                                                                                      <w:divBdr>
                                                                                                        <w:top w:val="none" w:sz="0" w:space="0" w:color="auto"/>
                                                                                                        <w:left w:val="none" w:sz="0" w:space="0" w:color="auto"/>
                                                                                                        <w:bottom w:val="none" w:sz="0" w:space="0" w:color="auto"/>
                                                                                                        <w:right w:val="none" w:sz="0" w:space="0" w:color="auto"/>
                                                                                                      </w:divBdr>
                                                                                                      <w:divsChild>
                                                                                                        <w:div w:id="1755393663">
                                                                                                          <w:marLeft w:val="0"/>
                                                                                                          <w:marRight w:val="0"/>
                                                                                                          <w:marTop w:val="0"/>
                                                                                                          <w:marBottom w:val="0"/>
                                                                                                          <w:divBdr>
                                                                                                            <w:top w:val="none" w:sz="0" w:space="0" w:color="auto"/>
                                                                                                            <w:left w:val="none" w:sz="0" w:space="0" w:color="auto"/>
                                                                                                            <w:bottom w:val="none" w:sz="0" w:space="0" w:color="auto"/>
                                                                                                            <w:right w:val="none" w:sz="0" w:space="0" w:color="auto"/>
                                                                                                          </w:divBdr>
                                                                                                          <w:divsChild>
                                                                                                            <w:div w:id="1910572172">
                                                                                                              <w:marLeft w:val="0"/>
                                                                                                              <w:marRight w:val="0"/>
                                                                                                              <w:marTop w:val="0"/>
                                                                                                              <w:marBottom w:val="0"/>
                                                                                                              <w:divBdr>
                                                                                                                <w:top w:val="none" w:sz="0" w:space="0" w:color="auto"/>
                                                                                                                <w:left w:val="none" w:sz="0" w:space="0" w:color="auto"/>
                                                                                                                <w:bottom w:val="none" w:sz="0" w:space="0" w:color="auto"/>
                                                                                                                <w:right w:val="none" w:sz="0" w:space="0" w:color="auto"/>
                                                                                                              </w:divBdr>
                                                                                                              <w:divsChild>
                                                                                                                <w:div w:id="893783878">
                                                                                                                  <w:marLeft w:val="-570"/>
                                                                                                                  <w:marRight w:val="0"/>
                                                                                                                  <w:marTop w:val="150"/>
                                                                                                                  <w:marBottom w:val="225"/>
                                                                                                                  <w:divBdr>
                                                                                                                    <w:top w:val="single" w:sz="6" w:space="2" w:color="D8D8D8"/>
                                                                                                                    <w:left w:val="single" w:sz="6" w:space="2" w:color="D8D8D8"/>
                                                                                                                    <w:bottom w:val="single" w:sz="6" w:space="2" w:color="D8D8D8"/>
                                                                                                                    <w:right w:val="single" w:sz="6" w:space="2" w:color="D8D8D8"/>
                                                                                                                  </w:divBdr>
                                                                                                                  <w:divsChild>
                                                                                                                    <w:div w:id="1917737481">
                                                                                                                      <w:marLeft w:val="225"/>
                                                                                                                      <w:marRight w:val="225"/>
                                                                                                                      <w:marTop w:val="75"/>
                                                                                                                      <w:marBottom w:val="75"/>
                                                                                                                      <w:divBdr>
                                                                                                                        <w:top w:val="none" w:sz="0" w:space="0" w:color="auto"/>
                                                                                                                        <w:left w:val="none" w:sz="0" w:space="0" w:color="auto"/>
                                                                                                                        <w:bottom w:val="none" w:sz="0" w:space="0" w:color="auto"/>
                                                                                                                        <w:right w:val="none" w:sz="0" w:space="0" w:color="auto"/>
                                                                                                                      </w:divBdr>
                                                                                                                      <w:divsChild>
                                                                                                                        <w:div w:id="1098333278">
                                                                                                                          <w:marLeft w:val="0"/>
                                                                                                                          <w:marRight w:val="0"/>
                                                                                                                          <w:marTop w:val="0"/>
                                                                                                                          <w:marBottom w:val="0"/>
                                                                                                                          <w:divBdr>
                                                                                                                            <w:top w:val="single" w:sz="6" w:space="0" w:color="auto"/>
                                                                                                                            <w:left w:val="single" w:sz="6" w:space="0" w:color="auto"/>
                                                                                                                            <w:bottom w:val="single" w:sz="6" w:space="0" w:color="auto"/>
                                                                                                                            <w:right w:val="single" w:sz="6" w:space="0" w:color="auto"/>
                                                                                                                          </w:divBdr>
                                                                                                                          <w:divsChild>
                                                                                                                            <w:div w:id="839999963">
                                                                                                                              <w:marLeft w:val="0"/>
                                                                                                                              <w:marRight w:val="0"/>
                                                                                                                              <w:marTop w:val="0"/>
                                                                                                                              <w:marBottom w:val="0"/>
                                                                                                                              <w:divBdr>
                                                                                                                                <w:top w:val="none" w:sz="0" w:space="0" w:color="auto"/>
                                                                                                                                <w:left w:val="none" w:sz="0" w:space="0" w:color="auto"/>
                                                                                                                                <w:bottom w:val="none" w:sz="0" w:space="0" w:color="auto"/>
                                                                                                                                <w:right w:val="none" w:sz="0" w:space="0" w:color="auto"/>
                                                                                                                              </w:divBdr>
                                                                                                                              <w:divsChild>
                                                                                                                                <w:div w:id="2526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4556326">
      <w:bodyDiv w:val="1"/>
      <w:marLeft w:val="0"/>
      <w:marRight w:val="0"/>
      <w:marTop w:val="0"/>
      <w:marBottom w:val="0"/>
      <w:divBdr>
        <w:top w:val="none" w:sz="0" w:space="0" w:color="auto"/>
        <w:left w:val="none" w:sz="0" w:space="0" w:color="auto"/>
        <w:bottom w:val="none" w:sz="0" w:space="0" w:color="auto"/>
        <w:right w:val="none" w:sz="0" w:space="0" w:color="auto"/>
      </w:divBdr>
      <w:divsChild>
        <w:div w:id="78840869">
          <w:marLeft w:val="2246"/>
          <w:marRight w:val="0"/>
          <w:marTop w:val="75"/>
          <w:marBottom w:val="0"/>
          <w:divBdr>
            <w:top w:val="none" w:sz="0" w:space="0" w:color="auto"/>
            <w:left w:val="none" w:sz="0" w:space="0" w:color="auto"/>
            <w:bottom w:val="none" w:sz="0" w:space="0" w:color="auto"/>
            <w:right w:val="none" w:sz="0" w:space="0" w:color="auto"/>
          </w:divBdr>
        </w:div>
        <w:div w:id="413472044">
          <w:marLeft w:val="1714"/>
          <w:marRight w:val="0"/>
          <w:marTop w:val="75"/>
          <w:marBottom w:val="0"/>
          <w:divBdr>
            <w:top w:val="none" w:sz="0" w:space="0" w:color="auto"/>
            <w:left w:val="none" w:sz="0" w:space="0" w:color="auto"/>
            <w:bottom w:val="none" w:sz="0" w:space="0" w:color="auto"/>
            <w:right w:val="none" w:sz="0" w:space="0" w:color="auto"/>
          </w:divBdr>
        </w:div>
        <w:div w:id="815142804">
          <w:marLeft w:val="2246"/>
          <w:marRight w:val="0"/>
          <w:marTop w:val="75"/>
          <w:marBottom w:val="0"/>
          <w:divBdr>
            <w:top w:val="none" w:sz="0" w:space="0" w:color="auto"/>
            <w:left w:val="none" w:sz="0" w:space="0" w:color="auto"/>
            <w:bottom w:val="none" w:sz="0" w:space="0" w:color="auto"/>
            <w:right w:val="none" w:sz="0" w:space="0" w:color="auto"/>
          </w:divBdr>
        </w:div>
        <w:div w:id="930819035">
          <w:marLeft w:val="2246"/>
          <w:marRight w:val="0"/>
          <w:marTop w:val="75"/>
          <w:marBottom w:val="0"/>
          <w:divBdr>
            <w:top w:val="none" w:sz="0" w:space="0" w:color="auto"/>
            <w:left w:val="none" w:sz="0" w:space="0" w:color="auto"/>
            <w:bottom w:val="none" w:sz="0" w:space="0" w:color="auto"/>
            <w:right w:val="none" w:sz="0" w:space="0" w:color="auto"/>
          </w:divBdr>
        </w:div>
        <w:div w:id="1077484853">
          <w:marLeft w:val="2246"/>
          <w:marRight w:val="0"/>
          <w:marTop w:val="75"/>
          <w:marBottom w:val="0"/>
          <w:divBdr>
            <w:top w:val="none" w:sz="0" w:space="0" w:color="auto"/>
            <w:left w:val="none" w:sz="0" w:space="0" w:color="auto"/>
            <w:bottom w:val="none" w:sz="0" w:space="0" w:color="auto"/>
            <w:right w:val="none" w:sz="0" w:space="0" w:color="auto"/>
          </w:divBdr>
        </w:div>
        <w:div w:id="1124738849">
          <w:marLeft w:val="2246"/>
          <w:marRight w:val="0"/>
          <w:marTop w:val="75"/>
          <w:marBottom w:val="0"/>
          <w:divBdr>
            <w:top w:val="none" w:sz="0" w:space="0" w:color="auto"/>
            <w:left w:val="none" w:sz="0" w:space="0" w:color="auto"/>
            <w:bottom w:val="none" w:sz="0" w:space="0" w:color="auto"/>
            <w:right w:val="none" w:sz="0" w:space="0" w:color="auto"/>
          </w:divBdr>
        </w:div>
        <w:div w:id="1242983860">
          <w:marLeft w:val="1714"/>
          <w:marRight w:val="0"/>
          <w:marTop w:val="75"/>
          <w:marBottom w:val="0"/>
          <w:divBdr>
            <w:top w:val="none" w:sz="0" w:space="0" w:color="auto"/>
            <w:left w:val="none" w:sz="0" w:space="0" w:color="auto"/>
            <w:bottom w:val="none" w:sz="0" w:space="0" w:color="auto"/>
            <w:right w:val="none" w:sz="0" w:space="0" w:color="auto"/>
          </w:divBdr>
        </w:div>
        <w:div w:id="1297250690">
          <w:marLeft w:val="907"/>
          <w:marRight w:val="0"/>
          <w:marTop w:val="0"/>
          <w:marBottom w:val="0"/>
          <w:divBdr>
            <w:top w:val="none" w:sz="0" w:space="0" w:color="auto"/>
            <w:left w:val="none" w:sz="0" w:space="0" w:color="auto"/>
            <w:bottom w:val="none" w:sz="0" w:space="0" w:color="auto"/>
            <w:right w:val="none" w:sz="0" w:space="0" w:color="auto"/>
          </w:divBdr>
        </w:div>
        <w:div w:id="1938635852">
          <w:marLeft w:val="2246"/>
          <w:marRight w:val="0"/>
          <w:marTop w:val="75"/>
          <w:marBottom w:val="0"/>
          <w:divBdr>
            <w:top w:val="none" w:sz="0" w:space="0" w:color="auto"/>
            <w:left w:val="none" w:sz="0" w:space="0" w:color="auto"/>
            <w:bottom w:val="none" w:sz="0" w:space="0" w:color="auto"/>
            <w:right w:val="none" w:sz="0" w:space="0" w:color="auto"/>
          </w:divBdr>
        </w:div>
      </w:divsChild>
    </w:div>
    <w:div w:id="1989625104">
      <w:bodyDiv w:val="1"/>
      <w:marLeft w:val="0"/>
      <w:marRight w:val="0"/>
      <w:marTop w:val="0"/>
      <w:marBottom w:val="0"/>
      <w:divBdr>
        <w:top w:val="none" w:sz="0" w:space="0" w:color="auto"/>
        <w:left w:val="none" w:sz="0" w:space="0" w:color="auto"/>
        <w:bottom w:val="none" w:sz="0" w:space="0" w:color="auto"/>
        <w:right w:val="none" w:sz="0" w:space="0" w:color="auto"/>
      </w:divBdr>
    </w:div>
    <w:div w:id="2023777950">
      <w:bodyDiv w:val="1"/>
      <w:marLeft w:val="0"/>
      <w:marRight w:val="0"/>
      <w:marTop w:val="0"/>
      <w:marBottom w:val="0"/>
      <w:divBdr>
        <w:top w:val="none" w:sz="0" w:space="0" w:color="auto"/>
        <w:left w:val="none" w:sz="0" w:space="0" w:color="auto"/>
        <w:bottom w:val="none" w:sz="0" w:space="0" w:color="auto"/>
        <w:right w:val="none" w:sz="0" w:space="0" w:color="auto"/>
      </w:divBdr>
    </w:div>
    <w:div w:id="2064020783">
      <w:bodyDiv w:val="1"/>
      <w:marLeft w:val="0"/>
      <w:marRight w:val="0"/>
      <w:marTop w:val="0"/>
      <w:marBottom w:val="0"/>
      <w:divBdr>
        <w:top w:val="none" w:sz="0" w:space="0" w:color="auto"/>
        <w:left w:val="none" w:sz="0" w:space="0" w:color="auto"/>
        <w:bottom w:val="none" w:sz="0" w:space="0" w:color="auto"/>
        <w:right w:val="none" w:sz="0" w:space="0" w:color="auto"/>
      </w:divBdr>
    </w:div>
    <w:div w:id="2114931811">
      <w:bodyDiv w:val="1"/>
      <w:marLeft w:val="0"/>
      <w:marRight w:val="0"/>
      <w:marTop w:val="0"/>
      <w:marBottom w:val="0"/>
      <w:divBdr>
        <w:top w:val="none" w:sz="0" w:space="0" w:color="auto"/>
        <w:left w:val="none" w:sz="0" w:space="0" w:color="auto"/>
        <w:bottom w:val="none" w:sz="0" w:space="0" w:color="auto"/>
        <w:right w:val="none" w:sz="0" w:space="0" w:color="auto"/>
      </w:divBdr>
      <w:divsChild>
        <w:div w:id="1833791646">
          <w:marLeft w:val="0"/>
          <w:marRight w:val="0"/>
          <w:marTop w:val="0"/>
          <w:marBottom w:val="0"/>
          <w:divBdr>
            <w:top w:val="none" w:sz="0" w:space="0" w:color="auto"/>
            <w:left w:val="none" w:sz="0" w:space="0" w:color="auto"/>
            <w:bottom w:val="none" w:sz="0" w:space="0" w:color="auto"/>
            <w:right w:val="none" w:sz="0" w:space="0" w:color="auto"/>
          </w:divBdr>
          <w:divsChild>
            <w:div w:id="166076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51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hyperlink" Target="https://www.esinvesticijos.lt/lt/pasirengimas-2021-2027" TargetMode="Externa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hyperlink" Target="https://esinvesticijos.lt/uploads/main/documents/files/Post%202020/MI%20ir%20SEP%20konsultacijos/REKOMENDACIJOS_konsultacijos%20su%20visuomene%20del%20programos_galutin_%09.pdf"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hyperlink" Target="https://www.esinvesticijos.lt/lt/pasirengimas-2021-2027/2021-2027-m-es-fondu-investavimo-krypciu-aptarimai-su-partneriais/10-teminiu-diskusiju-ir-visuomenes-apklausa-del-2021-2027-m-es-fondu-investavimo-krypciu" TargetMode="External"/><Relationship Id="rId40" Type="http://schemas.openxmlformats.org/officeDocument/2006/relationships/image" Target="media/image3.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49" Type="http://schemas.microsoft.com/office/2011/relationships/commentsExtended" Target="commentsExtended.xml"/><Relationship Id="rId10" Type="http://schemas.openxmlformats.org/officeDocument/2006/relationships/image" Target="media/image2.emf"/><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Home\Desktop\2020%20m.%20III%20ketv.%20finans%20duom.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m000549.fm.lt\home\24_vp_dep\bendras\Master_planas%20(Paulius)\Ataskaita%20LRV\2020%20III%20ketv\IAS%20Darb\2020%20m.%20III%20ketv.%20finans%20duo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3"/>
            </a:solidFill>
          </c:spPr>
          <c:invertIfNegative val="0"/>
          <c:dPt>
            <c:idx val="2"/>
            <c:invertIfNegative val="0"/>
            <c:bubble3D val="0"/>
            <c:spPr>
              <a:solidFill>
                <a:schemeClr val="accent6"/>
              </a:solidFill>
            </c:spPr>
          </c:dPt>
          <c:dPt>
            <c:idx val="3"/>
            <c:invertIfNegative val="0"/>
            <c:bubble3D val="0"/>
            <c:spPr>
              <a:solidFill>
                <a:schemeClr val="accent3"/>
              </a:solidFill>
              <a:ln>
                <a:solidFill>
                  <a:schemeClr val="accent3"/>
                </a:solidFill>
              </a:ln>
            </c:spPr>
          </c:dPt>
          <c:dPt>
            <c:idx val="4"/>
            <c:invertIfNegative val="0"/>
            <c:bubble3D val="0"/>
          </c:dPt>
          <c:dPt>
            <c:idx val="12"/>
            <c:invertIfNegative val="0"/>
            <c:bubble3D val="0"/>
            <c:spPr>
              <a:solidFill>
                <a:schemeClr val="accent3"/>
              </a:solidFill>
              <a:ln>
                <a:solidFill>
                  <a:schemeClr val="accent1"/>
                </a:solidFill>
              </a:ln>
            </c:spPr>
          </c:dPt>
          <c:dPt>
            <c:idx val="14"/>
            <c:invertIfNegative val="0"/>
            <c:bubble3D val="0"/>
            <c:spPr>
              <a:pattFill prst="wdUpDiag">
                <a:fgClr>
                  <a:schemeClr val="accent3"/>
                </a:fgClr>
                <a:bgClr>
                  <a:schemeClr val="bg1"/>
                </a:bgClr>
              </a:pattFill>
            </c:spPr>
          </c:dPt>
          <c:dPt>
            <c:idx val="16"/>
            <c:invertIfNegative val="0"/>
            <c:bubble3D val="0"/>
            <c:spPr>
              <a:solidFill>
                <a:schemeClr val="accent3"/>
              </a:solidFill>
              <a:ln>
                <a:solidFill>
                  <a:schemeClr val="accent1"/>
                </a:solidFill>
              </a:ln>
            </c:spPr>
          </c:dPt>
          <c:dLbls>
            <c:dLbl>
              <c:idx val="1"/>
              <c:layout>
                <c:manualLayout>
                  <c:x val="0"/>
                  <c:y val="8.3333333333333329E-2"/>
                </c:manualLayout>
              </c:layout>
              <c:showLegendKey val="0"/>
              <c:showVal val="1"/>
              <c:showCatName val="0"/>
              <c:showSerName val="0"/>
              <c:showPercent val="0"/>
              <c:showBubbleSize val="0"/>
            </c:dLbl>
            <c:dLbl>
              <c:idx val="3"/>
              <c:layout>
                <c:manualLayout>
                  <c:x val="-1.9217108540407538E-17"/>
                  <c:y val="7.8703703703703706E-2"/>
                </c:manualLayout>
              </c:layout>
              <c:showLegendKey val="0"/>
              <c:showVal val="1"/>
              <c:showCatName val="0"/>
              <c:showSerName val="0"/>
              <c:showPercent val="0"/>
              <c:showBubbleSize val="0"/>
            </c:dLbl>
            <c:dLbl>
              <c:idx val="5"/>
              <c:layout>
                <c:manualLayout>
                  <c:x val="0"/>
                  <c:y val="8.7962962962962965E-2"/>
                </c:manualLayout>
              </c:layout>
              <c:showLegendKey val="0"/>
              <c:showVal val="1"/>
              <c:showCatName val="0"/>
              <c:showSerName val="0"/>
              <c:showPercent val="0"/>
              <c:showBubbleSize val="0"/>
            </c:dLbl>
            <c:dLbl>
              <c:idx val="7"/>
              <c:layout>
                <c:manualLayout>
                  <c:x val="0"/>
                  <c:y val="7.8703703703703706E-2"/>
                </c:manualLayout>
              </c:layout>
              <c:showLegendKey val="0"/>
              <c:showVal val="1"/>
              <c:showCatName val="0"/>
              <c:showSerName val="0"/>
              <c:showPercent val="0"/>
              <c:showBubbleSize val="0"/>
            </c:dLbl>
            <c:dLbl>
              <c:idx val="9"/>
              <c:layout>
                <c:manualLayout>
                  <c:x val="0"/>
                  <c:y val="8.3333333333333329E-2"/>
                </c:manualLayout>
              </c:layout>
              <c:showLegendKey val="0"/>
              <c:showVal val="1"/>
              <c:showCatName val="0"/>
              <c:showSerName val="0"/>
              <c:showPercent val="0"/>
              <c:showBubbleSize val="0"/>
            </c:dLbl>
            <c:dLbl>
              <c:idx val="11"/>
              <c:layout>
                <c:manualLayout>
                  <c:x val="0"/>
                  <c:y val="7.8703703703703706E-2"/>
                </c:manualLayout>
              </c:layout>
              <c:showLegendKey val="0"/>
              <c:showVal val="1"/>
              <c:showCatName val="0"/>
              <c:showSerName val="0"/>
              <c:showPercent val="0"/>
              <c:showBubbleSize val="0"/>
            </c:dLbl>
            <c:dLbl>
              <c:idx val="13"/>
              <c:layout>
                <c:manualLayout>
                  <c:x val="0"/>
                  <c:y val="7.8703703703703706E-2"/>
                </c:manualLayout>
              </c:layout>
              <c:showLegendKey val="0"/>
              <c:showVal val="1"/>
              <c:showCatName val="0"/>
              <c:showSerName val="0"/>
              <c:showPercent val="0"/>
              <c:showBubbleSize val="0"/>
            </c:dLbl>
            <c:dLbl>
              <c:idx val="15"/>
              <c:layout>
                <c:manualLayout>
                  <c:x val="0"/>
                  <c:y val="8.3333333333333329E-2"/>
                </c:manualLayout>
              </c:layout>
              <c:showLegendKey val="0"/>
              <c:showVal val="1"/>
              <c:showCatName val="0"/>
              <c:showSerName val="0"/>
              <c:showPercent val="0"/>
              <c:showBubbleSize val="0"/>
            </c:dLbl>
            <c:dLbl>
              <c:idx val="17"/>
              <c:layout>
                <c:manualLayout>
                  <c:x val="-7.686843416163015E-17"/>
                  <c:y val="8.3333333333333329E-2"/>
                </c:manualLayout>
              </c:layout>
              <c:showLegendKey val="0"/>
              <c:showVal val="1"/>
              <c:showCatName val="0"/>
              <c:showSerName val="0"/>
              <c:showPercent val="0"/>
              <c:showBubbleSize val="0"/>
            </c:dLbl>
            <c:dLbl>
              <c:idx val="19"/>
              <c:layout>
                <c:manualLayout>
                  <c:x val="0"/>
                  <c:y val="8.3333333333333329E-2"/>
                </c:manualLayout>
              </c:layout>
              <c:showLegendKey val="0"/>
              <c:showVal val="1"/>
              <c:showCatName val="0"/>
              <c:showSerName val="0"/>
              <c:showPercent val="0"/>
              <c:showBubbleSize val="0"/>
            </c:dLbl>
            <c:dLbl>
              <c:idx val="21"/>
              <c:layout>
                <c:manualLayout>
                  <c:x val="6.2893081761006293E-3"/>
                  <c:y val="7.8703703703703706E-2"/>
                </c:manualLayout>
              </c:layout>
              <c:showLegendKey val="0"/>
              <c:showVal val="1"/>
              <c:showCatName val="0"/>
              <c:showSerName val="0"/>
              <c:showPercent val="0"/>
              <c:showBubbleSize val="0"/>
            </c:dLbl>
            <c:dLbl>
              <c:idx val="23"/>
              <c:layout>
                <c:manualLayout>
                  <c:x val="0"/>
                  <c:y val="8.3333333333333329E-2"/>
                </c:manualLayout>
              </c:layout>
              <c:showLegendKey val="0"/>
              <c:showVal val="1"/>
              <c:showCatName val="0"/>
              <c:showSerName val="0"/>
              <c:showPercent val="0"/>
              <c:showBubbleSize val="0"/>
            </c:dLbl>
            <c:dLbl>
              <c:idx val="25"/>
              <c:layout>
                <c:manualLayout>
                  <c:x val="0"/>
                  <c:y val="7.8703703703703706E-2"/>
                </c:manualLayout>
              </c:layout>
              <c:showLegendKey val="0"/>
              <c:showVal val="1"/>
              <c:showCatName val="0"/>
              <c:showSerName val="0"/>
              <c:showPercent val="0"/>
              <c:showBubbleSize val="0"/>
            </c:dLbl>
            <c:dLbl>
              <c:idx val="27"/>
              <c:layout>
                <c:manualLayout>
                  <c:x val="2.0964360587002098E-3"/>
                  <c:y val="8.3333333333333287E-2"/>
                </c:manualLayout>
              </c:layout>
              <c:showLegendKey val="0"/>
              <c:showVal val="1"/>
              <c:showCatName val="0"/>
              <c:showSerName val="0"/>
              <c:showPercent val="0"/>
              <c:showBubbleSize val="0"/>
            </c:dLbl>
            <c:txPr>
              <a:bodyPr/>
              <a:lstStyle/>
              <a:p>
                <a:pPr>
                  <a:defRPr>
                    <a:solidFill>
                      <a:schemeClr val="tx2"/>
                    </a:solidFill>
                  </a:defRPr>
                </a:pPr>
                <a:endParaRPr lang="lt-LT"/>
              </a:p>
            </c:txPr>
            <c:showLegendKey val="0"/>
            <c:showVal val="1"/>
            <c:showCatName val="0"/>
            <c:showSerName val="0"/>
            <c:showPercent val="0"/>
            <c:showBubbleSize val="0"/>
            <c:showLeaderLines val="0"/>
          </c:dLbls>
          <c:cat>
            <c:strRef>
              <c:f>'Mokėjimų grafikas'!$M$3:$M$31</c:f>
              <c:strCache>
                <c:ptCount val="29"/>
                <c:pt idx="0">
                  <c:v>Liuksemburgas</c:v>
                </c:pt>
                <c:pt idx="1">
                  <c:v>Suomija</c:v>
                </c:pt>
                <c:pt idx="2">
                  <c:v>Lietuva</c:v>
                </c:pt>
                <c:pt idx="3">
                  <c:v>Estija</c:v>
                </c:pt>
                <c:pt idx="4">
                  <c:v>Graikija</c:v>
                </c:pt>
                <c:pt idx="5">
                  <c:v>Lenkija</c:v>
                </c:pt>
                <c:pt idx="6">
                  <c:v>Portugalija</c:v>
                </c:pt>
                <c:pt idx="7">
                  <c:v>Vengrija</c:v>
                </c:pt>
                <c:pt idx="8">
                  <c:v>Švedija</c:v>
                </c:pt>
                <c:pt idx="9">
                  <c:v>Kipras</c:v>
                </c:pt>
                <c:pt idx="10">
                  <c:v>Čekija</c:v>
                </c:pt>
                <c:pt idx="11">
                  <c:v>Latvija</c:v>
                </c:pt>
                <c:pt idx="12">
                  <c:v>Slovėnija</c:v>
                </c:pt>
                <c:pt idx="13">
                  <c:v>Bulgarija</c:v>
                </c:pt>
                <c:pt idx="14">
                  <c:v>ES vidurkis</c:v>
                </c:pt>
                <c:pt idx="15">
                  <c:v>Airija</c:v>
                </c:pt>
                <c:pt idx="16">
                  <c:v>Danija</c:v>
                </c:pt>
                <c:pt idx="17">
                  <c:v>Vokietija</c:v>
                </c:pt>
                <c:pt idx="18">
                  <c:v>Austrija</c:v>
                </c:pt>
                <c:pt idx="19">
                  <c:v>Prancūzija</c:v>
                </c:pt>
                <c:pt idx="20">
                  <c:v>Malta</c:v>
                </c:pt>
                <c:pt idx="21">
                  <c:v>Belgija</c:v>
                </c:pt>
                <c:pt idx="22">
                  <c:v>Nyderlandai</c:v>
                </c:pt>
                <c:pt idx="23">
                  <c:v>D. Britanija</c:v>
                </c:pt>
                <c:pt idx="24">
                  <c:v>Slovakija</c:v>
                </c:pt>
                <c:pt idx="25">
                  <c:v>Italija</c:v>
                </c:pt>
                <c:pt idx="26">
                  <c:v>Rumunija</c:v>
                </c:pt>
                <c:pt idx="27">
                  <c:v>Ispanija</c:v>
                </c:pt>
                <c:pt idx="28">
                  <c:v>Kroatija</c:v>
                </c:pt>
              </c:strCache>
            </c:strRef>
          </c:cat>
          <c:val>
            <c:numRef>
              <c:f>'Mokėjimų grafikas'!$N$3:$N$31</c:f>
              <c:numCache>
                <c:formatCode>0%</c:formatCode>
                <c:ptCount val="29"/>
                <c:pt idx="0">
                  <c:v>0.63280361330042145</c:v>
                </c:pt>
                <c:pt idx="1">
                  <c:v>0.61363467971331753</c:v>
                </c:pt>
                <c:pt idx="2">
                  <c:v>0.59288235891655428</c:v>
                </c:pt>
                <c:pt idx="3">
                  <c:v>0.57077242482917812</c:v>
                </c:pt>
                <c:pt idx="4">
                  <c:v>0.57281296412052285</c:v>
                </c:pt>
                <c:pt idx="5">
                  <c:v>0.5456159519106617</c:v>
                </c:pt>
                <c:pt idx="6">
                  <c:v>0.54344979300129181</c:v>
                </c:pt>
                <c:pt idx="7">
                  <c:v>0.53896921961662936</c:v>
                </c:pt>
                <c:pt idx="8">
                  <c:v>0.53629731631112454</c:v>
                </c:pt>
                <c:pt idx="9">
                  <c:v>0.52454821353803438</c:v>
                </c:pt>
                <c:pt idx="10">
                  <c:v>0.50965425154291621</c:v>
                </c:pt>
                <c:pt idx="11">
                  <c:v>0.50184310999116044</c:v>
                </c:pt>
                <c:pt idx="12">
                  <c:v>0.48975273711106221</c:v>
                </c:pt>
                <c:pt idx="13">
                  <c:v>0.46875587537344704</c:v>
                </c:pt>
                <c:pt idx="14">
                  <c:v>0.47028594198009815</c:v>
                </c:pt>
                <c:pt idx="15">
                  <c:v>0.45863681500120429</c:v>
                </c:pt>
                <c:pt idx="16">
                  <c:v>0.45056314879493425</c:v>
                </c:pt>
                <c:pt idx="17">
                  <c:v>0.44823711124977617</c:v>
                </c:pt>
                <c:pt idx="18">
                  <c:v>0.43902671956577577</c:v>
                </c:pt>
                <c:pt idx="19">
                  <c:v>0.43550438737933894</c:v>
                </c:pt>
                <c:pt idx="20">
                  <c:v>0.43016338879485783</c:v>
                </c:pt>
                <c:pt idx="21">
                  <c:v>0.43327284341877831</c:v>
                </c:pt>
                <c:pt idx="22">
                  <c:v>0.42903284312382428</c:v>
                </c:pt>
                <c:pt idx="23">
                  <c:v>0.42399179916595559</c:v>
                </c:pt>
                <c:pt idx="24">
                  <c:v>0.38998592453675834</c:v>
                </c:pt>
                <c:pt idx="25">
                  <c:v>0.37012560179552334</c:v>
                </c:pt>
                <c:pt idx="26">
                  <c:v>0.36587386867549304</c:v>
                </c:pt>
                <c:pt idx="27">
                  <c:v>0.35435359644993003</c:v>
                </c:pt>
                <c:pt idx="28">
                  <c:v>0.34466820613515048</c:v>
                </c:pt>
              </c:numCache>
            </c:numRef>
          </c:val>
        </c:ser>
        <c:dLbls>
          <c:showLegendKey val="0"/>
          <c:showVal val="0"/>
          <c:showCatName val="0"/>
          <c:showSerName val="0"/>
          <c:showPercent val="0"/>
          <c:showBubbleSize val="0"/>
        </c:dLbls>
        <c:gapWidth val="150"/>
        <c:axId val="110352256"/>
        <c:axId val="110353792"/>
      </c:barChart>
      <c:catAx>
        <c:axId val="110352256"/>
        <c:scaling>
          <c:orientation val="minMax"/>
        </c:scaling>
        <c:delete val="0"/>
        <c:axPos val="b"/>
        <c:majorTickMark val="out"/>
        <c:minorTickMark val="none"/>
        <c:tickLblPos val="nextTo"/>
        <c:crossAx val="110353792"/>
        <c:crosses val="autoZero"/>
        <c:auto val="1"/>
        <c:lblAlgn val="ctr"/>
        <c:lblOffset val="100"/>
        <c:noMultiLvlLbl val="0"/>
      </c:catAx>
      <c:valAx>
        <c:axId val="110353792"/>
        <c:scaling>
          <c:orientation val="minMax"/>
          <c:max val="0.70000000000000007"/>
          <c:min val="0"/>
        </c:scaling>
        <c:delete val="0"/>
        <c:axPos val="l"/>
        <c:majorGridlines/>
        <c:numFmt formatCode="0%" sourceLinked="1"/>
        <c:majorTickMark val="out"/>
        <c:minorTickMark val="none"/>
        <c:tickLblPos val="nextTo"/>
        <c:crossAx val="110352256"/>
        <c:crosses val="autoZero"/>
        <c:crossBetween val="between"/>
        <c:majorUnit val="0.2"/>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6290603674540673"/>
        </c:manualLayout>
      </c:layout>
      <c:barChart>
        <c:barDir val="bar"/>
        <c:grouping val="clustered"/>
        <c:varyColors val="0"/>
        <c:ser>
          <c:idx val="0"/>
          <c:order val="0"/>
          <c:tx>
            <c:strRef>
              <c:f>'minist pagal prior'!$M$22</c:f>
              <c:strCache>
                <c:ptCount val="1"/>
                <c:pt idx="0">
                  <c:v>Nepaskirta projektams</c:v>
                </c:pt>
              </c:strCache>
            </c:strRef>
          </c:tx>
          <c:spPr>
            <a:solidFill>
              <a:schemeClr val="bg1">
                <a:lumMod val="85000"/>
              </a:schemeClr>
            </a:solidFill>
            <a:ln w="38100">
              <a:noFill/>
            </a:ln>
          </c:spPr>
          <c:invertIfNegative val="0"/>
          <c:dLbls>
            <c:dLbl>
              <c:idx val="0"/>
              <c:layout/>
              <c:tx>
                <c:rich>
                  <a:bodyPr/>
                  <a:lstStyle/>
                  <a:p>
                    <a:r>
                      <a:rPr lang="lt-LT">
                        <a:solidFill>
                          <a:schemeClr val="tx1">
                            <a:lumMod val="50000"/>
                            <a:lumOff val="50000"/>
                          </a:schemeClr>
                        </a:solidFill>
                      </a:rPr>
                      <a:t>8</a:t>
                    </a:r>
                    <a:r>
                      <a:rPr lang="en-US">
                        <a:solidFill>
                          <a:schemeClr val="tx1">
                            <a:lumMod val="50000"/>
                            <a:lumOff val="50000"/>
                          </a:schemeClr>
                        </a:solidFill>
                      </a:rPr>
                      <a:t>%</a:t>
                    </a:r>
                    <a:endParaRPr lang="en-US"/>
                  </a:p>
                </c:rich>
              </c:tx>
              <c:dLblPos val="inEnd"/>
              <c:showLegendKey val="0"/>
              <c:showVal val="1"/>
              <c:showCatName val="0"/>
              <c:showSerName val="0"/>
              <c:showPercent val="0"/>
              <c:showBubbleSize val="0"/>
            </c:dLbl>
            <c:dLbl>
              <c:idx val="1"/>
              <c:delete val="1"/>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trendline>
            <c:trendlineType val="linear"/>
            <c:dispRSqr val="0"/>
            <c:dispEq val="0"/>
          </c:trendline>
          <c:cat>
            <c:strRef>
              <c:f>'minist pagal prior'!$L$23:$L$24</c:f>
              <c:strCache>
                <c:ptCount val="2"/>
                <c:pt idx="0">
                  <c:v>EM, SaF</c:v>
                </c:pt>
                <c:pt idx="1">
                  <c:v>EM, ERPF</c:v>
                </c:pt>
              </c:strCache>
            </c:strRef>
          </c:cat>
          <c:val>
            <c:numRef>
              <c:f>'minist pagal prior'!$M$23:$M$24</c:f>
              <c:numCache>
                <c:formatCode>0%</c:formatCode>
                <c:ptCount val="2"/>
                <c:pt idx="0">
                  <c:v>1</c:v>
                </c:pt>
                <c:pt idx="1">
                  <c:v>1</c:v>
                </c:pt>
              </c:numCache>
            </c:numRef>
          </c:val>
        </c:ser>
        <c:ser>
          <c:idx val="2"/>
          <c:order val="1"/>
          <c:tx>
            <c:strRef>
              <c:f>'minist pagal prior'!$N$22</c:f>
              <c:strCache>
                <c:ptCount val="1"/>
                <c:pt idx="0">
                  <c:v>Sudaryta sutarčių</c:v>
                </c:pt>
              </c:strCache>
            </c:strRef>
          </c:tx>
          <c:spPr>
            <a:solidFill>
              <a:schemeClr val="accent1"/>
            </a:solidFill>
            <a:ln w="50800">
              <a:solidFill>
                <a:schemeClr val="accent1"/>
              </a:solidFill>
            </a:ln>
          </c:spPr>
          <c:invertIfNegative val="0"/>
          <c:dLbls>
            <c:dLbl>
              <c:idx val="0"/>
              <c:layout/>
              <c:dLblPos val="inEnd"/>
              <c:showLegendKey val="0"/>
              <c:showVal val="1"/>
              <c:showCatName val="0"/>
              <c:showSerName val="0"/>
              <c:showPercent val="0"/>
              <c:showBubbleSize val="0"/>
            </c:dLbl>
            <c:dLbl>
              <c:idx val="1"/>
              <c:layout/>
              <c:tx>
                <c:rich>
                  <a:bodyPr/>
                  <a:lstStyle/>
                  <a:p>
                    <a:r>
                      <a:rPr lang="en-US"/>
                      <a:t>1</a:t>
                    </a:r>
                    <a:r>
                      <a:rPr lang="lt-LT"/>
                      <a:t>00</a:t>
                    </a:r>
                    <a:r>
                      <a:rPr lang="en-US"/>
                      <a:t>%</a:t>
                    </a:r>
                  </a:p>
                </c:rich>
              </c:tx>
              <c:dLblPos val="ctr"/>
              <c:showLegendKey val="0"/>
              <c:showVal val="1"/>
              <c:showCatName val="0"/>
              <c:showSerName val="0"/>
              <c:showPercent val="0"/>
              <c:showBubbleSize val="0"/>
            </c:dLbl>
            <c:txPr>
              <a:bodyPr/>
              <a:lstStyle/>
              <a:p>
                <a:pPr>
                  <a:defRPr>
                    <a:solidFill>
                      <a:schemeClr val="bg1"/>
                    </a:solidFill>
                  </a:defRPr>
                </a:pPr>
                <a:endParaRPr lang="lt-LT"/>
              </a:p>
            </c:txPr>
            <c:dLblPos val="ctr"/>
            <c:showLegendKey val="0"/>
            <c:showVal val="1"/>
            <c:showCatName val="0"/>
            <c:showSerName val="0"/>
            <c:showPercent val="0"/>
            <c:showBubbleSize val="0"/>
            <c:showLeaderLines val="0"/>
          </c:dLbls>
          <c:cat>
            <c:strRef>
              <c:f>'minist pagal prior'!$L$23:$L$24</c:f>
              <c:strCache>
                <c:ptCount val="2"/>
                <c:pt idx="0">
                  <c:v>EM, SaF</c:v>
                </c:pt>
                <c:pt idx="1">
                  <c:v>EM, ERPF</c:v>
                </c:pt>
              </c:strCache>
            </c:strRef>
          </c:cat>
          <c:val>
            <c:numRef>
              <c:f>'minist pagal prior'!$N$23:$N$24</c:f>
              <c:numCache>
                <c:formatCode>0%</c:formatCode>
                <c:ptCount val="2"/>
                <c:pt idx="0">
                  <c:v>0.98731326614255588</c:v>
                </c:pt>
                <c:pt idx="1">
                  <c:v>1.3237528350978134</c:v>
                </c:pt>
              </c:numCache>
            </c:numRef>
          </c:val>
        </c:ser>
        <c:ser>
          <c:idx val="3"/>
          <c:order val="2"/>
          <c:tx>
            <c:strRef>
              <c:f>'minist pagal prior'!$O$22</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prior'!$L$23:$L$24</c:f>
              <c:strCache>
                <c:ptCount val="2"/>
                <c:pt idx="0">
                  <c:v>EM, SaF</c:v>
                </c:pt>
                <c:pt idx="1">
                  <c:v>EM, ERPF</c:v>
                </c:pt>
              </c:strCache>
            </c:strRef>
          </c:cat>
          <c:val>
            <c:numRef>
              <c:f>'minist pagal prior'!$O$23:$O$24</c:f>
              <c:numCache>
                <c:formatCode>0%</c:formatCode>
                <c:ptCount val="2"/>
                <c:pt idx="0">
                  <c:v>0.53971219745641752</c:v>
                </c:pt>
                <c:pt idx="1">
                  <c:v>0.29217381023843303</c:v>
                </c:pt>
              </c:numCache>
            </c:numRef>
          </c:val>
        </c:ser>
        <c:dLbls>
          <c:showLegendKey val="0"/>
          <c:showVal val="0"/>
          <c:showCatName val="0"/>
          <c:showSerName val="0"/>
          <c:showPercent val="0"/>
          <c:showBubbleSize val="0"/>
        </c:dLbls>
        <c:gapWidth val="217"/>
        <c:overlap val="100"/>
        <c:axId val="142854784"/>
        <c:axId val="142946688"/>
      </c:barChart>
      <c:catAx>
        <c:axId val="142854784"/>
        <c:scaling>
          <c:orientation val="minMax"/>
        </c:scaling>
        <c:delete val="0"/>
        <c:axPos val="l"/>
        <c:majorTickMark val="out"/>
        <c:minorTickMark val="none"/>
        <c:tickLblPos val="nextTo"/>
        <c:crossAx val="142946688"/>
        <c:crosses val="autoZero"/>
        <c:auto val="1"/>
        <c:lblAlgn val="ctr"/>
        <c:lblOffset val="100"/>
        <c:noMultiLvlLbl val="0"/>
      </c:catAx>
      <c:valAx>
        <c:axId val="142946688"/>
        <c:scaling>
          <c:orientation val="minMax"/>
          <c:max val="1"/>
        </c:scaling>
        <c:delete val="1"/>
        <c:axPos val="b"/>
        <c:majorGridlines/>
        <c:numFmt formatCode="0%" sourceLinked="1"/>
        <c:majorTickMark val="out"/>
        <c:minorTickMark val="none"/>
        <c:tickLblPos val="nextTo"/>
        <c:crossAx val="142854784"/>
        <c:crosses val="autoZero"/>
        <c:crossBetween val="between"/>
        <c:majorUnit val="0.2"/>
      </c:valAx>
    </c:plotArea>
    <c:legend>
      <c:legendPos val="b"/>
      <c:legendEntry>
        <c:idx val="3"/>
        <c:delete val="1"/>
      </c:legendEntry>
      <c:layout>
        <c:manualLayout>
          <c:xMode val="edge"/>
          <c:yMode val="edge"/>
          <c:x val="1.1469530538853731E-2"/>
          <c:y val="0.73445360506407287"/>
          <c:w val="0.97944902299343217"/>
          <c:h val="0.22182493355522989"/>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7404181120716558"/>
        </c:manualLayout>
      </c:layout>
      <c:barChart>
        <c:barDir val="bar"/>
        <c:grouping val="clustered"/>
        <c:varyColors val="0"/>
        <c:ser>
          <c:idx val="0"/>
          <c:order val="0"/>
          <c:tx>
            <c:strRef>
              <c:f>'minist pagal prior'!$M$27</c:f>
              <c:strCache>
                <c:ptCount val="1"/>
                <c:pt idx="0">
                  <c:v>Nepaskirta projektams</c:v>
                </c:pt>
              </c:strCache>
            </c:strRef>
          </c:tx>
          <c:spPr>
            <a:solidFill>
              <a:schemeClr val="bg1">
                <a:lumMod val="85000"/>
              </a:schemeClr>
            </a:solidFill>
            <a:ln w="38100">
              <a:noFill/>
            </a:ln>
          </c:spPr>
          <c:invertIfNegative val="0"/>
          <c:dLbls>
            <c:dLbl>
              <c:idx val="0"/>
              <c:layout>
                <c:manualLayout>
                  <c:x val="-5.159958720330237E-2"/>
                  <c:y val="0"/>
                </c:manualLayout>
              </c:layout>
              <c:tx>
                <c:rich>
                  <a:bodyPr/>
                  <a:lstStyle/>
                  <a:p>
                    <a:r>
                      <a:rPr lang="lt-LT">
                        <a:solidFill>
                          <a:schemeClr val="tx1">
                            <a:lumMod val="50000"/>
                            <a:lumOff val="50000"/>
                          </a:schemeClr>
                        </a:solidFill>
                      </a:rPr>
                      <a:t>29</a:t>
                    </a:r>
                    <a:r>
                      <a:rPr lang="en-US">
                        <a:solidFill>
                          <a:schemeClr val="tx1">
                            <a:lumMod val="50000"/>
                            <a:lumOff val="50000"/>
                          </a:schemeClr>
                        </a:solidFill>
                      </a:rPr>
                      <a:t>%</a:t>
                    </a:r>
                    <a:endParaRPr lang="en-US"/>
                  </a:p>
                </c:rich>
              </c:tx>
              <c:showLegendKey val="0"/>
              <c:showVal val="1"/>
              <c:showCatName val="0"/>
              <c:showSerName val="0"/>
              <c:showPercent val="0"/>
              <c:showBubbleSize val="0"/>
            </c:dLbl>
            <c:dLbl>
              <c:idx val="1"/>
              <c:layout>
                <c:manualLayout>
                  <c:x val="-5.3663570691434466E-2"/>
                  <c:y val="1.7094017094017096E-2"/>
                </c:manualLayout>
              </c:layout>
              <c:tx>
                <c:rich>
                  <a:bodyPr/>
                  <a:lstStyle/>
                  <a:p>
                    <a:r>
                      <a:rPr lang="en-US">
                        <a:solidFill>
                          <a:schemeClr val="tx1">
                            <a:lumMod val="50000"/>
                            <a:lumOff val="50000"/>
                          </a:schemeClr>
                        </a:solidFill>
                      </a:rPr>
                      <a:t>4</a:t>
                    </a:r>
                    <a:r>
                      <a:rPr lang="lt-LT">
                        <a:solidFill>
                          <a:schemeClr val="tx1">
                            <a:lumMod val="50000"/>
                            <a:lumOff val="50000"/>
                          </a:schemeClr>
                        </a:solidFill>
                      </a:rPr>
                      <a:t>6</a:t>
                    </a:r>
                    <a:r>
                      <a:rPr lang="en-US">
                        <a:solidFill>
                          <a:schemeClr val="tx1">
                            <a:lumMod val="50000"/>
                            <a:lumOff val="50000"/>
                          </a:schemeClr>
                        </a:solidFill>
                      </a:rPr>
                      <a:t>%</a:t>
                    </a:r>
                    <a:endParaRPr lang="en-US"/>
                  </a:p>
                </c:rich>
              </c:tx>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showLegendKey val="0"/>
            <c:showVal val="1"/>
            <c:showCatName val="0"/>
            <c:showSerName val="0"/>
            <c:showPercent val="0"/>
            <c:showBubbleSize val="0"/>
            <c:showLeaderLines val="0"/>
          </c:dLbls>
          <c:cat>
            <c:strRef>
              <c:f>'minist pagal prior'!$L$28:$L$29</c:f>
              <c:strCache>
                <c:ptCount val="2"/>
                <c:pt idx="0">
                  <c:v>SM, SaF</c:v>
                </c:pt>
                <c:pt idx="1">
                  <c:v>SM, ERPF</c:v>
                </c:pt>
              </c:strCache>
            </c:strRef>
          </c:cat>
          <c:val>
            <c:numRef>
              <c:f>'minist pagal prior'!$M$28:$M$29</c:f>
              <c:numCache>
                <c:formatCode>0%</c:formatCode>
                <c:ptCount val="2"/>
                <c:pt idx="0">
                  <c:v>1</c:v>
                </c:pt>
                <c:pt idx="1">
                  <c:v>1</c:v>
                </c:pt>
              </c:numCache>
            </c:numRef>
          </c:val>
        </c:ser>
        <c:ser>
          <c:idx val="2"/>
          <c:order val="1"/>
          <c:tx>
            <c:strRef>
              <c:f>'minist pagal prior'!$N$27</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prior'!$L$28:$L$29</c:f>
              <c:strCache>
                <c:ptCount val="2"/>
                <c:pt idx="0">
                  <c:v>SM, SaF</c:v>
                </c:pt>
                <c:pt idx="1">
                  <c:v>SM, ERPF</c:v>
                </c:pt>
              </c:strCache>
            </c:strRef>
          </c:cat>
          <c:val>
            <c:numRef>
              <c:f>'minist pagal prior'!$N$28:$N$29</c:f>
              <c:numCache>
                <c:formatCode>0%</c:formatCode>
                <c:ptCount val="2"/>
                <c:pt idx="0">
                  <c:v>0.70990650356804419</c:v>
                </c:pt>
                <c:pt idx="1">
                  <c:v>0.54024313655551559</c:v>
                </c:pt>
              </c:numCache>
            </c:numRef>
          </c:val>
        </c:ser>
        <c:ser>
          <c:idx val="3"/>
          <c:order val="2"/>
          <c:tx>
            <c:strRef>
              <c:f>'minist pagal prior'!$O$27</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prior'!$L$28:$L$29</c:f>
              <c:strCache>
                <c:ptCount val="2"/>
                <c:pt idx="0">
                  <c:v>SM, SaF</c:v>
                </c:pt>
                <c:pt idx="1">
                  <c:v>SM, ERPF</c:v>
                </c:pt>
              </c:strCache>
            </c:strRef>
          </c:cat>
          <c:val>
            <c:numRef>
              <c:f>'minist pagal prior'!$O$28:$O$29</c:f>
              <c:numCache>
                <c:formatCode>0%</c:formatCode>
                <c:ptCount val="2"/>
                <c:pt idx="0">
                  <c:v>0.58231221068008121</c:v>
                </c:pt>
                <c:pt idx="1">
                  <c:v>0.31294741827690864</c:v>
                </c:pt>
              </c:numCache>
            </c:numRef>
          </c:val>
        </c:ser>
        <c:dLbls>
          <c:showLegendKey val="0"/>
          <c:showVal val="0"/>
          <c:showCatName val="0"/>
          <c:showSerName val="0"/>
          <c:showPercent val="0"/>
          <c:showBubbleSize val="0"/>
        </c:dLbls>
        <c:gapWidth val="217"/>
        <c:overlap val="100"/>
        <c:axId val="142970240"/>
        <c:axId val="142980224"/>
      </c:barChart>
      <c:catAx>
        <c:axId val="142970240"/>
        <c:scaling>
          <c:orientation val="minMax"/>
        </c:scaling>
        <c:delete val="0"/>
        <c:axPos val="l"/>
        <c:majorTickMark val="out"/>
        <c:minorTickMark val="none"/>
        <c:tickLblPos val="nextTo"/>
        <c:crossAx val="142980224"/>
        <c:crosses val="autoZero"/>
        <c:auto val="1"/>
        <c:lblAlgn val="ctr"/>
        <c:lblOffset val="100"/>
        <c:noMultiLvlLbl val="0"/>
      </c:catAx>
      <c:valAx>
        <c:axId val="142980224"/>
        <c:scaling>
          <c:orientation val="minMax"/>
          <c:max val="1"/>
        </c:scaling>
        <c:delete val="1"/>
        <c:axPos val="b"/>
        <c:majorGridlines/>
        <c:numFmt formatCode="0%" sourceLinked="1"/>
        <c:majorTickMark val="out"/>
        <c:minorTickMark val="none"/>
        <c:tickLblPos val="nextTo"/>
        <c:crossAx val="142970240"/>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07236943679255"/>
          <c:y val="0.11369509043927649"/>
          <c:w val="0.81614847679643765"/>
          <c:h val="0.4159219160104986"/>
        </c:manualLayout>
      </c:layout>
      <c:barChart>
        <c:barDir val="bar"/>
        <c:grouping val="clustered"/>
        <c:varyColors val="0"/>
        <c:ser>
          <c:idx val="0"/>
          <c:order val="0"/>
          <c:tx>
            <c:strRef>
              <c:f>'[2020 m. III ketv. finans duom.xlsx]minist pagal prior'!$M$32</c:f>
              <c:strCache>
                <c:ptCount val="1"/>
                <c:pt idx="0">
                  <c:v>Nepaskirta projektams</c:v>
                </c:pt>
              </c:strCache>
            </c:strRef>
          </c:tx>
          <c:spPr>
            <a:solidFill>
              <a:schemeClr val="bg1">
                <a:lumMod val="85000"/>
              </a:schemeClr>
            </a:solidFill>
            <a:ln>
              <a:noFill/>
            </a:ln>
          </c:spPr>
          <c:invertIfNegative val="0"/>
          <c:dLbls>
            <c:dLbl>
              <c:idx val="0"/>
              <c:layout/>
              <c:tx>
                <c:rich>
                  <a:bodyPr/>
                  <a:lstStyle/>
                  <a:p>
                    <a:r>
                      <a:rPr lang="en-US">
                        <a:solidFill>
                          <a:schemeClr val="tx1">
                            <a:lumMod val="50000"/>
                            <a:lumOff val="50000"/>
                          </a:schemeClr>
                        </a:solidFill>
                      </a:rPr>
                      <a:t>100%</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 m. III ketv. finans duom.xlsx]minist pagal prior'!$L$37</c:f>
              <c:strCache>
                <c:ptCount val="1"/>
                <c:pt idx="0">
                  <c:v>VRM, ERPF</c:v>
                </c:pt>
              </c:strCache>
            </c:strRef>
          </c:cat>
          <c:val>
            <c:numRef>
              <c:f>'[2020 m. III ketv. finans duom.xlsx]minist pagal prior'!$M$37</c:f>
              <c:numCache>
                <c:formatCode>0%</c:formatCode>
                <c:ptCount val="1"/>
                <c:pt idx="0">
                  <c:v>1</c:v>
                </c:pt>
              </c:numCache>
            </c:numRef>
          </c:val>
        </c:ser>
        <c:ser>
          <c:idx val="2"/>
          <c:order val="1"/>
          <c:tx>
            <c:strRef>
              <c:f>'[2020 m. III ketv. finans duom.xlsx]minist pagal prior'!$N$32</c:f>
              <c:strCache>
                <c:ptCount val="1"/>
                <c:pt idx="0">
                  <c:v>Sudaryta sutarčių</c:v>
                </c:pt>
              </c:strCache>
            </c:strRef>
          </c:tx>
          <c:spPr>
            <a:solidFill>
              <a:schemeClr val="accent1"/>
            </a:solidFill>
            <a:ln w="50800">
              <a:solidFill>
                <a:schemeClr val="accent1"/>
              </a:solidFill>
            </a:ln>
          </c:spPr>
          <c:invertIfNegative val="0"/>
          <c:dLbls>
            <c:spPr>
              <a:noFill/>
              <a:ln>
                <a:noFill/>
              </a:ln>
              <a:effectLst/>
            </c:spPr>
            <c:txPr>
              <a:bodyPr/>
              <a:lstStyle/>
              <a:p>
                <a:pPr>
                  <a:defRPr>
                    <a:solidFill>
                      <a:schemeClr val="bg1"/>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 m. III ketv. finans duom.xlsx]minist pagal prior'!$L$37</c:f>
              <c:strCache>
                <c:ptCount val="1"/>
                <c:pt idx="0">
                  <c:v>VRM, ERPF</c:v>
                </c:pt>
              </c:strCache>
            </c:strRef>
          </c:cat>
          <c:val>
            <c:numRef>
              <c:f>'[2020 m. III ketv. finans duom.xlsx]minist pagal prior'!$N$37</c:f>
              <c:numCache>
                <c:formatCode>0%</c:formatCode>
                <c:ptCount val="1"/>
                <c:pt idx="0">
                  <c:v>0</c:v>
                </c:pt>
              </c:numCache>
            </c:numRef>
          </c:val>
        </c:ser>
        <c:ser>
          <c:idx val="3"/>
          <c:order val="2"/>
          <c:tx>
            <c:strRef>
              <c:f>'[2020 m. III ketv. finans duom.xlsx]minist pagal prior'!$O$32</c:f>
              <c:strCache>
                <c:ptCount val="1"/>
                <c:pt idx="0">
                  <c:v>Investuota projektuose</c:v>
                </c:pt>
              </c:strCache>
            </c:strRef>
          </c:tx>
          <c:spPr>
            <a:solidFill>
              <a:schemeClr val="accent3"/>
            </a:solidFill>
          </c:spPr>
          <c:invertIfNegative val="0"/>
          <c:dLbls>
            <c:spPr>
              <a:noFill/>
              <a:ln>
                <a:noFill/>
              </a:ln>
              <a:effectLst/>
            </c:spPr>
            <c:txPr>
              <a:bodyPr/>
              <a:lstStyle/>
              <a:p>
                <a:pPr>
                  <a:defRPr>
                    <a:solidFill>
                      <a:schemeClr val="bg1"/>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 m. III ketv. finans duom.xlsx]minist pagal prior'!$L$37</c:f>
              <c:strCache>
                <c:ptCount val="1"/>
                <c:pt idx="0">
                  <c:v>VRM, ERPF</c:v>
                </c:pt>
              </c:strCache>
            </c:strRef>
          </c:cat>
          <c:val>
            <c:numRef>
              <c:f>'[2020 m. III ketv. finans duom.xlsx]minist pagal prior'!$O$37</c:f>
              <c:numCache>
                <c:formatCode>0%</c:formatCode>
                <c:ptCount val="1"/>
                <c:pt idx="0">
                  <c:v>0</c:v>
                </c:pt>
              </c:numCache>
            </c:numRef>
          </c:val>
        </c:ser>
        <c:dLbls>
          <c:showLegendKey val="0"/>
          <c:showVal val="0"/>
          <c:showCatName val="0"/>
          <c:showSerName val="0"/>
          <c:showPercent val="0"/>
          <c:showBubbleSize val="0"/>
        </c:dLbls>
        <c:gapWidth val="217"/>
        <c:overlap val="100"/>
        <c:axId val="143027584"/>
        <c:axId val="143041664"/>
      </c:barChart>
      <c:catAx>
        <c:axId val="143027584"/>
        <c:scaling>
          <c:orientation val="minMax"/>
        </c:scaling>
        <c:delete val="0"/>
        <c:axPos val="l"/>
        <c:numFmt formatCode="General" sourceLinked="0"/>
        <c:majorTickMark val="out"/>
        <c:minorTickMark val="none"/>
        <c:tickLblPos val="nextTo"/>
        <c:crossAx val="143041664"/>
        <c:crosses val="autoZero"/>
        <c:auto val="1"/>
        <c:lblAlgn val="ctr"/>
        <c:lblOffset val="100"/>
        <c:noMultiLvlLbl val="0"/>
      </c:catAx>
      <c:valAx>
        <c:axId val="143041664"/>
        <c:scaling>
          <c:orientation val="minMax"/>
          <c:max val="1"/>
        </c:scaling>
        <c:delete val="1"/>
        <c:axPos val="b"/>
        <c:majorGridlines/>
        <c:numFmt formatCode="0%" sourceLinked="1"/>
        <c:majorTickMark val="out"/>
        <c:minorTickMark val="none"/>
        <c:tickLblPos val="nextTo"/>
        <c:crossAx val="143027584"/>
        <c:crosses val="autoZero"/>
        <c:crossBetween val="between"/>
        <c:majorUnit val="0.2"/>
      </c:valAx>
    </c:plotArea>
    <c:legend>
      <c:legendPos val="b"/>
      <c:layout>
        <c:manualLayout>
          <c:xMode val="edge"/>
          <c:yMode val="edge"/>
          <c:x val="7.8171830688346614E-2"/>
          <c:y val="0.66909501151298811"/>
          <c:w val="0.83952837164704253"/>
          <c:h val="0.29989821593169791"/>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8336582053117492"/>
        </c:manualLayout>
      </c:layout>
      <c:barChart>
        <c:barDir val="bar"/>
        <c:grouping val="clustered"/>
        <c:varyColors val="0"/>
        <c:ser>
          <c:idx val="0"/>
          <c:order val="0"/>
          <c:tx>
            <c:strRef>
              <c:f>'minist pagal prior'!$M$36</c:f>
              <c:strCache>
                <c:ptCount val="1"/>
                <c:pt idx="0">
                  <c:v>Nepaskirta projektams</c:v>
                </c:pt>
              </c:strCache>
            </c:strRef>
          </c:tx>
          <c:spPr>
            <a:solidFill>
              <a:schemeClr val="bg1">
                <a:lumMod val="85000"/>
              </a:schemeClr>
            </a:solidFill>
            <a:ln w="38100">
              <a:noFill/>
            </a:ln>
          </c:spPr>
          <c:invertIfNegative val="0"/>
          <c:dLbls>
            <c:dLbl>
              <c:idx val="0"/>
              <c:layout>
                <c:manualLayout>
                  <c:x val="-5.3415502401756403E-2"/>
                  <c:y val="-1.5873015873015872E-2"/>
                </c:manualLayout>
              </c:layout>
              <c:tx>
                <c:rich>
                  <a:bodyPr/>
                  <a:lstStyle/>
                  <a:p>
                    <a:r>
                      <a:rPr lang="en-US">
                        <a:solidFill>
                          <a:schemeClr val="tx1">
                            <a:lumMod val="50000"/>
                            <a:lumOff val="50000"/>
                          </a:schemeClr>
                        </a:solidFill>
                      </a:rPr>
                      <a:t>1</a:t>
                    </a:r>
                    <a:r>
                      <a:rPr lang="lt-LT">
                        <a:solidFill>
                          <a:schemeClr val="tx1">
                            <a:lumMod val="50000"/>
                            <a:lumOff val="50000"/>
                          </a:schemeClr>
                        </a:solidFill>
                      </a:rPr>
                      <a:t>2</a:t>
                    </a:r>
                    <a:r>
                      <a:rPr lang="en-US">
                        <a:solidFill>
                          <a:schemeClr val="tx1">
                            <a:lumMod val="50000"/>
                            <a:lumOff val="50000"/>
                          </a:schemeClr>
                        </a:solidFill>
                      </a:rPr>
                      <a:t>%</a:t>
                    </a:r>
                    <a:endParaRPr lang="en-US"/>
                  </a:p>
                </c:rich>
              </c:tx>
              <c:showLegendKey val="0"/>
              <c:showVal val="1"/>
              <c:showCatName val="0"/>
              <c:showSerName val="0"/>
              <c:showPercent val="0"/>
              <c:showBubbleSize val="0"/>
            </c:dLbl>
            <c:dLbl>
              <c:idx val="1"/>
              <c:delete val="1"/>
            </c:dLbl>
            <c:txPr>
              <a:bodyPr/>
              <a:lstStyle/>
              <a:p>
                <a:pPr>
                  <a:defRPr>
                    <a:solidFill>
                      <a:schemeClr val="tx1">
                        <a:lumMod val="50000"/>
                        <a:lumOff val="50000"/>
                      </a:schemeClr>
                    </a:solidFill>
                  </a:defRPr>
                </a:pPr>
                <a:endParaRPr lang="lt-LT"/>
              </a:p>
            </c:txPr>
            <c:showLegendKey val="0"/>
            <c:showVal val="1"/>
            <c:showCatName val="0"/>
            <c:showSerName val="0"/>
            <c:showPercent val="0"/>
            <c:showBubbleSize val="0"/>
            <c:showLeaderLines val="0"/>
          </c:dLbls>
          <c:cat>
            <c:strRef>
              <c:f>'minist pagal prior'!$L$37:$L$38</c:f>
              <c:strCache>
                <c:ptCount val="2"/>
                <c:pt idx="0">
                  <c:v>AM, SaF</c:v>
                </c:pt>
                <c:pt idx="1">
                  <c:v>AM, ERPF</c:v>
                </c:pt>
              </c:strCache>
            </c:strRef>
          </c:cat>
          <c:val>
            <c:numRef>
              <c:f>'minist pagal prior'!$M$37:$M$38</c:f>
              <c:numCache>
                <c:formatCode>0%</c:formatCode>
                <c:ptCount val="2"/>
                <c:pt idx="0">
                  <c:v>1</c:v>
                </c:pt>
                <c:pt idx="1">
                  <c:v>1</c:v>
                </c:pt>
              </c:numCache>
            </c:numRef>
          </c:val>
        </c:ser>
        <c:ser>
          <c:idx val="2"/>
          <c:order val="1"/>
          <c:tx>
            <c:strRef>
              <c:f>'minist pagal prior'!$N$36</c:f>
              <c:strCache>
                <c:ptCount val="1"/>
                <c:pt idx="0">
                  <c:v>Sudaryta sutarčių</c:v>
                </c:pt>
              </c:strCache>
            </c:strRef>
          </c:tx>
          <c:spPr>
            <a:solidFill>
              <a:schemeClr val="accent1"/>
            </a:solidFill>
            <a:ln w="50800">
              <a:solidFill>
                <a:schemeClr val="accent1"/>
              </a:solidFill>
            </a:ln>
          </c:spPr>
          <c:invertIfNegative val="0"/>
          <c:dLbls>
            <c:dLbl>
              <c:idx val="0"/>
              <c:layout>
                <c:manualLayout>
                  <c:x val="-6.7132221648128695E-2"/>
                  <c:y val="0"/>
                </c:manualLayout>
              </c:layout>
              <c:dLblPos val="outEnd"/>
              <c:showLegendKey val="0"/>
              <c:showVal val="1"/>
              <c:showCatName val="0"/>
              <c:showSerName val="0"/>
              <c:showPercent val="0"/>
              <c:showBubbleSize val="0"/>
            </c:dLbl>
            <c:dLbl>
              <c:idx val="1"/>
              <c:layout>
                <c:manualLayout>
                  <c:x val="-5.1367854220649704E-2"/>
                  <c:y val="1.8187620582885705E-17"/>
                </c:manualLayout>
              </c:layout>
              <c:tx>
                <c:rich>
                  <a:bodyPr/>
                  <a:lstStyle/>
                  <a:p>
                    <a:r>
                      <a:rPr lang="en-US"/>
                      <a:t>10</a:t>
                    </a:r>
                    <a:r>
                      <a:rPr lang="lt-LT"/>
                      <a:t>0</a:t>
                    </a:r>
                    <a:r>
                      <a:rPr lang="en-US"/>
                      <a:t>%</a:t>
                    </a:r>
                  </a:p>
                </c:rich>
              </c:tx>
              <c:dLblPos val="outEnd"/>
              <c:showLegendKey val="0"/>
              <c:showVal val="1"/>
              <c:showCatName val="0"/>
              <c:showSerName val="0"/>
              <c:showPercent val="0"/>
              <c:showBubbleSize val="0"/>
            </c:dLbl>
            <c:txPr>
              <a:bodyPr/>
              <a:lstStyle/>
              <a:p>
                <a:pPr>
                  <a:defRPr>
                    <a:solidFill>
                      <a:schemeClr val="bg1"/>
                    </a:solidFill>
                  </a:defRPr>
                </a:pPr>
                <a:endParaRPr lang="lt-LT"/>
              </a:p>
            </c:txPr>
            <c:dLblPos val="inBase"/>
            <c:showLegendKey val="0"/>
            <c:showVal val="1"/>
            <c:showCatName val="0"/>
            <c:showSerName val="0"/>
            <c:showPercent val="0"/>
            <c:showBubbleSize val="0"/>
            <c:showLeaderLines val="0"/>
          </c:dLbls>
          <c:cat>
            <c:strRef>
              <c:f>'minist pagal prior'!$L$37:$L$38</c:f>
              <c:strCache>
                <c:ptCount val="2"/>
                <c:pt idx="0">
                  <c:v>AM, SaF</c:v>
                </c:pt>
                <c:pt idx="1">
                  <c:v>AM, ERPF</c:v>
                </c:pt>
              </c:strCache>
            </c:strRef>
          </c:cat>
          <c:val>
            <c:numRef>
              <c:f>'minist pagal prior'!$N$37:$N$38</c:f>
              <c:numCache>
                <c:formatCode>0%</c:formatCode>
                <c:ptCount val="2"/>
                <c:pt idx="0">
                  <c:v>0.87806673875391517</c:v>
                </c:pt>
                <c:pt idx="1">
                  <c:v>1.0319767978880292</c:v>
                </c:pt>
              </c:numCache>
            </c:numRef>
          </c:val>
        </c:ser>
        <c:ser>
          <c:idx val="3"/>
          <c:order val="2"/>
          <c:tx>
            <c:strRef>
              <c:f>'minist pagal prior'!$O$36</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prior'!$L$37:$L$38</c:f>
              <c:strCache>
                <c:ptCount val="2"/>
                <c:pt idx="0">
                  <c:v>AM, SaF</c:v>
                </c:pt>
                <c:pt idx="1">
                  <c:v>AM, ERPF</c:v>
                </c:pt>
              </c:strCache>
            </c:strRef>
          </c:cat>
          <c:val>
            <c:numRef>
              <c:f>'minist pagal prior'!$O$37:$O$38</c:f>
              <c:numCache>
                <c:formatCode>0%</c:formatCode>
                <c:ptCount val="2"/>
                <c:pt idx="0">
                  <c:v>0.555763508388887</c:v>
                </c:pt>
                <c:pt idx="1">
                  <c:v>0.48158585357451839</c:v>
                </c:pt>
              </c:numCache>
            </c:numRef>
          </c:val>
        </c:ser>
        <c:dLbls>
          <c:showLegendKey val="0"/>
          <c:showVal val="0"/>
          <c:showCatName val="0"/>
          <c:showSerName val="0"/>
          <c:showPercent val="0"/>
          <c:showBubbleSize val="0"/>
        </c:dLbls>
        <c:gapWidth val="217"/>
        <c:overlap val="100"/>
        <c:axId val="143077376"/>
        <c:axId val="143078912"/>
      </c:barChart>
      <c:catAx>
        <c:axId val="143077376"/>
        <c:scaling>
          <c:orientation val="minMax"/>
        </c:scaling>
        <c:delete val="0"/>
        <c:axPos val="l"/>
        <c:majorTickMark val="out"/>
        <c:minorTickMark val="none"/>
        <c:tickLblPos val="nextTo"/>
        <c:crossAx val="143078912"/>
        <c:crosses val="autoZero"/>
        <c:auto val="1"/>
        <c:lblAlgn val="ctr"/>
        <c:lblOffset val="100"/>
        <c:noMultiLvlLbl val="0"/>
      </c:catAx>
      <c:valAx>
        <c:axId val="143078912"/>
        <c:scaling>
          <c:orientation val="minMax"/>
          <c:max val="1"/>
        </c:scaling>
        <c:delete val="1"/>
        <c:axPos val="b"/>
        <c:majorGridlines/>
        <c:numFmt formatCode="0%" sourceLinked="1"/>
        <c:majorTickMark val="out"/>
        <c:minorTickMark val="none"/>
        <c:tickLblPos val="nextTo"/>
        <c:crossAx val="143077376"/>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3713385826771654"/>
        </c:manualLayout>
      </c:layout>
      <c:barChart>
        <c:barDir val="bar"/>
        <c:grouping val="clustered"/>
        <c:varyColors val="0"/>
        <c:ser>
          <c:idx val="0"/>
          <c:order val="0"/>
          <c:tx>
            <c:strRef>
              <c:f>'minist pagal prior'!$M$41</c:f>
              <c:strCache>
                <c:ptCount val="1"/>
                <c:pt idx="0">
                  <c:v>Nepaskirta projektams</c:v>
                </c:pt>
              </c:strCache>
            </c:strRef>
          </c:tx>
          <c:spPr>
            <a:solidFill>
              <a:schemeClr val="bg1">
                <a:lumMod val="85000"/>
              </a:schemeClr>
            </a:solidFill>
          </c:spPr>
          <c:invertIfNegative val="0"/>
          <c:cat>
            <c:strRef>
              <c:f>'minist pagal prior'!$L$42</c:f>
              <c:strCache>
                <c:ptCount val="1"/>
                <c:pt idx="0">
                  <c:v>KM, ERPF</c:v>
                </c:pt>
              </c:strCache>
            </c:strRef>
          </c:cat>
          <c:val>
            <c:numRef>
              <c:f>'minist pagal prior'!$M$42</c:f>
              <c:numCache>
                <c:formatCode>0%</c:formatCode>
                <c:ptCount val="1"/>
                <c:pt idx="0">
                  <c:v>1</c:v>
                </c:pt>
              </c:numCache>
            </c:numRef>
          </c:val>
        </c:ser>
        <c:ser>
          <c:idx val="2"/>
          <c:order val="1"/>
          <c:tx>
            <c:strRef>
              <c:f>'minist pagal prior'!$N$41</c:f>
              <c:strCache>
                <c:ptCount val="1"/>
                <c:pt idx="0">
                  <c:v>Sudaryta sutarčių</c:v>
                </c:pt>
              </c:strCache>
            </c:strRef>
          </c:tx>
          <c:spPr>
            <a:solidFill>
              <a:schemeClr val="accent1"/>
            </a:solidFill>
            <a:ln w="50800">
              <a:solidFill>
                <a:schemeClr val="accent1"/>
              </a:solidFill>
            </a:ln>
          </c:spPr>
          <c:invertIfNegative val="0"/>
          <c:dLbls>
            <c:dLbl>
              <c:idx val="0"/>
              <c:layout>
                <c:manualLayout>
                  <c:x val="-0.3079011563183085"/>
                  <c:y val="2.464129240261934E-17"/>
                </c:manualLayout>
              </c:layout>
              <c:tx>
                <c:rich>
                  <a:bodyPr/>
                  <a:lstStyle/>
                  <a:p>
                    <a:r>
                      <a:rPr lang="en-US">
                        <a:solidFill>
                          <a:schemeClr val="bg1"/>
                        </a:solidFill>
                      </a:rPr>
                      <a:t>10</a:t>
                    </a:r>
                    <a:r>
                      <a:rPr lang="lt-LT">
                        <a:solidFill>
                          <a:schemeClr val="bg1"/>
                        </a:solidFill>
                      </a:rPr>
                      <a:t>0</a:t>
                    </a:r>
                    <a:r>
                      <a:rPr lang="en-US">
                        <a:solidFill>
                          <a:schemeClr val="bg1"/>
                        </a:solidFill>
                      </a:rPr>
                      <a:t>%</a:t>
                    </a:r>
                    <a:endParaRPr lang="en-US"/>
                  </a:p>
                </c:rich>
              </c:tx>
              <c:dLblPos val="outEnd"/>
              <c:showLegendKey val="0"/>
              <c:showVal val="1"/>
              <c:showCatName val="0"/>
              <c:showSerName val="0"/>
              <c:showPercent val="0"/>
              <c:showBubbleSize val="0"/>
            </c:dLbl>
            <c:txPr>
              <a:bodyPr/>
              <a:lstStyle/>
              <a:p>
                <a:pPr>
                  <a:defRPr>
                    <a:solidFill>
                      <a:schemeClr val="bg1"/>
                    </a:solidFill>
                  </a:defRPr>
                </a:pPr>
                <a:endParaRPr lang="lt-LT"/>
              </a:p>
            </c:txPr>
            <c:dLblPos val="ctr"/>
            <c:showLegendKey val="0"/>
            <c:showVal val="1"/>
            <c:showCatName val="0"/>
            <c:showSerName val="0"/>
            <c:showPercent val="0"/>
            <c:showBubbleSize val="0"/>
            <c:showLeaderLines val="0"/>
          </c:dLbls>
          <c:cat>
            <c:strRef>
              <c:f>'minist pagal prior'!$L$42</c:f>
              <c:strCache>
                <c:ptCount val="1"/>
                <c:pt idx="0">
                  <c:v>KM, ERPF</c:v>
                </c:pt>
              </c:strCache>
            </c:strRef>
          </c:cat>
          <c:val>
            <c:numRef>
              <c:f>'minist pagal prior'!$N$42</c:f>
              <c:numCache>
                <c:formatCode>0%</c:formatCode>
                <c:ptCount val="1"/>
                <c:pt idx="0">
                  <c:v>1.0163114880296</c:v>
                </c:pt>
              </c:numCache>
            </c:numRef>
          </c:val>
        </c:ser>
        <c:ser>
          <c:idx val="3"/>
          <c:order val="2"/>
          <c:tx>
            <c:strRef>
              <c:f>'minist pagal prior'!$O$41</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prior'!$L$42</c:f>
              <c:strCache>
                <c:ptCount val="1"/>
                <c:pt idx="0">
                  <c:v>KM, ERPF</c:v>
                </c:pt>
              </c:strCache>
            </c:strRef>
          </c:cat>
          <c:val>
            <c:numRef>
              <c:f>'minist pagal prior'!$O$42</c:f>
              <c:numCache>
                <c:formatCode>0%</c:formatCode>
                <c:ptCount val="1"/>
                <c:pt idx="0">
                  <c:v>0.5383556457582499</c:v>
                </c:pt>
              </c:numCache>
            </c:numRef>
          </c:val>
        </c:ser>
        <c:dLbls>
          <c:showLegendKey val="0"/>
          <c:showVal val="0"/>
          <c:showCatName val="0"/>
          <c:showSerName val="0"/>
          <c:showPercent val="0"/>
          <c:showBubbleSize val="0"/>
        </c:dLbls>
        <c:gapWidth val="217"/>
        <c:overlap val="100"/>
        <c:axId val="143113600"/>
        <c:axId val="143139968"/>
      </c:barChart>
      <c:catAx>
        <c:axId val="143113600"/>
        <c:scaling>
          <c:orientation val="minMax"/>
        </c:scaling>
        <c:delete val="0"/>
        <c:axPos val="l"/>
        <c:majorTickMark val="out"/>
        <c:minorTickMark val="none"/>
        <c:tickLblPos val="nextTo"/>
        <c:crossAx val="143139968"/>
        <c:crosses val="autoZero"/>
        <c:auto val="1"/>
        <c:lblAlgn val="ctr"/>
        <c:lblOffset val="100"/>
        <c:noMultiLvlLbl val="0"/>
      </c:catAx>
      <c:valAx>
        <c:axId val="143139968"/>
        <c:scaling>
          <c:orientation val="minMax"/>
          <c:max val="1"/>
        </c:scaling>
        <c:delete val="1"/>
        <c:axPos val="b"/>
        <c:majorGridlines/>
        <c:numFmt formatCode="0%" sourceLinked="1"/>
        <c:majorTickMark val="out"/>
        <c:minorTickMark val="none"/>
        <c:tickLblPos val="nextTo"/>
        <c:crossAx val="143113600"/>
        <c:crosses val="autoZero"/>
        <c:crossBetween val="between"/>
        <c:majorUnit val="0.2"/>
      </c:valAx>
    </c:plotArea>
    <c:legend>
      <c:legendPos val="b"/>
      <c:layout>
        <c:manualLayout>
          <c:xMode val="edge"/>
          <c:yMode val="edge"/>
          <c:x val="8.2299797664610805E-2"/>
          <c:y val="0.7390788248243163"/>
          <c:w val="0.83952837164704253"/>
          <c:h val="0.18690349752792529"/>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1676216943470299"/>
        </c:manualLayout>
      </c:layout>
      <c:barChart>
        <c:barDir val="bar"/>
        <c:grouping val="clustered"/>
        <c:varyColors val="0"/>
        <c:ser>
          <c:idx val="0"/>
          <c:order val="0"/>
          <c:tx>
            <c:strRef>
              <c:f>'minist pagal prior'!$M$49</c:f>
              <c:strCache>
                <c:ptCount val="1"/>
                <c:pt idx="0">
                  <c:v>Nepaskirta projektams</c:v>
                </c:pt>
              </c:strCache>
            </c:strRef>
          </c:tx>
          <c:spPr>
            <a:solidFill>
              <a:schemeClr val="bg1">
                <a:lumMod val="85000"/>
              </a:schemeClr>
            </a:solidFill>
          </c:spPr>
          <c:invertIfNegative val="0"/>
          <c:cat>
            <c:strRef>
              <c:f>'minist pagal prior'!$L$50</c:f>
              <c:strCache>
                <c:ptCount val="1"/>
                <c:pt idx="0">
                  <c:v>VRM, ERPF</c:v>
                </c:pt>
              </c:strCache>
            </c:strRef>
          </c:cat>
          <c:val>
            <c:numRef>
              <c:f>'minist pagal prior'!$M$50</c:f>
              <c:numCache>
                <c:formatCode>0%</c:formatCode>
                <c:ptCount val="1"/>
                <c:pt idx="0">
                  <c:v>1</c:v>
                </c:pt>
              </c:numCache>
            </c:numRef>
          </c:val>
        </c:ser>
        <c:ser>
          <c:idx val="2"/>
          <c:order val="1"/>
          <c:tx>
            <c:strRef>
              <c:f>'minist pagal prior'!$N$49</c:f>
              <c:strCache>
                <c:ptCount val="1"/>
                <c:pt idx="0">
                  <c:v>Sudaryta sutarčių</c:v>
                </c:pt>
              </c:strCache>
            </c:strRef>
          </c:tx>
          <c:spPr>
            <a:solidFill>
              <a:schemeClr val="accent1"/>
            </a:solidFill>
            <a:ln w="50800">
              <a:solidFill>
                <a:schemeClr val="accent1"/>
              </a:solidFill>
            </a:ln>
          </c:spPr>
          <c:invertIfNegative val="0"/>
          <c:dLbls>
            <c:dLbl>
              <c:idx val="0"/>
              <c:layout>
                <c:manualLayout>
                  <c:x val="-0.29005566254682563"/>
                  <c:y val="-2.425012036536514E-17"/>
                </c:manualLayout>
              </c:layout>
              <c:dLblPos val="outEnd"/>
              <c:showLegendKey val="0"/>
              <c:showVal val="1"/>
              <c:showCatName val="0"/>
              <c:showSerName val="0"/>
              <c:showPercent val="0"/>
              <c:showBubbleSize val="0"/>
            </c:dLbl>
            <c:txPr>
              <a:bodyPr/>
              <a:lstStyle/>
              <a:p>
                <a:pPr>
                  <a:defRPr>
                    <a:solidFill>
                      <a:schemeClr val="bg1"/>
                    </a:solidFill>
                  </a:defRPr>
                </a:pPr>
                <a:endParaRPr lang="lt-LT"/>
              </a:p>
            </c:txPr>
            <c:dLblPos val="ctr"/>
            <c:showLegendKey val="0"/>
            <c:showVal val="1"/>
            <c:showCatName val="0"/>
            <c:showSerName val="0"/>
            <c:showPercent val="0"/>
            <c:showBubbleSize val="0"/>
            <c:showLeaderLines val="0"/>
          </c:dLbls>
          <c:cat>
            <c:strRef>
              <c:f>'minist pagal prior'!$L$50</c:f>
              <c:strCache>
                <c:ptCount val="1"/>
                <c:pt idx="0">
                  <c:v>VRM, ERPF</c:v>
                </c:pt>
              </c:strCache>
            </c:strRef>
          </c:cat>
          <c:val>
            <c:numRef>
              <c:f>'minist pagal prior'!$N$50</c:f>
              <c:numCache>
                <c:formatCode>0%</c:formatCode>
                <c:ptCount val="1"/>
                <c:pt idx="0">
                  <c:v>1.0000000272767606</c:v>
                </c:pt>
              </c:numCache>
            </c:numRef>
          </c:val>
        </c:ser>
        <c:ser>
          <c:idx val="3"/>
          <c:order val="2"/>
          <c:tx>
            <c:strRef>
              <c:f>'minist pagal prior'!$O$49</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prior'!$L$50</c:f>
              <c:strCache>
                <c:ptCount val="1"/>
                <c:pt idx="0">
                  <c:v>VRM, ERPF</c:v>
                </c:pt>
              </c:strCache>
            </c:strRef>
          </c:cat>
          <c:val>
            <c:numRef>
              <c:f>'minist pagal prior'!$O$50</c:f>
              <c:numCache>
                <c:formatCode>0%</c:formatCode>
                <c:ptCount val="1"/>
                <c:pt idx="0">
                  <c:v>0.20336618772757309</c:v>
                </c:pt>
              </c:numCache>
            </c:numRef>
          </c:val>
        </c:ser>
        <c:dLbls>
          <c:showLegendKey val="0"/>
          <c:showVal val="0"/>
          <c:showCatName val="0"/>
          <c:showSerName val="0"/>
          <c:showPercent val="0"/>
          <c:showBubbleSize val="0"/>
        </c:dLbls>
        <c:gapWidth val="217"/>
        <c:overlap val="100"/>
        <c:axId val="143162368"/>
        <c:axId val="143168256"/>
      </c:barChart>
      <c:catAx>
        <c:axId val="143162368"/>
        <c:scaling>
          <c:orientation val="minMax"/>
        </c:scaling>
        <c:delete val="0"/>
        <c:axPos val="l"/>
        <c:majorTickMark val="out"/>
        <c:minorTickMark val="none"/>
        <c:tickLblPos val="nextTo"/>
        <c:crossAx val="143168256"/>
        <c:crosses val="autoZero"/>
        <c:auto val="1"/>
        <c:lblAlgn val="ctr"/>
        <c:lblOffset val="100"/>
        <c:noMultiLvlLbl val="0"/>
      </c:catAx>
      <c:valAx>
        <c:axId val="143168256"/>
        <c:scaling>
          <c:orientation val="minMax"/>
          <c:max val="1"/>
        </c:scaling>
        <c:delete val="1"/>
        <c:axPos val="b"/>
        <c:majorGridlines/>
        <c:numFmt formatCode="0%" sourceLinked="1"/>
        <c:majorTickMark val="out"/>
        <c:minorTickMark val="none"/>
        <c:tickLblPos val="nextTo"/>
        <c:crossAx val="143162368"/>
        <c:crosses val="autoZero"/>
        <c:crossBetween val="between"/>
        <c:majorUnit val="0.2"/>
      </c:valAx>
    </c:plotArea>
    <c:legend>
      <c:legendPos val="b"/>
      <c:layout>
        <c:manualLayout>
          <c:xMode val="edge"/>
          <c:yMode val="edge"/>
          <c:x val="7.6107847200214518E-2"/>
          <c:y val="0.6974333251121525"/>
          <c:w val="0.83952837164704253"/>
          <c:h val="0.18690349752792529"/>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2703302712160982"/>
        </c:manualLayout>
      </c:layout>
      <c:barChart>
        <c:barDir val="bar"/>
        <c:grouping val="clustered"/>
        <c:varyColors val="0"/>
        <c:ser>
          <c:idx val="0"/>
          <c:order val="0"/>
          <c:tx>
            <c:strRef>
              <c:f>'minist pagal prior'!$M$53</c:f>
              <c:strCache>
                <c:ptCount val="1"/>
                <c:pt idx="0">
                  <c:v>Nepaskirta projektams</c:v>
                </c:pt>
              </c:strCache>
            </c:strRef>
          </c:tx>
          <c:spPr>
            <a:solidFill>
              <a:schemeClr val="bg1">
                <a:lumMod val="85000"/>
              </a:schemeClr>
            </a:solidFill>
            <a:ln w="38100">
              <a:noFill/>
            </a:ln>
          </c:spPr>
          <c:invertIfNegative val="0"/>
          <c:dLbls>
            <c:dLbl>
              <c:idx val="0"/>
              <c:layout>
                <c:manualLayout>
                  <c:x val="-4.540763673890609E-2"/>
                  <c:y val="-1.7210963383424948E-6"/>
                </c:manualLayout>
              </c:layout>
              <c:tx>
                <c:rich>
                  <a:bodyPr/>
                  <a:lstStyle/>
                  <a:p>
                    <a:r>
                      <a:rPr lang="lt-LT">
                        <a:solidFill>
                          <a:schemeClr val="bg1"/>
                        </a:solidFill>
                      </a:rPr>
                      <a:t>100</a:t>
                    </a:r>
                    <a:r>
                      <a:rPr lang="en-US">
                        <a:solidFill>
                          <a:schemeClr val="bg1"/>
                        </a:solidFill>
                      </a:rPr>
                      <a:t>%</a:t>
                    </a:r>
                    <a:endParaRPr lang="en-US"/>
                  </a:p>
                </c:rich>
              </c:tx>
              <c:showLegendKey val="0"/>
              <c:showVal val="1"/>
              <c:showCatName val="0"/>
              <c:showSerName val="0"/>
              <c:showPercent val="0"/>
              <c:showBubbleSize val="0"/>
            </c:dLbl>
            <c:txPr>
              <a:bodyPr/>
              <a:lstStyle/>
              <a:p>
                <a:pPr>
                  <a:defRPr>
                    <a:solidFill>
                      <a:schemeClr val="bg1"/>
                    </a:solidFill>
                  </a:defRPr>
                </a:pPr>
                <a:endParaRPr lang="lt-LT"/>
              </a:p>
            </c:txPr>
            <c:showLegendKey val="0"/>
            <c:showVal val="1"/>
            <c:showCatName val="0"/>
            <c:showSerName val="0"/>
            <c:showPercent val="0"/>
            <c:showBubbleSize val="0"/>
            <c:showLeaderLines val="0"/>
          </c:dLbls>
          <c:cat>
            <c:strRef>
              <c:f>'minist pagal prior'!$L$54</c:f>
              <c:strCache>
                <c:ptCount val="1"/>
                <c:pt idx="0">
                  <c:v>EM, ERPF</c:v>
                </c:pt>
              </c:strCache>
            </c:strRef>
          </c:cat>
          <c:val>
            <c:numRef>
              <c:f>'minist pagal prior'!$M$54</c:f>
              <c:numCache>
                <c:formatCode>0%</c:formatCode>
                <c:ptCount val="1"/>
                <c:pt idx="0">
                  <c:v>1</c:v>
                </c:pt>
              </c:numCache>
            </c:numRef>
          </c:val>
        </c:ser>
        <c:ser>
          <c:idx val="2"/>
          <c:order val="1"/>
          <c:tx>
            <c:strRef>
              <c:f>'minist pagal prior'!$N$53</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prior'!$L$54</c:f>
              <c:strCache>
                <c:ptCount val="1"/>
                <c:pt idx="0">
                  <c:v>EM, ERPF</c:v>
                </c:pt>
              </c:strCache>
            </c:strRef>
          </c:cat>
          <c:val>
            <c:numRef>
              <c:f>'minist pagal prior'!$N$54</c:f>
              <c:numCache>
                <c:formatCode>0%</c:formatCode>
                <c:ptCount val="1"/>
                <c:pt idx="0">
                  <c:v>1.0150440183583775</c:v>
                </c:pt>
              </c:numCache>
            </c:numRef>
          </c:val>
        </c:ser>
        <c:ser>
          <c:idx val="3"/>
          <c:order val="2"/>
          <c:tx>
            <c:strRef>
              <c:f>'minist pagal prior'!$O$53</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prior'!$L$54</c:f>
              <c:strCache>
                <c:ptCount val="1"/>
                <c:pt idx="0">
                  <c:v>EM, ERPF</c:v>
                </c:pt>
              </c:strCache>
            </c:strRef>
          </c:cat>
          <c:val>
            <c:numRef>
              <c:f>'minist pagal prior'!$O$54</c:f>
              <c:numCache>
                <c:formatCode>0%</c:formatCode>
                <c:ptCount val="1"/>
                <c:pt idx="0">
                  <c:v>0.48583831387432119</c:v>
                </c:pt>
              </c:numCache>
            </c:numRef>
          </c:val>
        </c:ser>
        <c:dLbls>
          <c:showLegendKey val="0"/>
          <c:showVal val="0"/>
          <c:showCatName val="0"/>
          <c:showSerName val="0"/>
          <c:showPercent val="0"/>
          <c:showBubbleSize val="0"/>
        </c:dLbls>
        <c:gapWidth val="217"/>
        <c:overlap val="100"/>
        <c:axId val="143195520"/>
        <c:axId val="143217792"/>
      </c:barChart>
      <c:catAx>
        <c:axId val="143195520"/>
        <c:scaling>
          <c:orientation val="minMax"/>
        </c:scaling>
        <c:delete val="0"/>
        <c:axPos val="l"/>
        <c:majorTickMark val="out"/>
        <c:minorTickMark val="none"/>
        <c:tickLblPos val="nextTo"/>
        <c:crossAx val="143217792"/>
        <c:crosses val="autoZero"/>
        <c:auto val="1"/>
        <c:lblAlgn val="ctr"/>
        <c:lblOffset val="100"/>
        <c:noMultiLvlLbl val="0"/>
      </c:catAx>
      <c:valAx>
        <c:axId val="143217792"/>
        <c:scaling>
          <c:orientation val="minMax"/>
          <c:max val="1"/>
        </c:scaling>
        <c:delete val="1"/>
        <c:axPos val="b"/>
        <c:majorGridlines/>
        <c:numFmt formatCode="0%" sourceLinked="1"/>
        <c:majorTickMark val="out"/>
        <c:minorTickMark val="none"/>
        <c:tickLblPos val="nextTo"/>
        <c:crossAx val="143195520"/>
        <c:crosses val="autoZero"/>
        <c:crossBetween val="between"/>
        <c:majorUnit val="0.2"/>
      </c:valAx>
    </c:plotArea>
    <c:legend>
      <c:legendPos val="b"/>
      <c:layout>
        <c:manualLayout>
          <c:xMode val="edge"/>
          <c:yMode val="edge"/>
          <c:x val="7.6107847200214518E-2"/>
          <c:y val="0.73837270341207351"/>
          <c:w val="0.83952837164704253"/>
          <c:h val="0.18690349752792529"/>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9432583318484844"/>
        </c:manualLayout>
      </c:layout>
      <c:barChart>
        <c:barDir val="bar"/>
        <c:grouping val="clustered"/>
        <c:varyColors val="0"/>
        <c:ser>
          <c:idx val="0"/>
          <c:order val="0"/>
          <c:tx>
            <c:strRef>
              <c:f>'minist pagal prior'!$M$57</c:f>
              <c:strCache>
                <c:ptCount val="1"/>
                <c:pt idx="0">
                  <c:v>Nepaskirta projektams</c:v>
                </c:pt>
              </c:strCache>
            </c:strRef>
          </c:tx>
          <c:spPr>
            <a:solidFill>
              <a:schemeClr val="bg1">
                <a:lumMod val="85000"/>
              </a:schemeClr>
            </a:solidFill>
            <a:ln w="38100">
              <a:noFill/>
            </a:ln>
          </c:spPr>
          <c:invertIfNegative val="0"/>
          <c:dLbls>
            <c:dLbl>
              <c:idx val="0"/>
              <c:layout/>
              <c:tx>
                <c:rich>
                  <a:bodyPr/>
                  <a:lstStyle/>
                  <a:p>
                    <a:r>
                      <a:rPr lang="lt-LT">
                        <a:solidFill>
                          <a:schemeClr val="tx1">
                            <a:lumMod val="50000"/>
                            <a:lumOff val="50000"/>
                          </a:schemeClr>
                        </a:solidFill>
                      </a:rPr>
                      <a:t>27</a:t>
                    </a:r>
                    <a:r>
                      <a:rPr lang="en-US">
                        <a:solidFill>
                          <a:schemeClr val="tx1">
                            <a:lumMod val="50000"/>
                            <a:lumOff val="50000"/>
                          </a:schemeClr>
                        </a:solidFill>
                      </a:rPr>
                      <a:t>%</a:t>
                    </a:r>
                    <a:endParaRPr lang="en-US"/>
                  </a:p>
                </c:rich>
              </c:tx>
              <c:dLblPos val="inEnd"/>
              <c:showLegendKey val="0"/>
              <c:showVal val="1"/>
              <c:showCatName val="0"/>
              <c:showSerName val="0"/>
              <c:showPercent val="0"/>
              <c:showBubbleSize val="0"/>
            </c:dLbl>
            <c:dLbl>
              <c:idx val="1"/>
              <c:layout/>
              <c:tx>
                <c:rich>
                  <a:bodyPr/>
                  <a:lstStyle/>
                  <a:p>
                    <a:r>
                      <a:rPr lang="lt-LT">
                        <a:solidFill>
                          <a:schemeClr val="tx1">
                            <a:lumMod val="50000"/>
                            <a:lumOff val="50000"/>
                          </a:schemeClr>
                        </a:solidFill>
                      </a:rPr>
                      <a:t>26</a:t>
                    </a:r>
                    <a:r>
                      <a:rPr lang="en-US">
                        <a:solidFill>
                          <a:schemeClr val="tx1">
                            <a:lumMod val="50000"/>
                            <a:lumOff val="50000"/>
                          </a:schemeClr>
                        </a:solidFill>
                      </a:rPr>
                      <a:t>%</a:t>
                    </a:r>
                    <a:endParaRPr lang="en-US"/>
                  </a:p>
                </c:rich>
              </c:tx>
              <c:dLblPos val="inEnd"/>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prior'!$L$58:$L$59</c:f>
              <c:strCache>
                <c:ptCount val="2"/>
                <c:pt idx="0">
                  <c:v>SM, SaF</c:v>
                </c:pt>
                <c:pt idx="1">
                  <c:v>SM, ERPF</c:v>
                </c:pt>
              </c:strCache>
            </c:strRef>
          </c:cat>
          <c:val>
            <c:numRef>
              <c:f>'minist pagal prior'!$M$58:$M$59</c:f>
              <c:numCache>
                <c:formatCode>0%</c:formatCode>
                <c:ptCount val="2"/>
                <c:pt idx="0">
                  <c:v>1</c:v>
                </c:pt>
                <c:pt idx="1">
                  <c:v>1</c:v>
                </c:pt>
              </c:numCache>
            </c:numRef>
          </c:val>
        </c:ser>
        <c:ser>
          <c:idx val="2"/>
          <c:order val="1"/>
          <c:tx>
            <c:strRef>
              <c:f>'minist pagal prior'!$N$57</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prior'!$L$58:$L$59</c:f>
              <c:strCache>
                <c:ptCount val="2"/>
                <c:pt idx="0">
                  <c:v>SM, SaF</c:v>
                </c:pt>
                <c:pt idx="1">
                  <c:v>SM, ERPF</c:v>
                </c:pt>
              </c:strCache>
            </c:strRef>
          </c:cat>
          <c:val>
            <c:numRef>
              <c:f>'minist pagal prior'!$N$58:$N$59</c:f>
              <c:numCache>
                <c:formatCode>0%</c:formatCode>
                <c:ptCount val="2"/>
                <c:pt idx="0">
                  <c:v>0.73330308364177077</c:v>
                </c:pt>
                <c:pt idx="1">
                  <c:v>0.74185197112625489</c:v>
                </c:pt>
              </c:numCache>
            </c:numRef>
          </c:val>
        </c:ser>
        <c:ser>
          <c:idx val="3"/>
          <c:order val="2"/>
          <c:tx>
            <c:strRef>
              <c:f>'minist pagal prior'!$O$57</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prior'!$L$58:$L$59</c:f>
              <c:strCache>
                <c:ptCount val="2"/>
                <c:pt idx="0">
                  <c:v>SM, SaF</c:v>
                </c:pt>
                <c:pt idx="1">
                  <c:v>SM, ERPF</c:v>
                </c:pt>
              </c:strCache>
            </c:strRef>
          </c:cat>
          <c:val>
            <c:numRef>
              <c:f>'minist pagal prior'!$O$58:$O$59</c:f>
              <c:numCache>
                <c:formatCode>0%</c:formatCode>
                <c:ptCount val="2"/>
                <c:pt idx="0">
                  <c:v>0.52679935122654198</c:v>
                </c:pt>
                <c:pt idx="1">
                  <c:v>0.60841022978027537</c:v>
                </c:pt>
              </c:numCache>
            </c:numRef>
          </c:val>
        </c:ser>
        <c:dLbls>
          <c:showLegendKey val="0"/>
          <c:showVal val="0"/>
          <c:showCatName val="0"/>
          <c:showSerName val="0"/>
          <c:showPercent val="0"/>
          <c:showBubbleSize val="0"/>
        </c:dLbls>
        <c:gapWidth val="217"/>
        <c:overlap val="100"/>
        <c:axId val="143256960"/>
        <c:axId val="143262848"/>
      </c:barChart>
      <c:catAx>
        <c:axId val="143256960"/>
        <c:scaling>
          <c:orientation val="minMax"/>
        </c:scaling>
        <c:delete val="0"/>
        <c:axPos val="l"/>
        <c:majorTickMark val="out"/>
        <c:minorTickMark val="none"/>
        <c:tickLblPos val="nextTo"/>
        <c:crossAx val="143262848"/>
        <c:crosses val="autoZero"/>
        <c:auto val="1"/>
        <c:lblAlgn val="ctr"/>
        <c:lblOffset val="100"/>
        <c:noMultiLvlLbl val="0"/>
      </c:catAx>
      <c:valAx>
        <c:axId val="143262848"/>
        <c:scaling>
          <c:orientation val="minMax"/>
          <c:max val="1"/>
        </c:scaling>
        <c:delete val="1"/>
        <c:axPos val="b"/>
        <c:majorGridlines/>
        <c:numFmt formatCode="0%" sourceLinked="1"/>
        <c:majorTickMark val="out"/>
        <c:minorTickMark val="none"/>
        <c:tickLblPos val="nextTo"/>
        <c:crossAx val="143256960"/>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4092191601049877"/>
        </c:manualLayout>
      </c:layout>
      <c:barChart>
        <c:barDir val="bar"/>
        <c:grouping val="clustered"/>
        <c:varyColors val="0"/>
        <c:ser>
          <c:idx val="0"/>
          <c:order val="0"/>
          <c:tx>
            <c:strRef>
              <c:f>'minist pagal prior'!$M$62</c:f>
              <c:strCache>
                <c:ptCount val="1"/>
                <c:pt idx="0">
                  <c:v>Nepaskirta projektams</c:v>
                </c:pt>
              </c:strCache>
            </c:strRef>
          </c:tx>
          <c:spPr>
            <a:solidFill>
              <a:schemeClr val="bg1">
                <a:lumMod val="85000"/>
              </a:schemeClr>
            </a:solidFill>
          </c:spPr>
          <c:invertIfNegative val="0"/>
          <c:dLbls>
            <c:dLbl>
              <c:idx val="0"/>
              <c:layout>
                <c:manualLayout>
                  <c:x val="-3.5087719298245612E-2"/>
                  <c:y val="0"/>
                </c:manualLayout>
              </c:layout>
              <c:tx>
                <c:rich>
                  <a:bodyPr/>
                  <a:lstStyle/>
                  <a:p>
                    <a:pPr>
                      <a:defRPr>
                        <a:solidFill>
                          <a:schemeClr val="tx1">
                            <a:lumMod val="50000"/>
                            <a:lumOff val="50000"/>
                          </a:schemeClr>
                        </a:solidFill>
                      </a:defRPr>
                    </a:pPr>
                    <a:r>
                      <a:rPr lang="lt-LT">
                        <a:solidFill>
                          <a:schemeClr val="tx1">
                            <a:lumMod val="50000"/>
                            <a:lumOff val="50000"/>
                          </a:schemeClr>
                        </a:solidFill>
                      </a:rPr>
                      <a:t>5</a:t>
                    </a:r>
                    <a:r>
                      <a:rPr lang="en-US">
                        <a:solidFill>
                          <a:schemeClr val="tx1">
                            <a:lumMod val="50000"/>
                            <a:lumOff val="50000"/>
                          </a:schemeClr>
                        </a:solidFill>
                      </a:rPr>
                      <a:t>%</a:t>
                    </a:r>
                  </a:p>
                </c:rich>
              </c:tx>
              <c:spPr/>
              <c:showLegendKey val="0"/>
              <c:showVal val="1"/>
              <c:showCatName val="0"/>
              <c:showSerName val="0"/>
              <c:showPercent val="0"/>
              <c:showBubbleSize val="0"/>
            </c:dLbl>
            <c:showLegendKey val="0"/>
            <c:showVal val="1"/>
            <c:showCatName val="0"/>
            <c:showSerName val="0"/>
            <c:showPercent val="0"/>
            <c:showBubbleSize val="0"/>
            <c:showLeaderLines val="0"/>
          </c:dLbls>
          <c:cat>
            <c:strRef>
              <c:f>'minist pagal prior'!$L$63</c:f>
              <c:strCache>
                <c:ptCount val="1"/>
                <c:pt idx="0">
                  <c:v>KM, ERPF</c:v>
                </c:pt>
              </c:strCache>
            </c:strRef>
          </c:cat>
          <c:val>
            <c:numRef>
              <c:f>'minist pagal prior'!$M$63</c:f>
              <c:numCache>
                <c:formatCode>0%</c:formatCode>
                <c:ptCount val="1"/>
                <c:pt idx="0">
                  <c:v>1</c:v>
                </c:pt>
              </c:numCache>
            </c:numRef>
          </c:val>
        </c:ser>
        <c:ser>
          <c:idx val="2"/>
          <c:order val="1"/>
          <c:tx>
            <c:strRef>
              <c:f>'minist pagal prior'!$N$62</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prior'!$L$63</c:f>
              <c:strCache>
                <c:ptCount val="1"/>
                <c:pt idx="0">
                  <c:v>KM, ERPF</c:v>
                </c:pt>
              </c:strCache>
            </c:strRef>
          </c:cat>
          <c:val>
            <c:numRef>
              <c:f>'minist pagal prior'!$N$63</c:f>
              <c:numCache>
                <c:formatCode>0%</c:formatCode>
                <c:ptCount val="1"/>
                <c:pt idx="0">
                  <c:v>0.95160538703363462</c:v>
                </c:pt>
              </c:numCache>
            </c:numRef>
          </c:val>
        </c:ser>
        <c:ser>
          <c:idx val="3"/>
          <c:order val="2"/>
          <c:tx>
            <c:strRef>
              <c:f>'minist pagal prior'!$O$62</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prior'!$L$63</c:f>
              <c:strCache>
                <c:ptCount val="1"/>
                <c:pt idx="0">
                  <c:v>KM, ERPF</c:v>
                </c:pt>
              </c:strCache>
            </c:strRef>
          </c:cat>
          <c:val>
            <c:numRef>
              <c:f>'minist pagal prior'!$O$63</c:f>
              <c:numCache>
                <c:formatCode>0%</c:formatCode>
                <c:ptCount val="1"/>
                <c:pt idx="0">
                  <c:v>0.47702016995841334</c:v>
                </c:pt>
              </c:numCache>
            </c:numRef>
          </c:val>
        </c:ser>
        <c:dLbls>
          <c:showLegendKey val="0"/>
          <c:showVal val="0"/>
          <c:showCatName val="0"/>
          <c:showSerName val="0"/>
          <c:showPercent val="0"/>
          <c:showBubbleSize val="0"/>
        </c:dLbls>
        <c:gapWidth val="217"/>
        <c:overlap val="100"/>
        <c:axId val="143297920"/>
        <c:axId val="143320192"/>
      </c:barChart>
      <c:catAx>
        <c:axId val="143297920"/>
        <c:scaling>
          <c:orientation val="minMax"/>
        </c:scaling>
        <c:delete val="0"/>
        <c:axPos val="l"/>
        <c:majorTickMark val="out"/>
        <c:minorTickMark val="none"/>
        <c:tickLblPos val="nextTo"/>
        <c:crossAx val="143320192"/>
        <c:crosses val="autoZero"/>
        <c:auto val="1"/>
        <c:lblAlgn val="ctr"/>
        <c:lblOffset val="100"/>
        <c:noMultiLvlLbl val="0"/>
      </c:catAx>
      <c:valAx>
        <c:axId val="143320192"/>
        <c:scaling>
          <c:orientation val="minMax"/>
          <c:max val="1"/>
        </c:scaling>
        <c:delete val="1"/>
        <c:axPos val="b"/>
        <c:majorGridlines/>
        <c:numFmt formatCode="0%" sourceLinked="1"/>
        <c:majorTickMark val="out"/>
        <c:minorTickMark val="none"/>
        <c:tickLblPos val="nextTo"/>
        <c:crossAx val="143297920"/>
        <c:crosses val="autoZero"/>
        <c:crossBetween val="between"/>
        <c:majorUnit val="0.2"/>
      </c:valAx>
    </c:plotArea>
    <c:legend>
      <c:legendPos val="b"/>
      <c:layout>
        <c:manualLayout>
          <c:xMode val="edge"/>
          <c:yMode val="edge"/>
          <c:x val="7.8171830688346614E-2"/>
          <c:y val="0.6885223557581619"/>
          <c:w val="0.83952837164704253"/>
          <c:h val="0.18690349752792529"/>
        </c:manualLayout>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62489117803848171"/>
        </c:manualLayout>
      </c:layout>
      <c:barChart>
        <c:barDir val="bar"/>
        <c:grouping val="clustered"/>
        <c:varyColors val="0"/>
        <c:ser>
          <c:idx val="0"/>
          <c:order val="0"/>
          <c:tx>
            <c:strRef>
              <c:f>'minist pagal prior'!$M$66</c:f>
              <c:strCache>
                <c:ptCount val="1"/>
                <c:pt idx="0">
                  <c:v>Nepaskirta projektams</c:v>
                </c:pt>
              </c:strCache>
            </c:strRef>
          </c:tx>
          <c:spPr>
            <a:solidFill>
              <a:schemeClr val="bg1">
                <a:lumMod val="85000"/>
              </a:schemeClr>
            </a:solidFill>
            <a:ln w="38100">
              <a:solidFill>
                <a:schemeClr val="bg1">
                  <a:lumMod val="85000"/>
                </a:schemeClr>
              </a:solidFill>
            </a:ln>
          </c:spPr>
          <c:invertIfNegative val="0"/>
          <c:cat>
            <c:strRef>
              <c:f>'minist pagal prior'!$L$67:$L$69</c:f>
              <c:strCache>
                <c:ptCount val="3"/>
                <c:pt idx="0">
                  <c:v>SADM,JUI</c:v>
                </c:pt>
                <c:pt idx="1">
                  <c:v>SADM, ESF</c:v>
                </c:pt>
                <c:pt idx="2">
                  <c:v>SADM, ERPF</c:v>
                </c:pt>
              </c:strCache>
            </c:strRef>
          </c:cat>
          <c:val>
            <c:numRef>
              <c:f>'minist pagal prior'!$M$67:$M$69</c:f>
              <c:numCache>
                <c:formatCode>0%</c:formatCode>
                <c:ptCount val="3"/>
                <c:pt idx="0">
                  <c:v>1</c:v>
                </c:pt>
                <c:pt idx="1">
                  <c:v>1</c:v>
                </c:pt>
                <c:pt idx="2">
                  <c:v>1</c:v>
                </c:pt>
              </c:numCache>
            </c:numRef>
          </c:val>
        </c:ser>
        <c:ser>
          <c:idx val="2"/>
          <c:order val="1"/>
          <c:tx>
            <c:strRef>
              <c:f>'minist pagal prior'!$N$66</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prior'!$L$67:$L$69</c:f>
              <c:strCache>
                <c:ptCount val="3"/>
                <c:pt idx="0">
                  <c:v>SADM,JUI</c:v>
                </c:pt>
                <c:pt idx="1">
                  <c:v>SADM, ESF</c:v>
                </c:pt>
                <c:pt idx="2">
                  <c:v>SADM, ERPF</c:v>
                </c:pt>
              </c:strCache>
            </c:strRef>
          </c:cat>
          <c:val>
            <c:numRef>
              <c:f>'minist pagal prior'!$N$67:$N$69</c:f>
              <c:numCache>
                <c:formatCode>0%</c:formatCode>
                <c:ptCount val="3"/>
                <c:pt idx="0">
                  <c:v>0.99938801483187367</c:v>
                </c:pt>
                <c:pt idx="1">
                  <c:v>0.99321445540203324</c:v>
                </c:pt>
                <c:pt idx="2">
                  <c:v>0.98833504791012383</c:v>
                </c:pt>
              </c:numCache>
            </c:numRef>
          </c:val>
        </c:ser>
        <c:ser>
          <c:idx val="3"/>
          <c:order val="2"/>
          <c:tx>
            <c:strRef>
              <c:f>'minist pagal prior'!$O$66</c:f>
              <c:strCache>
                <c:ptCount val="1"/>
                <c:pt idx="0">
                  <c:v>Investuota projektuose</c:v>
                </c:pt>
              </c:strCache>
            </c:strRef>
          </c:tx>
          <c:spPr>
            <a:solidFill>
              <a:schemeClr val="accent3"/>
            </a:solidFill>
          </c:spPr>
          <c:invertIfNegative val="0"/>
          <c:dLbls>
            <c:dLbl>
              <c:idx val="0"/>
              <c:delete val="1"/>
            </c:dLbl>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prior'!$L$67:$L$69</c:f>
              <c:strCache>
                <c:ptCount val="3"/>
                <c:pt idx="0">
                  <c:v>SADM,JUI</c:v>
                </c:pt>
                <c:pt idx="1">
                  <c:v>SADM, ESF</c:v>
                </c:pt>
                <c:pt idx="2">
                  <c:v>SADM, ERPF</c:v>
                </c:pt>
              </c:strCache>
            </c:strRef>
          </c:cat>
          <c:val>
            <c:numRef>
              <c:f>'minist pagal prior'!$O$67:$O$69</c:f>
              <c:numCache>
                <c:formatCode>0%</c:formatCode>
                <c:ptCount val="3"/>
                <c:pt idx="0">
                  <c:v>0.99938801483187367</c:v>
                </c:pt>
                <c:pt idx="1">
                  <c:v>0.71114124903343934</c:v>
                </c:pt>
                <c:pt idx="2">
                  <c:v>4.372371564345584E-3</c:v>
                </c:pt>
              </c:numCache>
            </c:numRef>
          </c:val>
        </c:ser>
        <c:dLbls>
          <c:showLegendKey val="0"/>
          <c:showVal val="0"/>
          <c:showCatName val="0"/>
          <c:showSerName val="0"/>
          <c:showPercent val="0"/>
          <c:showBubbleSize val="0"/>
        </c:dLbls>
        <c:gapWidth val="217"/>
        <c:overlap val="100"/>
        <c:axId val="143395840"/>
        <c:axId val="143397632"/>
      </c:barChart>
      <c:catAx>
        <c:axId val="143395840"/>
        <c:scaling>
          <c:orientation val="minMax"/>
        </c:scaling>
        <c:delete val="0"/>
        <c:axPos val="l"/>
        <c:majorTickMark val="out"/>
        <c:minorTickMark val="none"/>
        <c:tickLblPos val="nextTo"/>
        <c:crossAx val="143397632"/>
        <c:crosses val="autoZero"/>
        <c:auto val="1"/>
        <c:lblAlgn val="ctr"/>
        <c:lblOffset val="100"/>
        <c:noMultiLvlLbl val="0"/>
      </c:catAx>
      <c:valAx>
        <c:axId val="143397632"/>
        <c:scaling>
          <c:orientation val="minMax"/>
          <c:max val="1"/>
        </c:scaling>
        <c:delete val="1"/>
        <c:axPos val="b"/>
        <c:majorGridlines/>
        <c:numFmt formatCode="0%" sourceLinked="1"/>
        <c:majorTickMark val="out"/>
        <c:minorTickMark val="none"/>
        <c:tickLblPos val="nextTo"/>
        <c:crossAx val="143395840"/>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'Įgyvendinimo grafikas'!$P$2</c:f>
              <c:strCache>
                <c:ptCount val="1"/>
                <c:pt idx="0">
                  <c:v>Projektams skirtos lėšos</c:v>
                </c:pt>
              </c:strCache>
            </c:strRef>
          </c:tx>
          <c:spPr>
            <a:solidFill>
              <a:schemeClr val="tx2">
                <a:lumMod val="60000"/>
                <a:lumOff val="40000"/>
              </a:schemeClr>
            </a:solidFill>
            <a:ln w="53975">
              <a:solidFill>
                <a:schemeClr val="tx2">
                  <a:lumMod val="60000"/>
                  <a:lumOff val="40000"/>
                </a:schemeClr>
              </a:solidFill>
            </a:ln>
          </c:spPr>
          <c:invertIfNegative val="0"/>
          <c:dPt>
            <c:idx val="10"/>
            <c:invertIfNegative val="0"/>
            <c:bubble3D val="0"/>
          </c:dPt>
          <c:dPt>
            <c:idx val="12"/>
            <c:invertIfNegative val="0"/>
            <c:bubble3D val="0"/>
          </c:dPt>
          <c:dPt>
            <c:idx val="13"/>
            <c:invertIfNegative val="0"/>
            <c:bubble3D val="0"/>
            <c:spPr>
              <a:solidFill>
                <a:schemeClr val="tx2">
                  <a:lumMod val="20000"/>
                  <a:lumOff val="80000"/>
                </a:schemeClr>
              </a:solidFill>
              <a:ln w="53975">
                <a:solidFill>
                  <a:schemeClr val="tx2">
                    <a:lumMod val="20000"/>
                    <a:lumOff val="80000"/>
                  </a:schemeClr>
                </a:solidFill>
              </a:ln>
            </c:spPr>
          </c:dPt>
          <c:dPt>
            <c:idx val="14"/>
            <c:invertIfNegative val="0"/>
            <c:bubble3D val="0"/>
          </c:dPt>
          <c:dPt>
            <c:idx val="15"/>
            <c:invertIfNegative val="0"/>
            <c:bubble3D val="0"/>
          </c:dPt>
          <c:dPt>
            <c:idx val="16"/>
            <c:invertIfNegative val="0"/>
            <c:bubble3D val="0"/>
          </c:dPt>
          <c:dPt>
            <c:idx val="17"/>
            <c:invertIfNegative val="0"/>
            <c:bubble3D val="0"/>
            <c:spPr>
              <a:solidFill>
                <a:schemeClr val="accent3"/>
              </a:solidFill>
              <a:ln w="53975">
                <a:solidFill>
                  <a:schemeClr val="accent3"/>
                </a:solidFill>
              </a:ln>
            </c:spPr>
          </c:dPt>
          <c:dPt>
            <c:idx val="20"/>
            <c:invertIfNegative val="0"/>
            <c:bubble3D val="0"/>
          </c:dPt>
          <c:dPt>
            <c:idx val="21"/>
            <c:invertIfNegative val="0"/>
            <c:bubble3D val="0"/>
          </c:dPt>
          <c:dPt>
            <c:idx val="22"/>
            <c:invertIfNegative val="0"/>
            <c:bubble3D val="0"/>
          </c:dPt>
          <c:dPt>
            <c:idx val="23"/>
            <c:invertIfNegative val="0"/>
            <c:bubble3D val="0"/>
          </c:dPt>
          <c:dPt>
            <c:idx val="25"/>
            <c:invertIfNegative val="0"/>
            <c:bubble3D val="0"/>
          </c:dPt>
          <c:dLbls>
            <c:txPr>
              <a:bodyPr/>
              <a:lstStyle/>
              <a:p>
                <a:pPr>
                  <a:defRPr b="1">
                    <a:solidFill>
                      <a:schemeClr val="bg1"/>
                    </a:solidFill>
                  </a:defRPr>
                </a:pPr>
                <a:endParaRPr lang="lt-LT"/>
              </a:p>
            </c:txPr>
            <c:dLblPos val="inEnd"/>
            <c:showLegendKey val="0"/>
            <c:showVal val="1"/>
            <c:showCatName val="0"/>
            <c:showSerName val="0"/>
            <c:showPercent val="0"/>
            <c:showBubbleSize val="0"/>
            <c:showLeaderLines val="0"/>
          </c:dLbls>
          <c:cat>
            <c:strRef>
              <c:f>'Įgyvendinimo grafikas'!$O$3:$O$31</c:f>
              <c:strCache>
                <c:ptCount val="29"/>
                <c:pt idx="0">
                  <c:v>Ispanija</c:v>
                </c:pt>
                <c:pt idx="1">
                  <c:v>D. Britanija</c:v>
                </c:pt>
                <c:pt idx="2">
                  <c:v>Estija</c:v>
                </c:pt>
                <c:pt idx="3">
                  <c:v>Italija</c:v>
                </c:pt>
                <c:pt idx="4">
                  <c:v>Čekija</c:v>
                </c:pt>
                <c:pt idx="5">
                  <c:v>Latvija</c:v>
                </c:pt>
                <c:pt idx="6">
                  <c:v>Švedija</c:v>
                </c:pt>
                <c:pt idx="7">
                  <c:v>Bulgarija</c:v>
                </c:pt>
                <c:pt idx="8">
                  <c:v>Lenkija</c:v>
                </c:pt>
                <c:pt idx="9">
                  <c:v>Slovėnija</c:v>
                </c:pt>
                <c:pt idx="10">
                  <c:v>Slovakija</c:v>
                </c:pt>
                <c:pt idx="11">
                  <c:v>Belgija</c:v>
                </c:pt>
                <c:pt idx="12">
                  <c:v>Danija</c:v>
                </c:pt>
                <c:pt idx="13">
                  <c:v>ES vidurkis</c:v>
                </c:pt>
                <c:pt idx="14">
                  <c:v>Vokietija</c:v>
                </c:pt>
                <c:pt idx="15">
                  <c:v>Suomija</c:v>
                </c:pt>
                <c:pt idx="16">
                  <c:v>Malta</c:v>
                </c:pt>
                <c:pt idx="17">
                  <c:v>Lietuva</c:v>
                </c:pt>
                <c:pt idx="18">
                  <c:v>Kipras</c:v>
                </c:pt>
                <c:pt idx="19">
                  <c:v>Prancūzija</c:v>
                </c:pt>
                <c:pt idx="20">
                  <c:v>Austrija</c:v>
                </c:pt>
                <c:pt idx="21">
                  <c:v>Vengrija</c:v>
                </c:pt>
                <c:pt idx="22">
                  <c:v>Graikija</c:v>
                </c:pt>
                <c:pt idx="23">
                  <c:v>Liuksemburgas</c:v>
                </c:pt>
                <c:pt idx="24">
                  <c:v>Airija</c:v>
                </c:pt>
                <c:pt idx="25">
                  <c:v>Portugalija</c:v>
                </c:pt>
                <c:pt idx="26">
                  <c:v>Kroatija</c:v>
                </c:pt>
                <c:pt idx="27">
                  <c:v>Rumunija</c:v>
                </c:pt>
                <c:pt idx="28">
                  <c:v>Nyderlandai</c:v>
                </c:pt>
              </c:strCache>
            </c:strRef>
          </c:cat>
          <c:val>
            <c:numRef>
              <c:f>'Įgyvendinimo grafikas'!$P$3:$P$31</c:f>
              <c:numCache>
                <c:formatCode>0%</c:formatCode>
                <c:ptCount val="29"/>
                <c:pt idx="0">
                  <c:v>0.83255917291545867</c:v>
                </c:pt>
                <c:pt idx="1">
                  <c:v>0.89035359510675449</c:v>
                </c:pt>
                <c:pt idx="2">
                  <c:v>0.89347346562499252</c:v>
                </c:pt>
                <c:pt idx="3">
                  <c:v>0.90183624506403459</c:v>
                </c:pt>
                <c:pt idx="4">
                  <c:v>0.89924245542591363</c:v>
                </c:pt>
                <c:pt idx="5">
                  <c:v>0.91527496129960273</c:v>
                </c:pt>
                <c:pt idx="6">
                  <c:v>0.91894530386180695</c:v>
                </c:pt>
                <c:pt idx="7">
                  <c:v>0.91962902145649583</c:v>
                </c:pt>
                <c:pt idx="8">
                  <c:v>0.93319779484962662</c:v>
                </c:pt>
                <c:pt idx="9">
                  <c:v>0.9286352067614434</c:v>
                </c:pt>
                <c:pt idx="10">
                  <c:v>0.94156716978536281</c:v>
                </c:pt>
                <c:pt idx="11">
                  <c:v>0.95548922052884622</c:v>
                </c:pt>
                <c:pt idx="12">
                  <c:v>0.95883121939465499</c:v>
                </c:pt>
                <c:pt idx="13">
                  <c:v>0.96975062030482673</c:v>
                </c:pt>
                <c:pt idx="14">
                  <c:v>0.9723855084688654</c:v>
                </c:pt>
                <c:pt idx="15">
                  <c:v>0.9657462944330939</c:v>
                </c:pt>
                <c:pt idx="16">
                  <c:v>0.9976236249515702</c:v>
                </c:pt>
                <c:pt idx="17">
                  <c:v>0.99908323831573542</c:v>
                </c:pt>
                <c:pt idx="18">
                  <c:v>1.0118883961554452</c:v>
                </c:pt>
                <c:pt idx="19">
                  <c:v>1.0249527307470165</c:v>
                </c:pt>
                <c:pt idx="20">
                  <c:v>1.0513922051882632</c:v>
                </c:pt>
                <c:pt idx="21">
                  <c:v>1.0613288371883431</c:v>
                </c:pt>
                <c:pt idx="22">
                  <c:v>1.0631518246478207</c:v>
                </c:pt>
                <c:pt idx="23">
                  <c:v>1.0572716983253478</c:v>
                </c:pt>
                <c:pt idx="24">
                  <c:v>1.0989894681276458</c:v>
                </c:pt>
                <c:pt idx="25">
                  <c:v>1.0977761925026186</c:v>
                </c:pt>
                <c:pt idx="26">
                  <c:v>1.1360894896077596</c:v>
                </c:pt>
                <c:pt idx="27">
                  <c:v>1.1814090073098893</c:v>
                </c:pt>
                <c:pt idx="28">
                  <c:v>1.1957360159835528</c:v>
                </c:pt>
              </c:numCache>
            </c:numRef>
          </c:val>
        </c:ser>
        <c:ser>
          <c:idx val="1"/>
          <c:order val="1"/>
          <c:tx>
            <c:strRef>
              <c:f>'Įgyvendinimo grafikas'!$Q$2</c:f>
              <c:strCache>
                <c:ptCount val="1"/>
                <c:pt idx="0">
                  <c:v>Pripažintos deklaruotinomis lėšos </c:v>
                </c:pt>
              </c:strCache>
            </c:strRef>
          </c:tx>
          <c:spPr>
            <a:solidFill>
              <a:schemeClr val="accent6"/>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'Įgyvendinimo grafikas'!$O$3:$O$31</c:f>
              <c:strCache>
                <c:ptCount val="29"/>
                <c:pt idx="0">
                  <c:v>Ispanija</c:v>
                </c:pt>
                <c:pt idx="1">
                  <c:v>D. Britanija</c:v>
                </c:pt>
                <c:pt idx="2">
                  <c:v>Estija</c:v>
                </c:pt>
                <c:pt idx="3">
                  <c:v>Italija</c:v>
                </c:pt>
                <c:pt idx="4">
                  <c:v>Čekija</c:v>
                </c:pt>
                <c:pt idx="5">
                  <c:v>Latvija</c:v>
                </c:pt>
                <c:pt idx="6">
                  <c:v>Švedija</c:v>
                </c:pt>
                <c:pt idx="7">
                  <c:v>Bulgarija</c:v>
                </c:pt>
                <c:pt idx="8">
                  <c:v>Lenkija</c:v>
                </c:pt>
                <c:pt idx="9">
                  <c:v>Slovėnija</c:v>
                </c:pt>
                <c:pt idx="10">
                  <c:v>Slovakija</c:v>
                </c:pt>
                <c:pt idx="11">
                  <c:v>Belgija</c:v>
                </c:pt>
                <c:pt idx="12">
                  <c:v>Danija</c:v>
                </c:pt>
                <c:pt idx="13">
                  <c:v>ES vidurkis</c:v>
                </c:pt>
                <c:pt idx="14">
                  <c:v>Vokietija</c:v>
                </c:pt>
                <c:pt idx="15">
                  <c:v>Suomija</c:v>
                </c:pt>
                <c:pt idx="16">
                  <c:v>Malta</c:v>
                </c:pt>
                <c:pt idx="17">
                  <c:v>Lietuva</c:v>
                </c:pt>
                <c:pt idx="18">
                  <c:v>Kipras</c:v>
                </c:pt>
                <c:pt idx="19">
                  <c:v>Prancūzija</c:v>
                </c:pt>
                <c:pt idx="20">
                  <c:v>Austrija</c:v>
                </c:pt>
                <c:pt idx="21">
                  <c:v>Vengrija</c:v>
                </c:pt>
                <c:pt idx="22">
                  <c:v>Graikija</c:v>
                </c:pt>
                <c:pt idx="23">
                  <c:v>Liuksemburgas</c:v>
                </c:pt>
                <c:pt idx="24">
                  <c:v>Airija</c:v>
                </c:pt>
                <c:pt idx="25">
                  <c:v>Portugalija</c:v>
                </c:pt>
                <c:pt idx="26">
                  <c:v>Kroatija</c:v>
                </c:pt>
                <c:pt idx="27">
                  <c:v>Rumunija</c:v>
                </c:pt>
                <c:pt idx="28">
                  <c:v>Nyderlandai</c:v>
                </c:pt>
              </c:strCache>
            </c:strRef>
          </c:cat>
          <c:val>
            <c:numRef>
              <c:f>'Įgyvendinimo grafikas'!$Q$3:$Q$31</c:f>
              <c:numCache>
                <c:formatCode>0%</c:formatCode>
                <c:ptCount val="29"/>
                <c:pt idx="0">
                  <c:v>0.2998158414796418</c:v>
                </c:pt>
                <c:pt idx="1">
                  <c:v>0.37624896784569717</c:v>
                </c:pt>
                <c:pt idx="2">
                  <c:v>0.52457952964940735</c:v>
                </c:pt>
                <c:pt idx="3">
                  <c:v>0.36431629770872292</c:v>
                </c:pt>
                <c:pt idx="4">
                  <c:v>0.45881100536888403</c:v>
                </c:pt>
                <c:pt idx="5">
                  <c:v>0.47495724385166904</c:v>
                </c:pt>
                <c:pt idx="6">
                  <c:v>0.49732598320628535</c:v>
                </c:pt>
                <c:pt idx="7">
                  <c:v>0.46744716738249636</c:v>
                </c:pt>
                <c:pt idx="8">
                  <c:v>0.45425531846384254</c:v>
                </c:pt>
                <c:pt idx="9">
                  <c:v>0.4590592729859958</c:v>
                </c:pt>
                <c:pt idx="10">
                  <c:v>0.34721278693217139</c:v>
                </c:pt>
                <c:pt idx="11">
                  <c:v>0.39247532865992812</c:v>
                </c:pt>
                <c:pt idx="12">
                  <c:v>0.42026625607655549</c:v>
                </c:pt>
                <c:pt idx="13">
                  <c:v>0.42612140140701088</c:v>
                </c:pt>
                <c:pt idx="14">
                  <c:v>0.50837217688154068</c:v>
                </c:pt>
                <c:pt idx="15">
                  <c:v>0.58730754088030912</c:v>
                </c:pt>
                <c:pt idx="16">
                  <c:v>0.50736665679895931</c:v>
                </c:pt>
                <c:pt idx="17">
                  <c:v>0.52431164399629637</c:v>
                </c:pt>
                <c:pt idx="18">
                  <c:v>0.4819075223467757</c:v>
                </c:pt>
                <c:pt idx="19">
                  <c:v>0.50004838851922973</c:v>
                </c:pt>
                <c:pt idx="20">
                  <c:v>0.45744915895499005</c:v>
                </c:pt>
                <c:pt idx="21">
                  <c:v>0.49512163788736263</c:v>
                </c:pt>
                <c:pt idx="22">
                  <c:v>0.35258330218122436</c:v>
                </c:pt>
                <c:pt idx="23">
                  <c:v>0.54841264801000333</c:v>
                </c:pt>
                <c:pt idx="24">
                  <c:v>0.42606471893834769</c:v>
                </c:pt>
                <c:pt idx="25">
                  <c:v>0.53710462625875033</c:v>
                </c:pt>
                <c:pt idx="26">
                  <c:v>0.35695369707121982</c:v>
                </c:pt>
                <c:pt idx="27">
                  <c:v>0.31479296180231531</c:v>
                </c:pt>
                <c:pt idx="28">
                  <c:v>0.59944140601754337</c:v>
                </c:pt>
              </c:numCache>
            </c:numRef>
          </c:val>
        </c:ser>
        <c:dLbls>
          <c:showLegendKey val="0"/>
          <c:showVal val="0"/>
          <c:showCatName val="0"/>
          <c:showSerName val="0"/>
          <c:showPercent val="0"/>
          <c:showBubbleSize val="0"/>
        </c:dLbls>
        <c:gapWidth val="150"/>
        <c:overlap val="100"/>
        <c:axId val="127799296"/>
        <c:axId val="127800832"/>
      </c:barChart>
      <c:catAx>
        <c:axId val="127799296"/>
        <c:scaling>
          <c:orientation val="minMax"/>
        </c:scaling>
        <c:delete val="0"/>
        <c:axPos val="l"/>
        <c:numFmt formatCode="0%" sourceLinked="1"/>
        <c:majorTickMark val="out"/>
        <c:minorTickMark val="none"/>
        <c:tickLblPos val="nextTo"/>
        <c:txPr>
          <a:bodyPr/>
          <a:lstStyle/>
          <a:p>
            <a:pPr>
              <a:defRPr sz="900" baseline="0"/>
            </a:pPr>
            <a:endParaRPr lang="lt-LT"/>
          </a:p>
        </c:txPr>
        <c:crossAx val="127800832"/>
        <c:crossesAt val="0"/>
        <c:auto val="1"/>
        <c:lblAlgn val="ctr"/>
        <c:lblOffset val="100"/>
        <c:noMultiLvlLbl val="0"/>
      </c:catAx>
      <c:valAx>
        <c:axId val="127800832"/>
        <c:scaling>
          <c:orientation val="minMax"/>
          <c:max val="1.2"/>
          <c:min val="0"/>
        </c:scaling>
        <c:delete val="0"/>
        <c:axPos val="b"/>
        <c:majorGridlines>
          <c:spPr>
            <a:ln>
              <a:solidFill>
                <a:schemeClr val="accent1"/>
              </a:solidFill>
            </a:ln>
          </c:spPr>
        </c:majorGridlines>
        <c:numFmt formatCode="0%" sourceLinked="1"/>
        <c:majorTickMark val="out"/>
        <c:minorTickMark val="none"/>
        <c:tickLblPos val="nextTo"/>
        <c:crossAx val="127799296"/>
        <c:crosses val="autoZero"/>
        <c:crossBetween val="between"/>
        <c:majorUnit val="0.2"/>
      </c:valAx>
      <c:spPr>
        <a:noFill/>
      </c:spPr>
    </c:plotArea>
    <c:legend>
      <c:legendPos val="b"/>
      <c:layou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7262175561388162"/>
        </c:manualLayout>
      </c:layout>
      <c:barChart>
        <c:barDir val="bar"/>
        <c:grouping val="clustered"/>
        <c:varyColors val="0"/>
        <c:ser>
          <c:idx val="0"/>
          <c:order val="0"/>
          <c:tx>
            <c:strRef>
              <c:f>'[2020 m. III ketv. finans duom.xlsx]minist pagal prior'!$M$76</c:f>
              <c:strCache>
                <c:ptCount val="1"/>
                <c:pt idx="0">
                  <c:v>Nepaskirta projektams</c:v>
                </c:pt>
              </c:strCache>
            </c:strRef>
          </c:tx>
          <c:spPr>
            <a:solidFill>
              <a:schemeClr val="bg1">
                <a:lumMod val="85000"/>
              </a:schemeClr>
            </a:solidFill>
            <a:ln w="38100">
              <a:noFill/>
            </a:ln>
          </c:spPr>
          <c:invertIfNegative val="0"/>
          <c:dLbls>
            <c:dLbl>
              <c:idx val="1"/>
              <c:tx>
                <c:rich>
                  <a:bodyPr/>
                  <a:lstStyle/>
                  <a:p>
                    <a:r>
                      <a:rPr lang="en-US"/>
                      <a:t>12%</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 m. III ketv. finans duom.xlsx]minist pagal prior'!$L$78</c:f>
              <c:strCache>
                <c:ptCount val="1"/>
                <c:pt idx="0">
                  <c:v>VRM, ERPF</c:v>
                </c:pt>
              </c:strCache>
            </c:strRef>
          </c:cat>
          <c:val>
            <c:numRef>
              <c:f>'[2020 m. III ketv. finans duom.xlsx]minist pagal prior'!$M$78</c:f>
              <c:numCache>
                <c:formatCode>0%</c:formatCode>
                <c:ptCount val="1"/>
                <c:pt idx="0">
                  <c:v>1</c:v>
                </c:pt>
              </c:numCache>
            </c:numRef>
          </c:val>
        </c:ser>
        <c:ser>
          <c:idx val="2"/>
          <c:order val="1"/>
          <c:tx>
            <c:strRef>
              <c:f>'[2020 m. III ketv. finans duom.xlsx]minist pagal prior'!$N$76</c:f>
              <c:strCache>
                <c:ptCount val="1"/>
                <c:pt idx="0">
                  <c:v>Sudaryta sutarčių</c:v>
                </c:pt>
              </c:strCache>
            </c:strRef>
          </c:tx>
          <c:spPr>
            <a:solidFill>
              <a:schemeClr val="accent1"/>
            </a:solidFill>
            <a:ln w="50800">
              <a:solidFill>
                <a:schemeClr val="accent1"/>
              </a:solid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'[2020 m. III ketv. finans duom.xlsx]minist pagal prior'!$L$78</c:f>
              <c:strCache>
                <c:ptCount val="1"/>
                <c:pt idx="0">
                  <c:v>VRM, ERPF</c:v>
                </c:pt>
              </c:strCache>
            </c:strRef>
          </c:cat>
          <c:val>
            <c:numRef>
              <c:f>'[2020 m. III ketv. finans duom.xlsx]minist pagal prior'!$N$78</c:f>
              <c:numCache>
                <c:formatCode>0%</c:formatCode>
                <c:ptCount val="1"/>
                <c:pt idx="0">
                  <c:v>0.88117754695592654</c:v>
                </c:pt>
              </c:numCache>
            </c:numRef>
          </c:val>
        </c:ser>
        <c:ser>
          <c:idx val="3"/>
          <c:order val="2"/>
          <c:tx>
            <c:strRef>
              <c:f>'[2020 m. III ketv. finans duom.xlsx]minist pagal prior'!$O$76</c:f>
              <c:strCache>
                <c:ptCount val="1"/>
                <c:pt idx="0">
                  <c:v>Investuota projektuose</c:v>
                </c:pt>
              </c:strCache>
            </c:strRef>
          </c:tx>
          <c:spPr>
            <a:solidFill>
              <a:schemeClr val="accent3"/>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'[2020 m. III ketv. finans duom.xlsx]minist pagal prior'!$L$78</c:f>
              <c:strCache>
                <c:ptCount val="1"/>
                <c:pt idx="0">
                  <c:v>VRM, ERPF</c:v>
                </c:pt>
              </c:strCache>
            </c:strRef>
          </c:cat>
          <c:val>
            <c:numRef>
              <c:f>'[2020 m. III ketv. finans duom.xlsx]minist pagal prior'!$O$78</c:f>
              <c:numCache>
                <c:formatCode>0%</c:formatCode>
                <c:ptCount val="1"/>
                <c:pt idx="0">
                  <c:v>0.51571275052448284</c:v>
                </c:pt>
              </c:numCache>
            </c:numRef>
          </c:val>
        </c:ser>
        <c:dLbls>
          <c:showLegendKey val="0"/>
          <c:showVal val="0"/>
          <c:showCatName val="0"/>
          <c:showSerName val="0"/>
          <c:showPercent val="0"/>
          <c:showBubbleSize val="0"/>
        </c:dLbls>
        <c:gapWidth val="217"/>
        <c:overlap val="100"/>
        <c:axId val="143456896"/>
        <c:axId val="143470976"/>
      </c:barChart>
      <c:catAx>
        <c:axId val="143456896"/>
        <c:scaling>
          <c:orientation val="minMax"/>
        </c:scaling>
        <c:delete val="0"/>
        <c:axPos val="l"/>
        <c:numFmt formatCode="General" sourceLinked="0"/>
        <c:majorTickMark val="out"/>
        <c:minorTickMark val="none"/>
        <c:tickLblPos val="nextTo"/>
        <c:crossAx val="143470976"/>
        <c:crosses val="autoZero"/>
        <c:auto val="1"/>
        <c:lblAlgn val="ctr"/>
        <c:lblOffset val="100"/>
        <c:noMultiLvlLbl val="0"/>
      </c:catAx>
      <c:valAx>
        <c:axId val="143470976"/>
        <c:scaling>
          <c:orientation val="minMax"/>
          <c:max val="1"/>
        </c:scaling>
        <c:delete val="1"/>
        <c:axPos val="b"/>
        <c:majorGridlines/>
        <c:numFmt formatCode="0%" sourceLinked="1"/>
        <c:majorTickMark val="out"/>
        <c:minorTickMark val="none"/>
        <c:tickLblPos val="nextTo"/>
        <c:crossAx val="143456896"/>
        <c:crosses val="autoZero"/>
        <c:crossBetween val="between"/>
        <c:majorUnit val="0.2"/>
      </c:valAx>
    </c:plotArea>
    <c:legend>
      <c:legendPos val="b"/>
      <c:layout>
        <c:manualLayout>
          <c:xMode val="edge"/>
          <c:yMode val="edge"/>
          <c:x val="7.8171763413294265E-2"/>
          <c:y val="0.70801399825021871"/>
          <c:w val="0.83952837164704253"/>
          <c:h val="0.18690349752792529"/>
        </c:manualLayout>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9703721563736991"/>
        </c:manualLayout>
      </c:layout>
      <c:barChart>
        <c:barDir val="bar"/>
        <c:grouping val="clustered"/>
        <c:varyColors val="0"/>
        <c:ser>
          <c:idx val="0"/>
          <c:order val="0"/>
          <c:tx>
            <c:strRef>
              <c:f>'minist pagal prior'!$M$77</c:f>
              <c:strCache>
                <c:ptCount val="1"/>
                <c:pt idx="0">
                  <c:v>Nepaskirta projektams</c:v>
                </c:pt>
              </c:strCache>
            </c:strRef>
          </c:tx>
          <c:spPr>
            <a:solidFill>
              <a:schemeClr val="bg1">
                <a:lumMod val="85000"/>
              </a:schemeClr>
            </a:solidFill>
            <a:ln w="38100">
              <a:noFill/>
            </a:ln>
          </c:spPr>
          <c:invertIfNegative val="0"/>
          <c:dLbls>
            <c:dLbl>
              <c:idx val="0"/>
              <c:layout>
                <c:manualLayout>
                  <c:x val="-2.3075335397316821E-2"/>
                  <c:y val="0"/>
                </c:manualLayout>
              </c:layout>
              <c:tx>
                <c:rich>
                  <a:bodyPr/>
                  <a:lstStyle/>
                  <a:p>
                    <a:r>
                      <a:rPr lang="lt-LT">
                        <a:solidFill>
                          <a:schemeClr val="tx1">
                            <a:lumMod val="50000"/>
                            <a:lumOff val="50000"/>
                          </a:schemeClr>
                        </a:solidFill>
                      </a:rPr>
                      <a:t>2</a:t>
                    </a:r>
                    <a:r>
                      <a:rPr lang="en-US">
                        <a:solidFill>
                          <a:schemeClr val="tx1">
                            <a:lumMod val="50000"/>
                            <a:lumOff val="50000"/>
                          </a:schemeClr>
                        </a:solidFill>
                      </a:rPr>
                      <a:t>%</a:t>
                    </a:r>
                    <a:endParaRPr lang="en-US"/>
                  </a:p>
                </c:rich>
              </c:tx>
              <c:dLblPos val="outEnd"/>
              <c:showLegendKey val="0"/>
              <c:showVal val="1"/>
              <c:showCatName val="0"/>
              <c:showSerName val="0"/>
              <c:showPercent val="0"/>
              <c:showBubbleSize val="0"/>
            </c:dLbl>
            <c:dLbl>
              <c:idx val="1"/>
              <c:layout/>
              <c:tx>
                <c:rich>
                  <a:bodyPr/>
                  <a:lstStyle/>
                  <a:p>
                    <a:r>
                      <a:rPr lang="lt-LT">
                        <a:solidFill>
                          <a:schemeClr val="tx1">
                            <a:lumMod val="50000"/>
                            <a:lumOff val="50000"/>
                          </a:schemeClr>
                        </a:solidFill>
                      </a:rPr>
                      <a:t>30</a:t>
                    </a:r>
                    <a:r>
                      <a:rPr lang="en-US">
                        <a:solidFill>
                          <a:schemeClr val="tx1">
                            <a:lumMod val="50000"/>
                            <a:lumOff val="50000"/>
                          </a:schemeClr>
                        </a:solidFill>
                      </a:rPr>
                      <a:t>%</a:t>
                    </a:r>
                    <a:endParaRPr lang="en-US"/>
                  </a:p>
                </c:rich>
              </c:tx>
              <c:dLblPos val="inEnd"/>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prior'!$L$78:$L$79</c:f>
              <c:strCache>
                <c:ptCount val="2"/>
                <c:pt idx="0">
                  <c:v>SADM, ESF</c:v>
                </c:pt>
                <c:pt idx="1">
                  <c:v>SADM, ERPF</c:v>
                </c:pt>
              </c:strCache>
            </c:strRef>
          </c:cat>
          <c:val>
            <c:numRef>
              <c:f>'minist pagal prior'!$M$78:$M$79</c:f>
              <c:numCache>
                <c:formatCode>0%</c:formatCode>
                <c:ptCount val="2"/>
                <c:pt idx="0">
                  <c:v>1</c:v>
                </c:pt>
                <c:pt idx="1">
                  <c:v>1</c:v>
                </c:pt>
              </c:numCache>
            </c:numRef>
          </c:val>
        </c:ser>
        <c:ser>
          <c:idx val="2"/>
          <c:order val="1"/>
          <c:tx>
            <c:strRef>
              <c:f>'minist pagal prior'!$N$77</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prior'!$L$78:$L$79</c:f>
              <c:strCache>
                <c:ptCount val="2"/>
                <c:pt idx="0">
                  <c:v>SADM, ESF</c:v>
                </c:pt>
                <c:pt idx="1">
                  <c:v>SADM, ERPF</c:v>
                </c:pt>
              </c:strCache>
            </c:strRef>
          </c:cat>
          <c:val>
            <c:numRef>
              <c:f>'minist pagal prior'!$N$78:$N$79</c:f>
              <c:numCache>
                <c:formatCode>0%</c:formatCode>
                <c:ptCount val="2"/>
                <c:pt idx="0">
                  <c:v>0.99422830185471356</c:v>
                </c:pt>
                <c:pt idx="1">
                  <c:v>0.70452152921788402</c:v>
                </c:pt>
              </c:numCache>
            </c:numRef>
          </c:val>
        </c:ser>
        <c:ser>
          <c:idx val="3"/>
          <c:order val="2"/>
          <c:tx>
            <c:strRef>
              <c:f>'minist pagal prior'!$O$77</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prior'!$L$78:$L$79</c:f>
              <c:strCache>
                <c:ptCount val="2"/>
                <c:pt idx="0">
                  <c:v>SADM, ESF</c:v>
                </c:pt>
                <c:pt idx="1">
                  <c:v>SADM, ERPF</c:v>
                </c:pt>
              </c:strCache>
            </c:strRef>
          </c:cat>
          <c:val>
            <c:numRef>
              <c:f>'minist pagal prior'!$O$78:$O$79</c:f>
              <c:numCache>
                <c:formatCode>0%</c:formatCode>
                <c:ptCount val="2"/>
                <c:pt idx="0">
                  <c:v>0.68532234688075944</c:v>
                </c:pt>
                <c:pt idx="1">
                  <c:v>0.48046859918804546</c:v>
                </c:pt>
              </c:numCache>
            </c:numRef>
          </c:val>
        </c:ser>
        <c:dLbls>
          <c:showLegendKey val="0"/>
          <c:showVal val="0"/>
          <c:showCatName val="0"/>
          <c:showSerName val="0"/>
          <c:showPercent val="0"/>
          <c:showBubbleSize val="0"/>
        </c:dLbls>
        <c:gapWidth val="217"/>
        <c:overlap val="100"/>
        <c:axId val="143506816"/>
        <c:axId val="143508608"/>
      </c:barChart>
      <c:catAx>
        <c:axId val="143506816"/>
        <c:scaling>
          <c:orientation val="minMax"/>
        </c:scaling>
        <c:delete val="0"/>
        <c:axPos val="l"/>
        <c:majorTickMark val="out"/>
        <c:minorTickMark val="none"/>
        <c:tickLblPos val="nextTo"/>
        <c:crossAx val="143508608"/>
        <c:crosses val="autoZero"/>
        <c:auto val="1"/>
        <c:lblAlgn val="ctr"/>
        <c:lblOffset val="100"/>
        <c:noMultiLvlLbl val="0"/>
      </c:catAx>
      <c:valAx>
        <c:axId val="143508608"/>
        <c:scaling>
          <c:orientation val="minMax"/>
          <c:max val="1"/>
        </c:scaling>
        <c:delete val="1"/>
        <c:axPos val="b"/>
        <c:majorGridlines/>
        <c:numFmt formatCode="0%" sourceLinked="1"/>
        <c:majorTickMark val="out"/>
        <c:minorTickMark val="none"/>
        <c:tickLblPos val="nextTo"/>
        <c:crossAx val="143506816"/>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9703721563736991"/>
        </c:manualLayout>
      </c:layout>
      <c:barChart>
        <c:barDir val="bar"/>
        <c:grouping val="clustered"/>
        <c:varyColors val="0"/>
        <c:ser>
          <c:idx val="0"/>
          <c:order val="0"/>
          <c:tx>
            <c:strRef>
              <c:f>'minist pagal prior'!$M$82</c:f>
              <c:strCache>
                <c:ptCount val="1"/>
                <c:pt idx="0">
                  <c:v>Nepaskirta projektams</c:v>
                </c:pt>
              </c:strCache>
            </c:strRef>
          </c:tx>
          <c:spPr>
            <a:solidFill>
              <a:schemeClr val="bg1">
                <a:lumMod val="85000"/>
              </a:schemeClr>
            </a:solidFill>
            <a:ln w="38100">
              <a:noFill/>
            </a:ln>
          </c:spPr>
          <c:invertIfNegative val="0"/>
          <c:dLbls>
            <c:dLbl>
              <c:idx val="0"/>
              <c:layout>
                <c:manualLayout>
                  <c:x val="-3.3395252837977299E-2"/>
                  <c:y val="0"/>
                </c:manualLayout>
              </c:layout>
              <c:tx>
                <c:rich>
                  <a:bodyPr/>
                  <a:lstStyle/>
                  <a:p>
                    <a:r>
                      <a:rPr lang="lt-LT">
                        <a:solidFill>
                          <a:schemeClr val="tx1">
                            <a:lumMod val="50000"/>
                            <a:lumOff val="50000"/>
                          </a:schemeClr>
                        </a:solidFill>
                      </a:rPr>
                      <a:t>43</a:t>
                    </a:r>
                    <a:r>
                      <a:rPr lang="en-US">
                        <a:solidFill>
                          <a:schemeClr val="tx1">
                            <a:lumMod val="50000"/>
                            <a:lumOff val="50000"/>
                          </a:schemeClr>
                        </a:solidFill>
                      </a:rPr>
                      <a:t>%</a:t>
                    </a:r>
                    <a:endParaRPr lang="en-US"/>
                  </a:p>
                </c:rich>
              </c:tx>
              <c:dLblPos val="outEnd"/>
              <c:showLegendKey val="0"/>
              <c:showVal val="1"/>
              <c:showCatName val="0"/>
              <c:showSerName val="0"/>
              <c:showPercent val="0"/>
              <c:showBubbleSize val="0"/>
            </c:dLbl>
            <c:dLbl>
              <c:idx val="1"/>
              <c:layout/>
              <c:tx>
                <c:rich>
                  <a:bodyPr/>
                  <a:lstStyle/>
                  <a:p>
                    <a:r>
                      <a:rPr lang="lt-LT">
                        <a:solidFill>
                          <a:schemeClr val="tx1">
                            <a:lumMod val="50000"/>
                            <a:lumOff val="50000"/>
                          </a:schemeClr>
                        </a:solidFill>
                      </a:rPr>
                      <a:t>7</a:t>
                    </a:r>
                    <a:r>
                      <a:rPr lang="en-US">
                        <a:solidFill>
                          <a:schemeClr val="tx1">
                            <a:lumMod val="50000"/>
                            <a:lumOff val="50000"/>
                          </a:schemeClr>
                        </a:solidFill>
                      </a:rPr>
                      <a:t>%</a:t>
                    </a:r>
                    <a:endParaRPr lang="en-US"/>
                  </a:p>
                </c:rich>
              </c:tx>
              <c:dLblPos val="inEnd"/>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prior'!$L$83:$L$84</c:f>
              <c:strCache>
                <c:ptCount val="2"/>
                <c:pt idx="0">
                  <c:v>SAM, ESF</c:v>
                </c:pt>
                <c:pt idx="1">
                  <c:v>SAM, ERPF</c:v>
                </c:pt>
              </c:strCache>
            </c:strRef>
          </c:cat>
          <c:val>
            <c:numRef>
              <c:f>'minist pagal prior'!$M$83:$M$84</c:f>
              <c:numCache>
                <c:formatCode>0%</c:formatCode>
                <c:ptCount val="2"/>
                <c:pt idx="0">
                  <c:v>1</c:v>
                </c:pt>
                <c:pt idx="1">
                  <c:v>1</c:v>
                </c:pt>
              </c:numCache>
            </c:numRef>
          </c:val>
        </c:ser>
        <c:ser>
          <c:idx val="2"/>
          <c:order val="1"/>
          <c:tx>
            <c:strRef>
              <c:f>'minist pagal prior'!$N$82</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prior'!$L$83:$L$84</c:f>
              <c:strCache>
                <c:ptCount val="2"/>
                <c:pt idx="0">
                  <c:v>SAM, ESF</c:v>
                </c:pt>
                <c:pt idx="1">
                  <c:v>SAM, ERPF</c:v>
                </c:pt>
              </c:strCache>
            </c:strRef>
          </c:cat>
          <c:val>
            <c:numRef>
              <c:f>'minist pagal prior'!$N$83:$N$84</c:f>
              <c:numCache>
                <c:formatCode>0%</c:formatCode>
                <c:ptCount val="2"/>
                <c:pt idx="0">
                  <c:v>0.96898151862669668</c:v>
                </c:pt>
                <c:pt idx="1">
                  <c:v>0.92905695948253697</c:v>
                </c:pt>
              </c:numCache>
            </c:numRef>
          </c:val>
        </c:ser>
        <c:ser>
          <c:idx val="3"/>
          <c:order val="2"/>
          <c:tx>
            <c:strRef>
              <c:f>'minist pagal prior'!$O$82</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prior'!$L$83:$L$84</c:f>
              <c:strCache>
                <c:ptCount val="2"/>
                <c:pt idx="0">
                  <c:v>SAM, ESF</c:v>
                </c:pt>
                <c:pt idx="1">
                  <c:v>SAM, ERPF</c:v>
                </c:pt>
              </c:strCache>
            </c:strRef>
          </c:cat>
          <c:val>
            <c:numRef>
              <c:f>'minist pagal prior'!$O$83:$O$84</c:f>
              <c:numCache>
                <c:formatCode>0%</c:formatCode>
                <c:ptCount val="2"/>
                <c:pt idx="0">
                  <c:v>0.29001618888926833</c:v>
                </c:pt>
                <c:pt idx="1">
                  <c:v>0.51343566740006819</c:v>
                </c:pt>
              </c:numCache>
            </c:numRef>
          </c:val>
        </c:ser>
        <c:dLbls>
          <c:showLegendKey val="0"/>
          <c:showVal val="0"/>
          <c:showCatName val="0"/>
          <c:showSerName val="0"/>
          <c:showPercent val="0"/>
          <c:showBubbleSize val="0"/>
        </c:dLbls>
        <c:gapWidth val="217"/>
        <c:overlap val="100"/>
        <c:axId val="143547776"/>
        <c:axId val="143570048"/>
      </c:barChart>
      <c:catAx>
        <c:axId val="143547776"/>
        <c:scaling>
          <c:orientation val="minMax"/>
        </c:scaling>
        <c:delete val="0"/>
        <c:axPos val="l"/>
        <c:majorTickMark val="out"/>
        <c:minorTickMark val="none"/>
        <c:tickLblPos val="nextTo"/>
        <c:crossAx val="143570048"/>
        <c:crosses val="autoZero"/>
        <c:auto val="1"/>
        <c:lblAlgn val="ctr"/>
        <c:lblOffset val="100"/>
        <c:noMultiLvlLbl val="0"/>
      </c:catAx>
      <c:valAx>
        <c:axId val="143570048"/>
        <c:scaling>
          <c:orientation val="minMax"/>
          <c:max val="1"/>
        </c:scaling>
        <c:delete val="1"/>
        <c:axPos val="b"/>
        <c:majorGridlines/>
        <c:numFmt formatCode="0%" sourceLinked="1"/>
        <c:majorTickMark val="out"/>
        <c:minorTickMark val="none"/>
        <c:tickLblPos val="nextTo"/>
        <c:crossAx val="143547776"/>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9703721563736991"/>
        </c:manualLayout>
      </c:layout>
      <c:barChart>
        <c:barDir val="bar"/>
        <c:grouping val="clustered"/>
        <c:varyColors val="0"/>
        <c:ser>
          <c:idx val="0"/>
          <c:order val="0"/>
          <c:tx>
            <c:strRef>
              <c:f>'minist pagal prior'!$M$91</c:f>
              <c:strCache>
                <c:ptCount val="1"/>
                <c:pt idx="0">
                  <c:v>Nepaskirta projektams</c:v>
                </c:pt>
              </c:strCache>
            </c:strRef>
          </c:tx>
          <c:spPr>
            <a:solidFill>
              <a:schemeClr val="bg1">
                <a:lumMod val="85000"/>
              </a:schemeClr>
            </a:solidFill>
            <a:ln w="38100">
              <a:noFill/>
            </a:ln>
          </c:spPr>
          <c:invertIfNegative val="0"/>
          <c:dLbls>
            <c:dLbl>
              <c:idx val="0"/>
              <c:layout>
                <c:manualLayout>
                  <c:x val="-4.371517027863777E-2"/>
                  <c:y val="1.6877637130801686E-2"/>
                </c:manualLayout>
              </c:layout>
              <c:tx>
                <c:rich>
                  <a:bodyPr/>
                  <a:lstStyle/>
                  <a:p>
                    <a:r>
                      <a:rPr lang="lt-LT">
                        <a:solidFill>
                          <a:schemeClr val="tx1">
                            <a:lumMod val="50000"/>
                            <a:lumOff val="50000"/>
                          </a:schemeClr>
                        </a:solidFill>
                      </a:rPr>
                      <a:t>17</a:t>
                    </a:r>
                    <a:r>
                      <a:rPr lang="en-US">
                        <a:solidFill>
                          <a:schemeClr val="tx1">
                            <a:lumMod val="50000"/>
                            <a:lumOff val="50000"/>
                          </a:schemeClr>
                        </a:solidFill>
                      </a:rPr>
                      <a:t>%</a:t>
                    </a:r>
                    <a:endParaRPr lang="en-US"/>
                  </a:p>
                </c:rich>
              </c:tx>
              <c:dLblPos val="outEnd"/>
              <c:showLegendKey val="0"/>
              <c:showVal val="1"/>
              <c:showCatName val="0"/>
              <c:showSerName val="0"/>
              <c:showPercent val="0"/>
              <c:showBubbleSize val="0"/>
            </c:dLbl>
            <c:dLbl>
              <c:idx val="1"/>
              <c:delete val="1"/>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prior'!$L$92:$L$93</c:f>
              <c:strCache>
                <c:ptCount val="2"/>
                <c:pt idx="0">
                  <c:v>VRM, ESF</c:v>
                </c:pt>
                <c:pt idx="1">
                  <c:v>VRM, ERPF</c:v>
                </c:pt>
              </c:strCache>
            </c:strRef>
          </c:cat>
          <c:val>
            <c:numRef>
              <c:f>'minist pagal prior'!$M$92:$M$93</c:f>
              <c:numCache>
                <c:formatCode>0%</c:formatCode>
                <c:ptCount val="2"/>
                <c:pt idx="0">
                  <c:v>1</c:v>
                </c:pt>
                <c:pt idx="1">
                  <c:v>1</c:v>
                </c:pt>
              </c:numCache>
            </c:numRef>
          </c:val>
        </c:ser>
        <c:ser>
          <c:idx val="2"/>
          <c:order val="1"/>
          <c:tx>
            <c:strRef>
              <c:f>'minist pagal prior'!$N$91</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prior'!$L$92:$L$93</c:f>
              <c:strCache>
                <c:ptCount val="2"/>
                <c:pt idx="0">
                  <c:v>VRM, ESF</c:v>
                </c:pt>
                <c:pt idx="1">
                  <c:v>VRM, ERPF</c:v>
                </c:pt>
              </c:strCache>
            </c:strRef>
          </c:cat>
          <c:val>
            <c:numRef>
              <c:f>'minist pagal prior'!$N$92:$N$93</c:f>
              <c:numCache>
                <c:formatCode>0%</c:formatCode>
                <c:ptCount val="2"/>
                <c:pt idx="0">
                  <c:v>0.83142527498010266</c:v>
                </c:pt>
                <c:pt idx="1">
                  <c:v>1.0431627911901062</c:v>
                </c:pt>
              </c:numCache>
            </c:numRef>
          </c:val>
        </c:ser>
        <c:ser>
          <c:idx val="3"/>
          <c:order val="2"/>
          <c:tx>
            <c:strRef>
              <c:f>'minist pagal prior'!$O$91</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prior'!$L$92:$L$93</c:f>
              <c:strCache>
                <c:ptCount val="2"/>
                <c:pt idx="0">
                  <c:v>VRM, ESF</c:v>
                </c:pt>
                <c:pt idx="1">
                  <c:v>VRM, ERPF</c:v>
                </c:pt>
              </c:strCache>
            </c:strRef>
          </c:cat>
          <c:val>
            <c:numRef>
              <c:f>'minist pagal prior'!$O$92:$O$93</c:f>
              <c:numCache>
                <c:formatCode>0%</c:formatCode>
                <c:ptCount val="2"/>
                <c:pt idx="0">
                  <c:v>0.4968022092723503</c:v>
                </c:pt>
                <c:pt idx="1">
                  <c:v>0.76513961365560867</c:v>
                </c:pt>
              </c:numCache>
            </c:numRef>
          </c:val>
        </c:ser>
        <c:dLbls>
          <c:showLegendKey val="0"/>
          <c:showVal val="0"/>
          <c:showCatName val="0"/>
          <c:showSerName val="0"/>
          <c:showPercent val="0"/>
          <c:showBubbleSize val="0"/>
        </c:dLbls>
        <c:gapWidth val="217"/>
        <c:overlap val="100"/>
        <c:axId val="143588736"/>
        <c:axId val="142484608"/>
      </c:barChart>
      <c:catAx>
        <c:axId val="143588736"/>
        <c:scaling>
          <c:orientation val="minMax"/>
        </c:scaling>
        <c:delete val="0"/>
        <c:axPos val="l"/>
        <c:majorTickMark val="out"/>
        <c:minorTickMark val="none"/>
        <c:tickLblPos val="nextTo"/>
        <c:crossAx val="142484608"/>
        <c:crosses val="autoZero"/>
        <c:auto val="1"/>
        <c:lblAlgn val="ctr"/>
        <c:lblOffset val="100"/>
        <c:noMultiLvlLbl val="0"/>
      </c:catAx>
      <c:valAx>
        <c:axId val="142484608"/>
        <c:scaling>
          <c:orientation val="minMax"/>
          <c:max val="1"/>
        </c:scaling>
        <c:delete val="1"/>
        <c:axPos val="b"/>
        <c:majorGridlines/>
        <c:numFmt formatCode="0%" sourceLinked="1"/>
        <c:majorTickMark val="out"/>
        <c:minorTickMark val="none"/>
        <c:tickLblPos val="nextTo"/>
        <c:crossAx val="143588736"/>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9703721563736991"/>
        </c:manualLayout>
      </c:layout>
      <c:barChart>
        <c:barDir val="bar"/>
        <c:grouping val="clustered"/>
        <c:varyColors val="0"/>
        <c:ser>
          <c:idx val="0"/>
          <c:order val="0"/>
          <c:tx>
            <c:strRef>
              <c:f>'minist pagal prior'!$M$96</c:f>
              <c:strCache>
                <c:ptCount val="1"/>
                <c:pt idx="0">
                  <c:v>Nepaskirta projektams</c:v>
                </c:pt>
              </c:strCache>
            </c:strRef>
          </c:tx>
          <c:spPr>
            <a:solidFill>
              <a:schemeClr val="bg1">
                <a:lumMod val="85000"/>
              </a:schemeClr>
            </a:solidFill>
            <a:ln w="38100">
              <a:solidFill>
                <a:schemeClr val="bg1">
                  <a:lumMod val="85000"/>
                </a:schemeClr>
              </a:solidFill>
            </a:ln>
          </c:spPr>
          <c:invertIfNegative val="0"/>
          <c:dLbls>
            <c:dLbl>
              <c:idx val="0"/>
              <c:layout>
                <c:manualLayout>
                  <c:x val="-1.9029927760577915E-2"/>
                  <c:y val="0"/>
                </c:manualLayout>
              </c:layout>
              <c:tx>
                <c:rich>
                  <a:bodyPr/>
                  <a:lstStyle/>
                  <a:p>
                    <a:r>
                      <a:rPr lang="lt-LT">
                        <a:solidFill>
                          <a:schemeClr val="tx1">
                            <a:lumMod val="50000"/>
                            <a:lumOff val="50000"/>
                          </a:schemeClr>
                        </a:solidFill>
                      </a:rPr>
                      <a:t>1</a:t>
                    </a:r>
                    <a:r>
                      <a:rPr lang="en-US">
                        <a:solidFill>
                          <a:schemeClr val="tx1">
                            <a:lumMod val="50000"/>
                            <a:lumOff val="50000"/>
                          </a:schemeClr>
                        </a:solidFill>
                      </a:rPr>
                      <a:t>%</a:t>
                    </a:r>
                    <a:endParaRPr lang="en-US"/>
                  </a:p>
                </c:rich>
              </c:tx>
              <c:dLblPos val="outEnd"/>
              <c:showLegendKey val="0"/>
              <c:showVal val="1"/>
              <c:showCatName val="0"/>
              <c:showSerName val="0"/>
              <c:showPercent val="0"/>
              <c:showBubbleSize val="0"/>
            </c:dLbl>
            <c:dLbl>
              <c:idx val="1"/>
              <c:delete val="1"/>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prior'!$L$97:$L$98</c:f>
              <c:strCache>
                <c:ptCount val="2"/>
                <c:pt idx="0">
                  <c:v>ŠMSM, ESF</c:v>
                </c:pt>
                <c:pt idx="1">
                  <c:v>ŠMSM, ERPF</c:v>
                </c:pt>
              </c:strCache>
            </c:strRef>
          </c:cat>
          <c:val>
            <c:numRef>
              <c:f>'minist pagal prior'!$M$97:$M$98</c:f>
              <c:numCache>
                <c:formatCode>0%</c:formatCode>
                <c:ptCount val="2"/>
                <c:pt idx="0">
                  <c:v>1</c:v>
                </c:pt>
                <c:pt idx="1">
                  <c:v>1</c:v>
                </c:pt>
              </c:numCache>
            </c:numRef>
          </c:val>
        </c:ser>
        <c:ser>
          <c:idx val="2"/>
          <c:order val="1"/>
          <c:tx>
            <c:strRef>
              <c:f>'minist pagal prior'!$N$96</c:f>
              <c:strCache>
                <c:ptCount val="1"/>
                <c:pt idx="0">
                  <c:v>Sudaryta sutarčių</c:v>
                </c:pt>
              </c:strCache>
            </c:strRef>
          </c:tx>
          <c:spPr>
            <a:solidFill>
              <a:schemeClr val="accent1"/>
            </a:solidFill>
            <a:ln w="50800">
              <a:solidFill>
                <a:schemeClr val="accent1"/>
              </a:solidFill>
            </a:ln>
          </c:spPr>
          <c:invertIfNegative val="0"/>
          <c:dLbls>
            <c:dLbl>
              <c:idx val="0"/>
              <c:layout>
                <c:manualLayout>
                  <c:x val="-7.0773993808049537E-2"/>
                  <c:y val="0"/>
                </c:manualLayout>
              </c:layout>
              <c:dLblPos val="outEnd"/>
              <c:showLegendKey val="0"/>
              <c:showVal val="1"/>
              <c:showCatName val="0"/>
              <c:showSerName val="0"/>
              <c:showPercent val="0"/>
              <c:showBubbleSize val="0"/>
            </c:dLbl>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prior'!$L$97:$L$98</c:f>
              <c:strCache>
                <c:ptCount val="2"/>
                <c:pt idx="0">
                  <c:v>ŠMSM, ESF</c:v>
                </c:pt>
                <c:pt idx="1">
                  <c:v>ŠMSM, ERPF</c:v>
                </c:pt>
              </c:strCache>
            </c:strRef>
          </c:cat>
          <c:val>
            <c:numRef>
              <c:f>'minist pagal prior'!$N$97:$N$98</c:f>
              <c:numCache>
                <c:formatCode>0%</c:formatCode>
                <c:ptCount val="2"/>
                <c:pt idx="0">
                  <c:v>0.98773806054619917</c:v>
                </c:pt>
                <c:pt idx="1">
                  <c:v>0.99807383563233099</c:v>
                </c:pt>
              </c:numCache>
            </c:numRef>
          </c:val>
        </c:ser>
        <c:ser>
          <c:idx val="3"/>
          <c:order val="2"/>
          <c:tx>
            <c:strRef>
              <c:f>'minist pagal prior'!$O$96</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prior'!$L$97:$L$98</c:f>
              <c:strCache>
                <c:ptCount val="2"/>
                <c:pt idx="0">
                  <c:v>ŠMSM, ESF</c:v>
                </c:pt>
                <c:pt idx="1">
                  <c:v>ŠMSM, ERPF</c:v>
                </c:pt>
              </c:strCache>
            </c:strRef>
          </c:cat>
          <c:val>
            <c:numRef>
              <c:f>'minist pagal prior'!$O$97:$O$98</c:f>
              <c:numCache>
                <c:formatCode>0%</c:formatCode>
                <c:ptCount val="2"/>
                <c:pt idx="0">
                  <c:v>0.58751512248332627</c:v>
                </c:pt>
                <c:pt idx="1">
                  <c:v>0.54716056114430356</c:v>
                </c:pt>
              </c:numCache>
            </c:numRef>
          </c:val>
        </c:ser>
        <c:dLbls>
          <c:showLegendKey val="0"/>
          <c:showVal val="0"/>
          <c:showCatName val="0"/>
          <c:showSerName val="0"/>
          <c:showPercent val="0"/>
          <c:showBubbleSize val="0"/>
        </c:dLbls>
        <c:gapWidth val="217"/>
        <c:overlap val="100"/>
        <c:axId val="142532608"/>
        <c:axId val="142534144"/>
      </c:barChart>
      <c:catAx>
        <c:axId val="142532608"/>
        <c:scaling>
          <c:orientation val="minMax"/>
        </c:scaling>
        <c:delete val="0"/>
        <c:axPos val="l"/>
        <c:majorTickMark val="out"/>
        <c:minorTickMark val="none"/>
        <c:tickLblPos val="nextTo"/>
        <c:crossAx val="142534144"/>
        <c:crosses val="autoZero"/>
        <c:auto val="1"/>
        <c:lblAlgn val="ctr"/>
        <c:lblOffset val="100"/>
        <c:noMultiLvlLbl val="0"/>
      </c:catAx>
      <c:valAx>
        <c:axId val="142534144"/>
        <c:scaling>
          <c:orientation val="minMax"/>
          <c:max val="1"/>
        </c:scaling>
        <c:delete val="1"/>
        <c:axPos val="b"/>
        <c:majorGridlines/>
        <c:numFmt formatCode="0%" sourceLinked="1"/>
        <c:majorTickMark val="out"/>
        <c:minorTickMark val="none"/>
        <c:tickLblPos val="nextTo"/>
        <c:crossAx val="142532608"/>
        <c:crosses val="autoZero"/>
        <c:crossBetween val="between"/>
        <c:majorUnit val="0.2"/>
      </c:valAx>
    </c:plotArea>
    <c:legend>
      <c:legendPos val="b"/>
      <c:layout>
        <c:manualLayout>
          <c:xMode val="edge"/>
          <c:yMode val="edge"/>
          <c:x val="7.8171830688346614E-2"/>
          <c:y val="0.78208875053409022"/>
          <c:w val="0.83952837164704253"/>
          <c:h val="0.18690349752792529"/>
        </c:manualLayout>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0965281778802037"/>
        </c:manualLayout>
      </c:layout>
      <c:barChart>
        <c:barDir val="bar"/>
        <c:grouping val="clustered"/>
        <c:varyColors val="0"/>
        <c:ser>
          <c:idx val="0"/>
          <c:order val="0"/>
          <c:tx>
            <c:strRef>
              <c:f>'minist pagal prior'!$M$101</c:f>
              <c:strCache>
                <c:ptCount val="1"/>
                <c:pt idx="0">
                  <c:v>Nepaskirta projektams</c:v>
                </c:pt>
              </c:strCache>
            </c:strRef>
          </c:tx>
          <c:spPr>
            <a:solidFill>
              <a:schemeClr val="bg1">
                <a:lumMod val="85000"/>
              </a:schemeClr>
            </a:solidFill>
          </c:spPr>
          <c:invertIfNegative val="0"/>
          <c:dLbls>
            <c:dLbl>
              <c:idx val="0"/>
              <c:layout/>
              <c:tx>
                <c:rich>
                  <a:bodyPr/>
                  <a:lstStyle/>
                  <a:p>
                    <a:r>
                      <a:rPr lang="lt-LT"/>
                      <a:t>9</a:t>
                    </a:r>
                    <a:r>
                      <a:rPr lang="en-US"/>
                      <a:t>%</a:t>
                    </a:r>
                  </a:p>
                </c:rich>
              </c:tx>
              <c:dLblPos val="inEnd"/>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prior'!$L$102</c:f>
              <c:strCache>
                <c:ptCount val="1"/>
                <c:pt idx="0">
                  <c:v>EIM, ESF</c:v>
                </c:pt>
              </c:strCache>
            </c:strRef>
          </c:cat>
          <c:val>
            <c:numRef>
              <c:f>'minist pagal prior'!$M$102</c:f>
              <c:numCache>
                <c:formatCode>0%</c:formatCode>
                <c:ptCount val="1"/>
                <c:pt idx="0">
                  <c:v>1</c:v>
                </c:pt>
              </c:numCache>
            </c:numRef>
          </c:val>
        </c:ser>
        <c:ser>
          <c:idx val="2"/>
          <c:order val="1"/>
          <c:tx>
            <c:strRef>
              <c:f>'minist pagal prior'!$N$101</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prior'!$L$102</c:f>
              <c:strCache>
                <c:ptCount val="1"/>
                <c:pt idx="0">
                  <c:v>EIM, ESF</c:v>
                </c:pt>
              </c:strCache>
            </c:strRef>
          </c:cat>
          <c:val>
            <c:numRef>
              <c:f>'minist pagal prior'!$N$102</c:f>
              <c:numCache>
                <c:formatCode>0%</c:formatCode>
                <c:ptCount val="1"/>
                <c:pt idx="0">
                  <c:v>0.91292316961942199</c:v>
                </c:pt>
              </c:numCache>
            </c:numRef>
          </c:val>
        </c:ser>
        <c:ser>
          <c:idx val="3"/>
          <c:order val="2"/>
          <c:tx>
            <c:strRef>
              <c:f>'minist pagal prior'!$O$101</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prior'!$L$102</c:f>
              <c:strCache>
                <c:ptCount val="1"/>
                <c:pt idx="0">
                  <c:v>EIM, ESF</c:v>
                </c:pt>
              </c:strCache>
            </c:strRef>
          </c:cat>
          <c:val>
            <c:numRef>
              <c:f>'minist pagal prior'!$O$102</c:f>
              <c:numCache>
                <c:formatCode>0%</c:formatCode>
                <c:ptCount val="1"/>
                <c:pt idx="0">
                  <c:v>0.42801709120343634</c:v>
                </c:pt>
              </c:numCache>
            </c:numRef>
          </c:val>
        </c:ser>
        <c:dLbls>
          <c:showLegendKey val="0"/>
          <c:showVal val="0"/>
          <c:showCatName val="0"/>
          <c:showSerName val="0"/>
          <c:showPercent val="0"/>
          <c:showBubbleSize val="0"/>
        </c:dLbls>
        <c:gapWidth val="217"/>
        <c:overlap val="100"/>
        <c:axId val="142585856"/>
        <c:axId val="142587392"/>
      </c:barChart>
      <c:catAx>
        <c:axId val="142585856"/>
        <c:scaling>
          <c:orientation val="minMax"/>
        </c:scaling>
        <c:delete val="0"/>
        <c:axPos val="l"/>
        <c:majorTickMark val="out"/>
        <c:minorTickMark val="none"/>
        <c:tickLblPos val="nextTo"/>
        <c:crossAx val="142587392"/>
        <c:crosses val="autoZero"/>
        <c:auto val="1"/>
        <c:lblAlgn val="ctr"/>
        <c:lblOffset val="100"/>
        <c:noMultiLvlLbl val="0"/>
      </c:catAx>
      <c:valAx>
        <c:axId val="142587392"/>
        <c:scaling>
          <c:orientation val="minMax"/>
          <c:max val="1"/>
        </c:scaling>
        <c:delete val="1"/>
        <c:axPos val="b"/>
        <c:majorGridlines/>
        <c:numFmt formatCode="0%" sourceLinked="1"/>
        <c:majorTickMark val="out"/>
        <c:minorTickMark val="none"/>
        <c:tickLblPos val="nextTo"/>
        <c:crossAx val="142585856"/>
        <c:crosses val="autoZero"/>
        <c:crossBetween val="between"/>
        <c:majorUnit val="0.2"/>
      </c:valAx>
    </c:plotArea>
    <c:legend>
      <c:legendPos val="b"/>
      <c:layout>
        <c:manualLayout>
          <c:xMode val="edge"/>
          <c:yMode val="edge"/>
          <c:x val="7.8171830688346614E-2"/>
          <c:y val="0.6690938208995062"/>
          <c:w val="0.83952837164704253"/>
          <c:h val="0.18690349752792529"/>
        </c:manualLayout>
      </c:layout>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0965281778802037"/>
        </c:manualLayout>
      </c:layout>
      <c:barChart>
        <c:barDir val="bar"/>
        <c:grouping val="clustered"/>
        <c:varyColors val="0"/>
        <c:ser>
          <c:idx val="0"/>
          <c:order val="0"/>
          <c:tx>
            <c:strRef>
              <c:f>'minist pagal prior'!$M$105</c:f>
              <c:strCache>
                <c:ptCount val="1"/>
                <c:pt idx="0">
                  <c:v>Nepaskirta projektams</c:v>
                </c:pt>
              </c:strCache>
            </c:strRef>
          </c:tx>
          <c:spPr>
            <a:solidFill>
              <a:schemeClr val="bg1">
                <a:lumMod val="85000"/>
              </a:schemeClr>
            </a:solidFill>
          </c:spPr>
          <c:invertIfNegative val="0"/>
          <c:cat>
            <c:strRef>
              <c:f>'minist pagal prior'!$L$106</c:f>
              <c:strCache>
                <c:ptCount val="1"/>
                <c:pt idx="0">
                  <c:v>VRM, ESF</c:v>
                </c:pt>
              </c:strCache>
            </c:strRef>
          </c:cat>
          <c:val>
            <c:numRef>
              <c:f>'minist pagal prior'!$M$106</c:f>
              <c:numCache>
                <c:formatCode>0%</c:formatCode>
                <c:ptCount val="1"/>
                <c:pt idx="0">
                  <c:v>1</c:v>
                </c:pt>
              </c:numCache>
            </c:numRef>
          </c:val>
        </c:ser>
        <c:ser>
          <c:idx val="2"/>
          <c:order val="1"/>
          <c:tx>
            <c:strRef>
              <c:f>'minist pagal prior'!$N$105</c:f>
              <c:strCache>
                <c:ptCount val="1"/>
                <c:pt idx="0">
                  <c:v>Sudaryta sutarčių</c:v>
                </c:pt>
              </c:strCache>
            </c:strRef>
          </c:tx>
          <c:spPr>
            <a:solidFill>
              <a:schemeClr val="accent1"/>
            </a:solidFill>
            <a:ln w="50800">
              <a:solidFill>
                <a:schemeClr val="accent1"/>
              </a:solidFill>
            </a:ln>
          </c:spPr>
          <c:invertIfNegative val="0"/>
          <c:dLbls>
            <c:dLbl>
              <c:idx val="0"/>
              <c:layout/>
              <c:tx>
                <c:rich>
                  <a:bodyPr/>
                  <a:lstStyle/>
                  <a:p>
                    <a:r>
                      <a:rPr lang="en-US"/>
                      <a:t>10</a:t>
                    </a:r>
                    <a:r>
                      <a:rPr lang="lt-LT"/>
                      <a:t>0</a:t>
                    </a:r>
                    <a:r>
                      <a:rPr lang="en-US"/>
                      <a:t>%</a:t>
                    </a:r>
                  </a:p>
                </c:rich>
              </c:tx>
              <c:dLblPos val="ctr"/>
              <c:showLegendKey val="0"/>
              <c:showVal val="1"/>
              <c:showCatName val="0"/>
              <c:showSerName val="0"/>
              <c:showPercent val="0"/>
              <c:showBubbleSize val="0"/>
            </c:dLbl>
            <c:txPr>
              <a:bodyPr/>
              <a:lstStyle/>
              <a:p>
                <a:pPr>
                  <a:defRPr>
                    <a:solidFill>
                      <a:schemeClr val="bg1"/>
                    </a:solidFill>
                  </a:defRPr>
                </a:pPr>
                <a:endParaRPr lang="lt-LT"/>
              </a:p>
            </c:txPr>
            <c:dLblPos val="ctr"/>
            <c:showLegendKey val="0"/>
            <c:showVal val="1"/>
            <c:showCatName val="0"/>
            <c:showSerName val="0"/>
            <c:showPercent val="0"/>
            <c:showBubbleSize val="0"/>
            <c:showLeaderLines val="0"/>
          </c:dLbls>
          <c:cat>
            <c:strRef>
              <c:f>'minist pagal prior'!$L$106</c:f>
              <c:strCache>
                <c:ptCount val="1"/>
                <c:pt idx="0">
                  <c:v>VRM, ESF</c:v>
                </c:pt>
              </c:strCache>
            </c:strRef>
          </c:cat>
          <c:val>
            <c:numRef>
              <c:f>'minist pagal prior'!$N$106</c:f>
              <c:numCache>
                <c:formatCode>0%</c:formatCode>
                <c:ptCount val="1"/>
                <c:pt idx="0">
                  <c:v>1.0358374547121074</c:v>
                </c:pt>
              </c:numCache>
            </c:numRef>
          </c:val>
        </c:ser>
        <c:ser>
          <c:idx val="3"/>
          <c:order val="2"/>
          <c:tx>
            <c:strRef>
              <c:f>'minist pagal prior'!$O$105</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prior'!$L$106</c:f>
              <c:strCache>
                <c:ptCount val="1"/>
                <c:pt idx="0">
                  <c:v>VRM, ESF</c:v>
                </c:pt>
              </c:strCache>
            </c:strRef>
          </c:cat>
          <c:val>
            <c:numRef>
              <c:f>'minist pagal prior'!$O$106</c:f>
              <c:numCache>
                <c:formatCode>0%</c:formatCode>
                <c:ptCount val="1"/>
                <c:pt idx="0">
                  <c:v>0.41402670087277055</c:v>
                </c:pt>
              </c:numCache>
            </c:numRef>
          </c:val>
        </c:ser>
        <c:dLbls>
          <c:showLegendKey val="0"/>
          <c:showVal val="0"/>
          <c:showCatName val="0"/>
          <c:showSerName val="0"/>
          <c:showPercent val="0"/>
          <c:showBubbleSize val="0"/>
        </c:dLbls>
        <c:gapWidth val="217"/>
        <c:overlap val="100"/>
        <c:axId val="142687616"/>
        <c:axId val="142697600"/>
      </c:barChart>
      <c:catAx>
        <c:axId val="142687616"/>
        <c:scaling>
          <c:orientation val="minMax"/>
        </c:scaling>
        <c:delete val="0"/>
        <c:axPos val="l"/>
        <c:majorTickMark val="out"/>
        <c:minorTickMark val="none"/>
        <c:tickLblPos val="nextTo"/>
        <c:crossAx val="142697600"/>
        <c:crosses val="autoZero"/>
        <c:auto val="1"/>
        <c:lblAlgn val="ctr"/>
        <c:lblOffset val="100"/>
        <c:noMultiLvlLbl val="0"/>
      </c:catAx>
      <c:valAx>
        <c:axId val="142697600"/>
        <c:scaling>
          <c:orientation val="minMax"/>
          <c:max val="1"/>
        </c:scaling>
        <c:delete val="1"/>
        <c:axPos val="b"/>
        <c:majorGridlines/>
        <c:numFmt formatCode="0%" sourceLinked="1"/>
        <c:majorTickMark val="out"/>
        <c:minorTickMark val="none"/>
        <c:tickLblPos val="nextTo"/>
        <c:crossAx val="142687616"/>
        <c:crosses val="autoZero"/>
        <c:crossBetween val="between"/>
        <c:majorUnit val="0.2"/>
      </c:valAx>
    </c:plotArea>
    <c:legend>
      <c:legendPos val="b"/>
      <c:layout>
        <c:manualLayout>
          <c:xMode val="edge"/>
          <c:yMode val="edge"/>
          <c:x val="7.8171830688346614E-2"/>
          <c:y val="0.69118027776153934"/>
          <c:w val="0.83952837164704253"/>
          <c:h val="0.18690349752792529"/>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974389573624443"/>
          <c:y val="3.0131826741996232E-2"/>
          <c:w val="0.67269025493717882"/>
          <c:h val="0.85300790889510902"/>
        </c:manualLayout>
      </c:layout>
      <c:barChart>
        <c:barDir val="bar"/>
        <c:grouping val="clustered"/>
        <c:varyColors val="0"/>
        <c:ser>
          <c:idx val="0"/>
          <c:order val="0"/>
          <c:tx>
            <c:strRef>
              <c:f>'Bendr grafik'!$B$9</c:f>
              <c:strCache>
                <c:ptCount val="1"/>
                <c:pt idx="0">
                  <c:v>Iki 2020-09-31</c:v>
                </c:pt>
              </c:strCache>
            </c:strRef>
          </c:tx>
          <c:spPr>
            <a:solidFill>
              <a:schemeClr val="accent1"/>
            </a:solidFill>
            <a:ln w="76200">
              <a:solidFill>
                <a:schemeClr val="accent1"/>
              </a:solidFill>
            </a:ln>
          </c:spPr>
          <c:invertIfNegative val="0"/>
          <c:dLbls>
            <c:dLbl>
              <c:idx val="0"/>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3</a:t>
                    </a:r>
                    <a:r>
                      <a:rPr lang="lt-LT" sz="900" baseline="0">
                        <a:latin typeface="Times New Roman" panose="02020603050405020304" pitchFamily="18" charset="0"/>
                        <a:cs typeface="Times New Roman" panose="02020603050405020304" pitchFamily="18" charset="0"/>
                      </a:rPr>
                      <a:t> 659</a:t>
                    </a:r>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55</a:t>
                    </a:r>
                    <a:r>
                      <a:rPr lang="en-US" sz="900">
                        <a:latin typeface="Times New Roman" panose="02020603050405020304" pitchFamily="18" charset="0"/>
                        <a:cs typeface="Times New Roman" panose="02020603050405020304" pitchFamily="18" charset="0"/>
                      </a:rPr>
                      <a:t>%)    </a:t>
                    </a:r>
                    <a:endParaRPr lang="en-US"/>
                  </a:p>
                </c:rich>
              </c:tx>
              <c:showLegendKey val="0"/>
              <c:showVal val="1"/>
              <c:showCatName val="0"/>
              <c:showSerName val="0"/>
              <c:showPercent val="0"/>
              <c:showBubbleSize val="0"/>
            </c:dLbl>
            <c:dLbl>
              <c:idx val="1"/>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3 696</a:t>
                    </a:r>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55</a:t>
                    </a:r>
                    <a:r>
                      <a:rPr lang="en-US" sz="900">
                        <a:latin typeface="Times New Roman" panose="02020603050405020304" pitchFamily="18" charset="0"/>
                        <a:cs typeface="Times New Roman" panose="02020603050405020304" pitchFamily="18" charset="0"/>
                      </a:rPr>
                      <a:t>%)    </a:t>
                    </a:r>
                    <a:endParaRPr lang="en-US"/>
                  </a:p>
                </c:rich>
              </c:tx>
              <c:showLegendKey val="0"/>
              <c:showVal val="1"/>
              <c:showCatName val="0"/>
              <c:showSerName val="0"/>
              <c:showPercent val="0"/>
              <c:showBubbleSize val="0"/>
            </c:dLbl>
            <c:dLbl>
              <c:idx val="2"/>
              <c:layout>
                <c:manualLayout>
                  <c:x val="7.8895451257908773E-3"/>
                  <c:y val="0"/>
                </c:manualLayout>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6</a:t>
                    </a:r>
                    <a:r>
                      <a:rPr lang="lt-LT" sz="900" baseline="0">
                        <a:latin typeface="Times New Roman" panose="02020603050405020304" pitchFamily="18" charset="0"/>
                        <a:cs typeface="Times New Roman" panose="02020603050405020304" pitchFamily="18" charset="0"/>
                      </a:rPr>
                      <a:t> 095</a:t>
                    </a:r>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91</a:t>
                    </a:r>
                    <a:r>
                      <a:rPr lang="en-US" sz="900">
                        <a:latin typeface="Times New Roman" panose="02020603050405020304" pitchFamily="18" charset="0"/>
                        <a:cs typeface="Times New Roman" panose="02020603050405020304" pitchFamily="18" charset="0"/>
                      </a:rPr>
                      <a:t>%)    </a:t>
                    </a:r>
                    <a:endParaRPr lang="en-US"/>
                  </a:p>
                </c:rich>
              </c:tx>
              <c:showLegendKey val="0"/>
              <c:showVal val="1"/>
              <c:showCatName val="0"/>
              <c:showSerName val="0"/>
              <c:showPercent val="0"/>
              <c:showBubbleSize val="0"/>
            </c:dLbl>
            <c:dLbl>
              <c:idx val="3"/>
              <c:layout>
                <c:manualLayout>
                  <c:x val="0"/>
                  <c:y val="0"/>
                </c:manualLayout>
              </c:layout>
              <c:tx>
                <c:rich>
                  <a:bodyPr/>
                  <a:lstStyle/>
                  <a:p>
                    <a:r>
                      <a:rPr lang="en-US" sz="900">
                        <a:latin typeface="Times New Roman" panose="02020603050405020304" pitchFamily="18" charset="0"/>
                        <a:cs typeface="Times New Roman" panose="02020603050405020304" pitchFamily="18" charset="0"/>
                      </a:rPr>
                      <a:t> 6 </a:t>
                    </a:r>
                    <a:r>
                      <a:rPr lang="lt-LT" sz="900">
                        <a:latin typeface="Times New Roman" panose="02020603050405020304" pitchFamily="18" charset="0"/>
                        <a:cs typeface="Times New Roman" panose="02020603050405020304" pitchFamily="18" charset="0"/>
                      </a:rPr>
                      <a:t>558</a:t>
                    </a:r>
                  </a:p>
                  <a:p>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98</a:t>
                    </a:r>
                    <a:r>
                      <a:rPr lang="en-US" sz="900">
                        <a:latin typeface="Times New Roman" panose="02020603050405020304" pitchFamily="18" charset="0"/>
                        <a:cs typeface="Times New Roman" panose="02020603050405020304" pitchFamily="18" charset="0"/>
                      </a:rPr>
                      <a:t>%)    </a:t>
                    </a:r>
                    <a:endParaRPr lang="en-US"/>
                  </a:p>
                </c:rich>
              </c:tx>
              <c:showLegendKey val="0"/>
              <c:showVal val="1"/>
              <c:showCatName val="0"/>
              <c:showSerName val="0"/>
              <c:showPercent val="0"/>
              <c:showBubbleSize val="0"/>
            </c:dLbl>
            <c:dLbl>
              <c:idx val="4"/>
              <c:layout>
                <c:manualLayout>
                  <c:x val="-7.4328693425693149E-2"/>
                  <c:y val="-4.430053719920524E-3"/>
                </c:manualLayout>
              </c:layout>
              <c:spPr/>
              <c:txPr>
                <a:bodyPr/>
                <a:lstStyle/>
                <a:p>
                  <a:pPr>
                    <a:defRPr sz="900" b="1">
                      <a:solidFill>
                        <a:schemeClr val="bg1"/>
                      </a:solidFill>
                      <a:latin typeface="Times New Roman" panose="02020603050405020304" pitchFamily="18" charset="0"/>
                      <a:cs typeface="Times New Roman" panose="02020603050405020304" pitchFamily="18" charset="0"/>
                    </a:defRPr>
                  </a:pPr>
                  <a:endParaRPr lang="lt-LT"/>
                </a:p>
              </c:txPr>
              <c:showLegendKey val="0"/>
              <c:showVal val="1"/>
              <c:showCatName val="0"/>
              <c:showSerName val="0"/>
              <c:showPercent val="0"/>
              <c:showBubbleSize val="0"/>
            </c:dLbl>
            <c:txPr>
              <a:bodyPr/>
              <a:lstStyle/>
              <a:p>
                <a:pPr>
                  <a:defRPr sz="900" b="1">
                    <a:solidFill>
                      <a:schemeClr val="tx1">
                        <a:lumMod val="65000"/>
                        <a:lumOff val="35000"/>
                      </a:schemeClr>
                    </a:solidFill>
                    <a:latin typeface="Times New Roman" panose="02020603050405020304" pitchFamily="18" charset="0"/>
                    <a:cs typeface="Times New Roman" panose="02020603050405020304" pitchFamily="18" charset="0"/>
                  </a:defRPr>
                </a:pPr>
                <a:endParaRPr lang="lt-LT"/>
              </a:p>
            </c:txPr>
            <c:showLegendKey val="0"/>
            <c:showVal val="1"/>
            <c:showCatName val="0"/>
            <c:showSerName val="0"/>
            <c:showPercent val="0"/>
            <c:showBubbleSize val="0"/>
            <c:showLeaderLines val="0"/>
          </c:dLbls>
          <c:cat>
            <c:strRef>
              <c:f>'Bendr grafik'!$A$10:$A$14</c:f>
              <c:strCache>
                <c:ptCount val="5"/>
                <c:pt idx="0">
                  <c:v>Deklaruota EK</c:v>
                </c:pt>
                <c:pt idx="1">
                  <c:v>Investuota projektuose</c:v>
                </c:pt>
                <c:pt idx="2">
                  <c:v>Sudaryta sutarčių</c:v>
                </c:pt>
                <c:pt idx="3">
                  <c:v>Paskelbti kvietimai arba sudaryti projektų sąrašai</c:v>
                </c:pt>
                <c:pt idx="4">
                  <c:v>Numatyta investuoti ES fondų lėšų</c:v>
                </c:pt>
              </c:strCache>
            </c:strRef>
          </c:cat>
          <c:val>
            <c:numRef>
              <c:f>'Bendr grafik'!$B$10:$B$14</c:f>
              <c:numCache>
                <c:formatCode>_-* #,##0\ _L_t_-;\-* #,##0\ _L_t_-;_-* "-"??\ _L_t_-;_-@_-</c:formatCode>
                <c:ptCount val="5"/>
                <c:pt idx="0">
                  <c:v>3658.92160556</c:v>
                </c:pt>
                <c:pt idx="1">
                  <c:v>3695.6370642379998</c:v>
                </c:pt>
                <c:pt idx="2">
                  <c:v>6094.6478358880004</c:v>
                </c:pt>
                <c:pt idx="3">
                  <c:v>6558.1140641499996</c:v>
                </c:pt>
                <c:pt idx="4" formatCode="#,##0">
                  <c:v>6709.3961300000001</c:v>
                </c:pt>
              </c:numCache>
            </c:numRef>
          </c:val>
        </c:ser>
        <c:ser>
          <c:idx val="1"/>
          <c:order val="1"/>
          <c:tx>
            <c:strRef>
              <c:f>'Bendr grafik'!$C$9</c:f>
              <c:strCache>
                <c:ptCount val="1"/>
                <c:pt idx="0">
                  <c:v>Per 2020 m. III ketv.</c:v>
                </c:pt>
              </c:strCache>
            </c:strRef>
          </c:tx>
          <c:spPr>
            <a:solidFill>
              <a:schemeClr val="accent1">
                <a:lumMod val="20000"/>
                <a:lumOff val="80000"/>
              </a:schemeClr>
            </a:solidFill>
            <a:ln w="22225">
              <a:noFill/>
            </a:ln>
          </c:spPr>
          <c:invertIfNegative val="0"/>
          <c:dLbls>
            <c:dLbl>
              <c:idx val="0"/>
              <c:layout>
                <c:manualLayout>
                  <c:x val="-4.5998338295813693E-2"/>
                  <c:y val="0"/>
                </c:manualLayout>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566</a:t>
                    </a:r>
                    <a:r>
                      <a:rPr lang="en-US" sz="900">
                        <a:latin typeface="Times New Roman" panose="02020603050405020304" pitchFamily="18" charset="0"/>
                        <a:cs typeface="Times New Roman" panose="02020603050405020304" pitchFamily="18" charset="0"/>
                      </a:rPr>
                      <a:t>    </a:t>
                    </a:r>
                    <a:endParaRPr lang="en-US"/>
                  </a:p>
                </c:rich>
              </c:tx>
              <c:dLblPos val="outEnd"/>
              <c:showLegendKey val="0"/>
              <c:showVal val="1"/>
              <c:showCatName val="0"/>
              <c:showSerName val="0"/>
              <c:showPercent val="0"/>
              <c:showBubbleSize val="0"/>
            </c:dLbl>
            <c:dLbl>
              <c:idx val="1"/>
              <c:layout>
                <c:manualLayout>
                  <c:x val="-3.7985961052482878E-2"/>
                  <c:y val="-3.7154804004693394E-7"/>
                </c:manualLayout>
              </c:layout>
              <c:tx>
                <c:rich>
                  <a:bodyPr/>
                  <a:lstStyle/>
                  <a:p>
                    <a:r>
                      <a:rPr lang="lt-LT" sz="900">
                        <a:latin typeface="Times New Roman" panose="02020603050405020304" pitchFamily="18" charset="0"/>
                        <a:cs typeface="Times New Roman" panose="02020603050405020304" pitchFamily="18" charset="0"/>
                      </a:rPr>
                      <a:t>281</a:t>
                    </a:r>
                    <a:r>
                      <a:rPr lang="en-US" sz="900">
                        <a:latin typeface="Times New Roman" panose="02020603050405020304" pitchFamily="18" charset="0"/>
                        <a:cs typeface="Times New Roman" panose="02020603050405020304" pitchFamily="18" charset="0"/>
                      </a:rPr>
                      <a:t>    </a:t>
                    </a:r>
                    <a:endParaRPr lang="en-US"/>
                  </a:p>
                </c:rich>
              </c:tx>
              <c:dLblPos val="outEnd"/>
              <c:showLegendKey val="0"/>
              <c:showVal val="1"/>
              <c:showCatName val="0"/>
              <c:showSerName val="0"/>
              <c:showPercent val="0"/>
              <c:showBubbleSize val="0"/>
            </c:dLbl>
            <c:dLbl>
              <c:idx val="2"/>
              <c:layout>
                <c:manualLayout>
                  <c:x val="-4.6291906025577964E-2"/>
                  <c:y val="0"/>
                </c:manualLayout>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297</a:t>
                    </a:r>
                    <a:r>
                      <a:rPr lang="en-US" sz="900">
                        <a:latin typeface="Times New Roman" panose="02020603050405020304" pitchFamily="18" charset="0"/>
                        <a:cs typeface="Times New Roman" panose="02020603050405020304" pitchFamily="18" charset="0"/>
                      </a:rPr>
                      <a:t>    </a:t>
                    </a:r>
                    <a:endParaRPr lang="en-US"/>
                  </a:p>
                </c:rich>
              </c:tx>
              <c:dLblPos val="outEnd"/>
              <c:showLegendKey val="0"/>
              <c:showVal val="1"/>
              <c:showCatName val="0"/>
              <c:showSerName val="0"/>
              <c:showPercent val="0"/>
              <c:showBubbleSize val="0"/>
            </c:dLbl>
            <c:dLbl>
              <c:idx val="3"/>
              <c:layout>
                <c:manualLayout>
                  <c:x val="-3.4100186876583137E-2"/>
                  <c:y val="-4.4296788482834993E-3"/>
                </c:manualLayout>
              </c:layout>
              <c:tx>
                <c:rich>
                  <a:bodyPr/>
                  <a:lstStyle/>
                  <a:p>
                    <a:r>
                      <a:rPr lang="en-US" sz="900">
                        <a:latin typeface="Times New Roman" panose="02020603050405020304" pitchFamily="18" charset="0"/>
                        <a:cs typeface="Times New Roman" panose="02020603050405020304" pitchFamily="18" charset="0"/>
                      </a:rPr>
                      <a:t> </a:t>
                    </a:r>
                    <a:r>
                      <a:rPr lang="lt-LT" sz="900">
                        <a:latin typeface="Times New Roman" panose="02020603050405020304" pitchFamily="18" charset="0"/>
                        <a:cs typeface="Times New Roman" panose="02020603050405020304" pitchFamily="18" charset="0"/>
                      </a:rPr>
                      <a:t>33</a:t>
                    </a:r>
                    <a:r>
                      <a:rPr lang="en-US" sz="900">
                        <a:latin typeface="Times New Roman" panose="02020603050405020304" pitchFamily="18" charset="0"/>
                        <a:cs typeface="Times New Roman" panose="02020603050405020304" pitchFamily="18" charset="0"/>
                      </a:rPr>
                      <a:t>    </a:t>
                    </a:r>
                    <a:endParaRPr lang="en-US"/>
                  </a:p>
                </c:rich>
              </c:tx>
              <c:dLblPos val="outEnd"/>
              <c:showLegendKey val="0"/>
              <c:showVal val="1"/>
              <c:showCatName val="0"/>
              <c:showSerName val="0"/>
              <c:showPercent val="0"/>
              <c:showBubbleSize val="0"/>
            </c:dLbl>
            <c:txPr>
              <a:bodyPr/>
              <a:lstStyle/>
              <a:p>
                <a:pPr>
                  <a:defRPr sz="900">
                    <a:latin typeface="Times New Roman" panose="02020603050405020304" pitchFamily="18" charset="0"/>
                    <a:cs typeface="Times New Roman" panose="02020603050405020304" pitchFamily="18" charset="0"/>
                  </a:defRPr>
                </a:pPr>
                <a:endParaRPr lang="lt-LT"/>
              </a:p>
            </c:txPr>
            <c:dLblPos val="inEnd"/>
            <c:showLegendKey val="0"/>
            <c:showVal val="1"/>
            <c:showCatName val="0"/>
            <c:showSerName val="0"/>
            <c:showPercent val="0"/>
            <c:showBubbleSize val="0"/>
            <c:showLeaderLines val="0"/>
          </c:dLbls>
          <c:cat>
            <c:strRef>
              <c:f>'Bendr grafik'!$A$10:$A$14</c:f>
              <c:strCache>
                <c:ptCount val="5"/>
                <c:pt idx="0">
                  <c:v>Deklaruota EK</c:v>
                </c:pt>
                <c:pt idx="1">
                  <c:v>Investuota projektuose</c:v>
                </c:pt>
                <c:pt idx="2">
                  <c:v>Sudaryta sutarčių</c:v>
                </c:pt>
                <c:pt idx="3">
                  <c:v>Paskelbti kvietimai arba sudaryti projektų sąrašai</c:v>
                </c:pt>
                <c:pt idx="4">
                  <c:v>Numatyta investuoti ES fondų lėšų</c:v>
                </c:pt>
              </c:strCache>
            </c:strRef>
          </c:cat>
          <c:val>
            <c:numRef>
              <c:f>'Bendr grafik'!$C$10:$C$14</c:f>
              <c:numCache>
                <c:formatCode>_-* #,##0\ _L_t_-;\-* #,##0\ _L_t_-;_-* "-"??\ _L_t_-;_-@_-</c:formatCode>
                <c:ptCount val="5"/>
                <c:pt idx="0">
                  <c:v>3658.92160556</c:v>
                </c:pt>
                <c:pt idx="1">
                  <c:v>3695.6370642379998</c:v>
                </c:pt>
                <c:pt idx="2">
                  <c:v>6094.6478358880004</c:v>
                </c:pt>
                <c:pt idx="3">
                  <c:v>6558.1140641499996</c:v>
                </c:pt>
              </c:numCache>
            </c:numRef>
          </c:val>
        </c:ser>
        <c:ser>
          <c:idx val="2"/>
          <c:order val="2"/>
          <c:tx>
            <c:strRef>
              <c:f>'Bendr grafik'!$D$9</c:f>
              <c:strCache>
                <c:ptCount val="1"/>
                <c:pt idx="0">
                  <c:v>Iki 2020-06-30</c:v>
                </c:pt>
              </c:strCache>
            </c:strRef>
          </c:tx>
          <c:invertIfNegative val="0"/>
          <c:dLbls>
            <c:txPr>
              <a:bodyPr/>
              <a:lstStyle/>
              <a:p>
                <a:pPr>
                  <a:defRPr sz="900" b="1" baseline="0">
                    <a:solidFill>
                      <a:sysClr val="windowText" lastClr="000000"/>
                    </a:solidFill>
                    <a:latin typeface="Times New Roman" panose="02020603050405020304" pitchFamily="18" charset="0"/>
                    <a:cs typeface="Times New Roman" panose="02020603050405020304" pitchFamily="18" charset="0"/>
                  </a:defRPr>
                </a:pPr>
                <a:endParaRPr lang="lt-LT"/>
              </a:p>
            </c:txPr>
            <c:dLblPos val="inBase"/>
            <c:showLegendKey val="0"/>
            <c:showVal val="1"/>
            <c:showCatName val="0"/>
            <c:showSerName val="0"/>
            <c:showPercent val="0"/>
            <c:showBubbleSize val="0"/>
            <c:showLeaderLines val="0"/>
          </c:dLbls>
          <c:cat>
            <c:strRef>
              <c:f>'Bendr grafik'!$A$10:$A$14</c:f>
              <c:strCache>
                <c:ptCount val="5"/>
                <c:pt idx="0">
                  <c:v>Deklaruota EK</c:v>
                </c:pt>
                <c:pt idx="1">
                  <c:v>Investuota projektuose</c:v>
                </c:pt>
                <c:pt idx="2">
                  <c:v>Sudaryta sutarčių</c:v>
                </c:pt>
                <c:pt idx="3">
                  <c:v>Paskelbti kvietimai arba sudaryti projektų sąrašai</c:v>
                </c:pt>
                <c:pt idx="4">
                  <c:v>Numatyta investuoti ES fondų lėšų</c:v>
                </c:pt>
              </c:strCache>
            </c:strRef>
          </c:cat>
          <c:val>
            <c:numRef>
              <c:f>'Bendr grafik'!$D$10:$D$14</c:f>
              <c:numCache>
                <c:formatCode>0</c:formatCode>
                <c:ptCount val="5"/>
                <c:pt idx="0">
                  <c:v>3092.533864</c:v>
                </c:pt>
                <c:pt idx="1">
                  <c:v>3415.0852772199996</c:v>
                </c:pt>
                <c:pt idx="2">
                  <c:v>5797.2013798100006</c:v>
                </c:pt>
                <c:pt idx="3">
                  <c:v>6525.2494426800004</c:v>
                </c:pt>
              </c:numCache>
            </c:numRef>
          </c:val>
        </c:ser>
        <c:dLbls>
          <c:showLegendKey val="0"/>
          <c:showVal val="0"/>
          <c:showCatName val="0"/>
          <c:showSerName val="0"/>
          <c:showPercent val="0"/>
          <c:showBubbleSize val="0"/>
        </c:dLbls>
        <c:gapWidth val="150"/>
        <c:overlap val="100"/>
        <c:axId val="135380352"/>
        <c:axId val="135279744"/>
      </c:barChart>
      <c:catAx>
        <c:axId val="135380352"/>
        <c:scaling>
          <c:orientation val="minMax"/>
        </c:scaling>
        <c:delete val="0"/>
        <c:axPos val="l"/>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lt-LT"/>
          </a:p>
        </c:txPr>
        <c:crossAx val="135279744"/>
        <c:crosses val="autoZero"/>
        <c:auto val="1"/>
        <c:lblAlgn val="ctr"/>
        <c:lblOffset val="100"/>
        <c:noMultiLvlLbl val="0"/>
      </c:catAx>
      <c:valAx>
        <c:axId val="135279744"/>
        <c:scaling>
          <c:orientation val="minMax"/>
          <c:max val="7000"/>
          <c:min val="0"/>
        </c:scaling>
        <c:delete val="1"/>
        <c:axPos val="b"/>
        <c:numFmt formatCode="_-* #,##0\ _L_t_-;\-* #,##0\ _L_t_-;_-* &quot;-&quot;??\ _L_t_-;_-@_-" sourceLinked="1"/>
        <c:majorTickMark val="out"/>
        <c:minorTickMark val="none"/>
        <c:tickLblPos val="nextTo"/>
        <c:crossAx val="135380352"/>
        <c:crosses val="autoZero"/>
        <c:crossBetween val="between"/>
      </c:valAx>
    </c:plotArea>
    <c:legend>
      <c:legendPos val="b"/>
      <c:layout>
        <c:manualLayout>
          <c:xMode val="edge"/>
          <c:yMode val="edge"/>
          <c:x val="0.34577041722078516"/>
          <c:y val="0.89581344388026263"/>
          <c:w val="0.60042972571458875"/>
          <c:h val="7.5110751342998008E-2"/>
        </c:manualLayout>
      </c:layout>
      <c:overlay val="0"/>
      <c:txPr>
        <a:bodyPr/>
        <a:lstStyle/>
        <a:p>
          <a:pPr>
            <a:defRPr>
              <a:latin typeface="Times New Roman" panose="02020603050405020304" pitchFamily="18" charset="0"/>
              <a:cs typeface="Times New Roman" panose="02020603050405020304" pitchFamily="18" charset="0"/>
            </a:defRPr>
          </a:pPr>
          <a:endParaRPr lang="lt-LT"/>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653683777569464E-2"/>
          <c:y val="2.4485248908241837E-2"/>
          <c:w val="0.87408773259473016"/>
          <c:h val="0.82456721261572885"/>
        </c:manualLayout>
      </c:layout>
      <c:barChart>
        <c:barDir val="bar"/>
        <c:grouping val="clustered"/>
        <c:varyColors val="0"/>
        <c:ser>
          <c:idx val="0"/>
          <c:order val="0"/>
          <c:tx>
            <c:strRef>
              <c:f>'Pagal minist '!$C$16</c:f>
              <c:strCache>
                <c:ptCount val="1"/>
                <c:pt idx="0">
                  <c:v> Projektams nepaskirstyta</c:v>
                </c:pt>
              </c:strCache>
            </c:strRef>
          </c:tx>
          <c:spPr>
            <a:solidFill>
              <a:schemeClr val="bg1">
                <a:lumMod val="75000"/>
              </a:schemeClr>
            </a:solidFill>
            <a:ln w="69850">
              <a:noFill/>
            </a:ln>
          </c:spPr>
          <c:invertIfNegative val="0"/>
          <c:dLbls>
            <c:dLbl>
              <c:idx val="0"/>
              <c:layout>
                <c:manualLayout>
                  <c:x val="-1.2349422862737646E-2"/>
                  <c:y val="0"/>
                </c:manualLayout>
              </c:layout>
              <c:tx>
                <c:rich>
                  <a:bodyPr/>
                  <a:lstStyle/>
                  <a:p>
                    <a:r>
                      <a:rPr lang="lt-LT" sz="900">
                        <a:latin typeface="Times New Roman" panose="02020603050405020304" pitchFamily="18" charset="0"/>
                        <a:cs typeface="Times New Roman" panose="02020603050405020304" pitchFamily="18" charset="0"/>
                      </a:rPr>
                      <a:t>9</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(99)</a:t>
                    </a:r>
                    <a:endParaRPr lang="en-US"/>
                  </a:p>
                </c:rich>
              </c:tx>
              <c:dLblPos val="outEnd"/>
              <c:showLegendKey val="0"/>
              <c:showVal val="1"/>
              <c:showCatName val="0"/>
              <c:showSerName val="0"/>
              <c:showPercent val="0"/>
              <c:showBubbleSize val="0"/>
            </c:dLbl>
            <c:dLbl>
              <c:idx val="1"/>
              <c:layout>
                <c:manualLayout>
                  <c:x val="-1.0401370815081849E-2"/>
                  <c:y val="-3.4883708154657333E-3"/>
                </c:manualLayout>
              </c:layout>
              <c:tx>
                <c:rich>
                  <a:bodyPr/>
                  <a:lstStyle/>
                  <a:p>
                    <a:r>
                      <a:rPr lang="lt-LT" sz="900">
                        <a:latin typeface="Times New Roman" panose="02020603050405020304" pitchFamily="18" charset="0"/>
                        <a:cs typeface="Times New Roman" panose="02020603050405020304" pitchFamily="18" charset="0"/>
                      </a:rPr>
                      <a:t>6</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(16)</a:t>
                    </a:r>
                    <a:endParaRPr lang="en-US"/>
                  </a:p>
                </c:rich>
              </c:tx>
              <c:dLblPos val="outEnd"/>
              <c:showLegendKey val="0"/>
              <c:showVal val="1"/>
              <c:showCatName val="0"/>
              <c:showSerName val="0"/>
              <c:showPercent val="0"/>
              <c:showBubbleSize val="0"/>
            </c:dLbl>
            <c:dLbl>
              <c:idx val="2"/>
              <c:layout>
                <c:manualLayout>
                  <c:x val="-5.5206567911165148E-2"/>
                  <c:y val="0"/>
                </c:manualLayout>
              </c:layout>
              <c:tx>
                <c:rich>
                  <a:bodyPr/>
                  <a:lstStyle/>
                  <a:p>
                    <a:pPr>
                      <a:defRPr sz="900">
                        <a:solidFill>
                          <a:schemeClr val="bg1"/>
                        </a:solidFill>
                        <a:latin typeface="Times New Roman" panose="02020603050405020304" pitchFamily="18" charset="0"/>
                        <a:cs typeface="Times New Roman" panose="02020603050405020304" pitchFamily="18" charset="0"/>
                      </a:defRPr>
                    </a:pPr>
                    <a:r>
                      <a:rPr lang="lt-LT" sz="900">
                        <a:solidFill>
                          <a:schemeClr val="bg1"/>
                        </a:solidFill>
                        <a:latin typeface="Times New Roman" panose="02020603050405020304" pitchFamily="18" charset="0"/>
                        <a:cs typeface="Times New Roman" panose="02020603050405020304" pitchFamily="18" charset="0"/>
                      </a:rPr>
                      <a:t>100</a:t>
                    </a:r>
                    <a:r>
                      <a:rPr lang="en-US" sz="900">
                        <a:solidFill>
                          <a:schemeClr val="bg1"/>
                        </a:solidFill>
                        <a:latin typeface="Times New Roman" panose="02020603050405020304" pitchFamily="18" charset="0"/>
                        <a:cs typeface="Times New Roman" panose="02020603050405020304" pitchFamily="18" charset="0"/>
                      </a:rPr>
                      <a:t>%</a:t>
                    </a:r>
                    <a:r>
                      <a:rPr lang="lt-LT" sz="900">
                        <a:solidFill>
                          <a:schemeClr val="bg1"/>
                        </a:solidFill>
                        <a:latin typeface="Times New Roman" panose="02020603050405020304" pitchFamily="18" charset="0"/>
                        <a:cs typeface="Times New Roman" panose="02020603050405020304" pitchFamily="18" charset="0"/>
                      </a:rPr>
                      <a:t> (481)</a:t>
                    </a:r>
                    <a:endParaRPr lang="en-US">
                      <a:solidFill>
                        <a:schemeClr val="bg1"/>
                      </a:solidFill>
                    </a:endParaRPr>
                  </a:p>
                </c:rich>
              </c:tx>
              <c:spPr/>
              <c:dLblPos val="outEnd"/>
              <c:showLegendKey val="0"/>
              <c:showVal val="1"/>
              <c:showCatName val="0"/>
              <c:showSerName val="0"/>
              <c:showPercent val="0"/>
              <c:showBubbleSize val="0"/>
            </c:dLbl>
            <c:dLbl>
              <c:idx val="3"/>
              <c:layout>
                <c:manualLayout>
                  <c:x val="-9.740260238278977E-3"/>
                  <c:y val="-6.3952726162855175E-17"/>
                </c:manualLayout>
              </c:layout>
              <c:tx>
                <c:rich>
                  <a:bodyPr/>
                  <a:lstStyle/>
                  <a:p>
                    <a:r>
                      <a:rPr lang="lt-LT" sz="900">
                        <a:latin typeface="Times New Roman" panose="02020603050405020304" pitchFamily="18" charset="0"/>
                        <a:cs typeface="Times New Roman" panose="02020603050405020304" pitchFamily="18" charset="0"/>
                      </a:rPr>
                      <a:t>8</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(37)</a:t>
                    </a:r>
                    <a:endParaRPr lang="en-US"/>
                  </a:p>
                </c:rich>
              </c:tx>
              <c:showLegendKey val="0"/>
              <c:showVal val="1"/>
              <c:showCatName val="0"/>
              <c:showSerName val="0"/>
              <c:showPercent val="0"/>
              <c:showBubbleSize val="0"/>
            </c:dLbl>
            <c:dLbl>
              <c:idx val="4"/>
              <c:layout>
                <c:manualLayout>
                  <c:x val="-6.505266719770259E-3"/>
                  <c:y val="6.3952726162855175E-17"/>
                </c:manualLayout>
              </c:layout>
              <c:tx>
                <c:rich>
                  <a:bodyPr/>
                  <a:lstStyle/>
                  <a:p>
                    <a:pPr>
                      <a:defRPr sz="900">
                        <a:solidFill>
                          <a:schemeClr val="tx1">
                            <a:lumMod val="65000"/>
                            <a:lumOff val="35000"/>
                          </a:schemeClr>
                        </a:solidFill>
                        <a:latin typeface="Times New Roman" panose="02020603050405020304" pitchFamily="18" charset="0"/>
                        <a:cs typeface="Times New Roman" panose="02020603050405020304" pitchFamily="18" charset="0"/>
                      </a:defRPr>
                    </a:pPr>
                    <a:r>
                      <a:rPr lang="lt-LT" sz="900">
                        <a:solidFill>
                          <a:schemeClr val="tx1">
                            <a:lumMod val="65000"/>
                            <a:lumOff val="35000"/>
                          </a:schemeClr>
                        </a:solidFill>
                        <a:latin typeface="Times New Roman" panose="02020603050405020304" pitchFamily="18" charset="0"/>
                        <a:cs typeface="Times New Roman" panose="02020603050405020304" pitchFamily="18" charset="0"/>
                      </a:rPr>
                      <a:t>2</a:t>
                    </a:r>
                    <a:r>
                      <a:rPr lang="en-US" sz="900">
                        <a:solidFill>
                          <a:schemeClr val="tx1">
                            <a:lumMod val="65000"/>
                            <a:lumOff val="35000"/>
                          </a:schemeClr>
                        </a:solidFill>
                        <a:latin typeface="Times New Roman" panose="02020603050405020304" pitchFamily="18" charset="0"/>
                        <a:cs typeface="Times New Roman" panose="02020603050405020304" pitchFamily="18" charset="0"/>
                      </a:rPr>
                      <a:t>%</a:t>
                    </a:r>
                    <a:r>
                      <a:rPr lang="lt-LT" sz="900">
                        <a:solidFill>
                          <a:schemeClr val="tx1">
                            <a:lumMod val="65000"/>
                            <a:lumOff val="35000"/>
                          </a:schemeClr>
                        </a:solidFill>
                        <a:latin typeface="Times New Roman" panose="02020603050405020304" pitchFamily="18" charset="0"/>
                        <a:cs typeface="Times New Roman" panose="02020603050405020304" pitchFamily="18" charset="0"/>
                      </a:rPr>
                      <a:t> (3)</a:t>
                    </a:r>
                    <a:endParaRPr lang="en-US">
                      <a:solidFill>
                        <a:schemeClr val="tx1">
                          <a:lumMod val="65000"/>
                          <a:lumOff val="35000"/>
                        </a:schemeClr>
                      </a:solidFill>
                    </a:endParaRPr>
                  </a:p>
                </c:rich>
              </c:tx>
              <c:spPr/>
              <c:dLblPos val="outEnd"/>
              <c:showLegendKey val="0"/>
              <c:showVal val="1"/>
              <c:showCatName val="0"/>
              <c:showSerName val="0"/>
              <c:showPercent val="0"/>
              <c:showBubbleSize val="0"/>
            </c:dLbl>
            <c:dLbl>
              <c:idx val="5"/>
              <c:layout>
                <c:manualLayout>
                  <c:x val="-4.9362411768197757E-2"/>
                  <c:y val="0"/>
                </c:manualLayout>
              </c:layout>
              <c:tx>
                <c:rich>
                  <a:bodyPr/>
                  <a:lstStyle/>
                  <a:p>
                    <a:pPr>
                      <a:defRPr sz="900">
                        <a:solidFill>
                          <a:schemeClr val="bg1"/>
                        </a:solidFill>
                        <a:latin typeface="Times New Roman" panose="02020603050405020304" pitchFamily="18" charset="0"/>
                        <a:cs typeface="Times New Roman" panose="02020603050405020304" pitchFamily="18" charset="0"/>
                      </a:defRPr>
                    </a:pPr>
                    <a:r>
                      <a:rPr lang="lt-LT" sz="900">
                        <a:solidFill>
                          <a:schemeClr val="bg1"/>
                        </a:solidFill>
                        <a:latin typeface="Times New Roman" panose="02020603050405020304" pitchFamily="18" charset="0"/>
                        <a:cs typeface="Times New Roman" panose="02020603050405020304" pitchFamily="18" charset="0"/>
                      </a:rPr>
                      <a:t>100</a:t>
                    </a:r>
                    <a:r>
                      <a:rPr lang="en-US" sz="900">
                        <a:solidFill>
                          <a:schemeClr val="bg1"/>
                        </a:solidFill>
                        <a:latin typeface="Times New Roman" panose="02020603050405020304" pitchFamily="18" charset="0"/>
                        <a:cs typeface="Times New Roman" panose="02020603050405020304" pitchFamily="18" charset="0"/>
                      </a:rPr>
                      <a:t>%</a:t>
                    </a:r>
                    <a:r>
                      <a:rPr lang="lt-LT" sz="900">
                        <a:solidFill>
                          <a:schemeClr val="bg1"/>
                        </a:solidFill>
                        <a:latin typeface="Times New Roman" panose="02020603050405020304" pitchFamily="18" charset="0"/>
                        <a:cs typeface="Times New Roman" panose="02020603050405020304" pitchFamily="18" charset="0"/>
                      </a:rPr>
                      <a:t> (851)</a:t>
                    </a:r>
                    <a:endParaRPr lang="en-US">
                      <a:solidFill>
                        <a:schemeClr val="bg1"/>
                      </a:solidFill>
                    </a:endParaRPr>
                  </a:p>
                </c:rich>
              </c:tx>
              <c:spPr/>
              <c:dLblPos val="outEnd"/>
              <c:showLegendKey val="0"/>
              <c:showVal val="1"/>
              <c:showCatName val="0"/>
              <c:showSerName val="0"/>
              <c:showPercent val="0"/>
              <c:showBubbleSize val="0"/>
            </c:dLbl>
            <c:dLbl>
              <c:idx val="6"/>
              <c:layout>
                <c:manualLayout>
                  <c:x val="-6.611105768028723E-4"/>
                  <c:y val="0"/>
                </c:manualLayout>
              </c:layout>
              <c:tx>
                <c:rich>
                  <a:bodyPr/>
                  <a:lstStyle/>
                  <a:p>
                    <a:r>
                      <a:rPr lang="lt-LT" sz="900">
                        <a:latin typeface="Times New Roman" panose="02020603050405020304" pitchFamily="18" charset="0"/>
                        <a:cs typeface="Times New Roman" panose="02020603050405020304" pitchFamily="18" charset="0"/>
                      </a:rPr>
                      <a:t>24</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(297)</a:t>
                    </a:r>
                    <a:endParaRPr lang="en-US"/>
                  </a:p>
                </c:rich>
              </c:tx>
              <c:dLblPos val="outEnd"/>
              <c:showLegendKey val="0"/>
              <c:showVal val="1"/>
              <c:showCatName val="0"/>
              <c:showSerName val="0"/>
              <c:showPercent val="0"/>
              <c:showBubbleSize val="0"/>
            </c:dLbl>
            <c:dLbl>
              <c:idx val="7"/>
              <c:layout>
                <c:manualLayout>
                  <c:x val="-1.3119902003358988E-2"/>
                  <c:y val="0"/>
                </c:manualLayout>
              </c:layout>
              <c:tx>
                <c:rich>
                  <a:bodyPr/>
                  <a:lstStyle/>
                  <a:p>
                    <a:r>
                      <a:rPr lang="lt-LT" sz="900">
                        <a:latin typeface="Times New Roman" panose="02020603050405020304" pitchFamily="18" charset="0"/>
                        <a:cs typeface="Times New Roman" panose="02020603050405020304" pitchFamily="18" charset="0"/>
                      </a:rPr>
                      <a:t>7</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(85)</a:t>
                    </a:r>
                    <a:endParaRPr lang="en-US"/>
                  </a:p>
                </c:rich>
              </c:tx>
              <c:dLblPos val="outEnd"/>
              <c:showLegendKey val="0"/>
              <c:showVal val="1"/>
              <c:showCatName val="0"/>
              <c:showSerName val="0"/>
              <c:showPercent val="0"/>
              <c:showBubbleSize val="0"/>
            </c:dLbl>
            <c:dLbl>
              <c:idx val="8"/>
              <c:layout>
                <c:manualLayout>
                  <c:x val="-1.2349422862737646E-2"/>
                  <c:y val="0"/>
                </c:manualLayout>
              </c:layout>
              <c:tx>
                <c:rich>
                  <a:bodyPr/>
                  <a:lstStyle/>
                  <a:p>
                    <a:r>
                      <a:rPr lang="lt-LT" sz="900">
                        <a:latin typeface="Times New Roman" panose="02020603050405020304" pitchFamily="18" charset="0"/>
                        <a:cs typeface="Times New Roman" panose="02020603050405020304" pitchFamily="18" charset="0"/>
                      </a:rPr>
                      <a:t>28</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(60)</a:t>
                    </a:r>
                    <a:endParaRPr lang="en-US"/>
                  </a:p>
                </c:rich>
              </c:tx>
              <c:dLblPos val="outEnd"/>
              <c:showLegendKey val="0"/>
              <c:showVal val="1"/>
              <c:showCatName val="0"/>
              <c:showSerName val="0"/>
              <c:showPercent val="0"/>
              <c:showBubbleSize val="0"/>
            </c:dLbl>
            <c:dLbl>
              <c:idx val="9"/>
              <c:layout>
                <c:manualLayout>
                  <c:x val="-9.740260238278977E-3"/>
                  <c:y val="0"/>
                </c:manualLayout>
              </c:layout>
              <c:tx>
                <c:rich>
                  <a:bodyPr/>
                  <a:lstStyle/>
                  <a:p>
                    <a:r>
                      <a:rPr lang="lt-LT" sz="900">
                        <a:latin typeface="Times New Roman" panose="02020603050405020304" pitchFamily="18" charset="0"/>
                        <a:cs typeface="Times New Roman" panose="02020603050405020304" pitchFamily="18" charset="0"/>
                      </a:rPr>
                      <a:t>5</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(36)</a:t>
                    </a:r>
                    <a:endParaRPr lang="en-US"/>
                  </a:p>
                </c:rich>
              </c:tx>
              <c:showLegendKey val="0"/>
              <c:showVal val="1"/>
              <c:showCatName val="0"/>
              <c:showSerName val="0"/>
              <c:showPercent val="0"/>
              <c:showBubbleSize val="0"/>
            </c:dLbl>
            <c:txPr>
              <a:bodyPr/>
              <a:lstStyle/>
              <a:p>
                <a:pPr>
                  <a:defRPr sz="900">
                    <a:solidFill>
                      <a:schemeClr val="tx1">
                        <a:lumMod val="75000"/>
                        <a:lumOff val="25000"/>
                      </a:schemeClr>
                    </a:solidFill>
                    <a:latin typeface="Times New Roman" panose="02020603050405020304" pitchFamily="18" charset="0"/>
                    <a:cs typeface="Times New Roman" panose="02020603050405020304" pitchFamily="18" charset="0"/>
                  </a:defRPr>
                </a:pPr>
                <a:endParaRPr lang="lt-LT"/>
              </a:p>
            </c:txPr>
            <c:dLblPos val="inEnd"/>
            <c:showLegendKey val="0"/>
            <c:showVal val="1"/>
            <c:showCatName val="0"/>
            <c:showSerName val="0"/>
            <c:showPercent val="0"/>
            <c:showBubbleSize val="0"/>
            <c:showLeaderLines val="0"/>
          </c:dLbls>
          <c:cat>
            <c:strRef>
              <c:f>'Pagal minist '!$B$17:$B$26</c:f>
              <c:strCache>
                <c:ptCount val="10"/>
                <c:pt idx="0">
                  <c:v>EIM</c:v>
                </c:pt>
                <c:pt idx="1">
                  <c:v>SAM</c:v>
                </c:pt>
                <c:pt idx="2">
                  <c:v>EM</c:v>
                </c:pt>
                <c:pt idx="3">
                  <c:v>VRM</c:v>
                </c:pt>
                <c:pt idx="4">
                  <c:v>KM</c:v>
                </c:pt>
                <c:pt idx="5">
                  <c:v>ŠMSM</c:v>
                </c:pt>
                <c:pt idx="6">
                  <c:v>SM</c:v>
                </c:pt>
                <c:pt idx="7">
                  <c:v>AM</c:v>
                </c:pt>
                <c:pt idx="8">
                  <c:v>FM</c:v>
                </c:pt>
                <c:pt idx="9">
                  <c:v>SADM</c:v>
                </c:pt>
              </c:strCache>
            </c:strRef>
          </c:cat>
          <c:val>
            <c:numRef>
              <c:f>'Pagal minist '!$C$17:$C$26</c:f>
              <c:numCache>
                <c:formatCode>0%</c:formatCode>
                <c:ptCount val="10"/>
                <c:pt idx="0">
                  <c:v>1</c:v>
                </c:pt>
                <c:pt idx="1">
                  <c:v>1</c:v>
                </c:pt>
                <c:pt idx="2">
                  <c:v>1</c:v>
                </c:pt>
                <c:pt idx="3">
                  <c:v>1</c:v>
                </c:pt>
                <c:pt idx="4">
                  <c:v>1</c:v>
                </c:pt>
                <c:pt idx="5">
                  <c:v>1</c:v>
                </c:pt>
                <c:pt idx="6">
                  <c:v>1</c:v>
                </c:pt>
                <c:pt idx="7">
                  <c:v>1</c:v>
                </c:pt>
                <c:pt idx="8">
                  <c:v>1</c:v>
                </c:pt>
                <c:pt idx="9">
                  <c:v>1</c:v>
                </c:pt>
              </c:numCache>
            </c:numRef>
          </c:val>
        </c:ser>
        <c:ser>
          <c:idx val="1"/>
          <c:order val="1"/>
          <c:tx>
            <c:strRef>
              <c:f>'Pagal minist '!$E$16</c:f>
              <c:strCache>
                <c:ptCount val="1"/>
                <c:pt idx="0">
                  <c:v>Sudaryta projektų sutarčių</c:v>
                </c:pt>
              </c:strCache>
            </c:strRef>
          </c:tx>
          <c:spPr>
            <a:solidFill>
              <a:schemeClr val="accent1"/>
            </a:solidFill>
            <a:ln w="63500">
              <a:solidFill>
                <a:schemeClr val="accent1"/>
              </a:solidFill>
            </a:ln>
          </c:spPr>
          <c:invertIfNegative val="0"/>
          <c:dLbls>
            <c:dLbl>
              <c:idx val="0"/>
              <c:layout/>
              <c:tx>
                <c:rich>
                  <a:bodyPr/>
                  <a:lstStyle/>
                  <a:p>
                    <a:r>
                      <a:rPr lang="lt-LT" sz="900">
                        <a:latin typeface="Times New Roman" panose="02020603050405020304" pitchFamily="18" charset="0"/>
                        <a:cs typeface="Times New Roman" panose="02020603050405020304" pitchFamily="18" charset="0"/>
                      </a:rPr>
                      <a:t>91</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(984)</a:t>
                    </a:r>
                    <a:endParaRPr lang="en-US"/>
                  </a:p>
                </c:rich>
              </c:tx>
              <c:dLblPos val="inEnd"/>
              <c:showLegendKey val="0"/>
              <c:showVal val="1"/>
              <c:showCatName val="0"/>
              <c:showSerName val="0"/>
              <c:showPercent val="0"/>
              <c:showBubbleSize val="0"/>
            </c:dLbl>
            <c:dLbl>
              <c:idx val="1"/>
              <c:layout/>
              <c:tx>
                <c:rich>
                  <a:bodyPr/>
                  <a:lstStyle/>
                  <a:p>
                    <a:r>
                      <a:rPr lang="lt-LT" sz="900">
                        <a:latin typeface="Times New Roman" panose="02020603050405020304" pitchFamily="18" charset="0"/>
                        <a:cs typeface="Times New Roman" panose="02020603050405020304" pitchFamily="18" charset="0"/>
                      </a:rPr>
                      <a:t>94</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(242)</a:t>
                    </a:r>
                    <a:endParaRPr lang="en-US"/>
                  </a:p>
                </c:rich>
              </c:tx>
              <c:dLblPos val="inEnd"/>
              <c:showLegendKey val="0"/>
              <c:showVal val="1"/>
              <c:showCatName val="0"/>
              <c:showSerName val="0"/>
              <c:showPercent val="0"/>
              <c:showBubbleSize val="0"/>
            </c:dLbl>
            <c:dLbl>
              <c:idx val="2"/>
              <c:tx>
                <c:rich>
                  <a:bodyPr/>
                  <a:lstStyle/>
                  <a:p>
                    <a:r>
                      <a:rPr lang="en-US" sz="900">
                        <a:latin typeface="Times New Roman" panose="02020603050405020304" pitchFamily="18" charset="0"/>
                        <a:cs typeface="Times New Roman" panose="02020603050405020304" pitchFamily="18" charset="0"/>
                      </a:rPr>
                      <a:t>91%</a:t>
                    </a:r>
                    <a:r>
                      <a:rPr lang="lt-LT" sz="900">
                        <a:latin typeface="Times New Roman" panose="02020603050405020304" pitchFamily="18" charset="0"/>
                        <a:cs typeface="Times New Roman" panose="02020603050405020304" pitchFamily="18" charset="0"/>
                      </a:rPr>
                      <a:t> (444)</a:t>
                    </a:r>
                    <a:endParaRPr lang="en-US"/>
                  </a:p>
                </c:rich>
              </c:tx>
              <c:dLblPos val="inEnd"/>
              <c:showLegendKey val="0"/>
              <c:showVal val="1"/>
              <c:showCatName val="0"/>
              <c:showSerName val="0"/>
              <c:showPercent val="0"/>
              <c:showBubbleSize val="0"/>
            </c:dLbl>
            <c:dLbl>
              <c:idx val="3"/>
              <c:layout/>
              <c:tx>
                <c:rich>
                  <a:bodyPr/>
                  <a:lstStyle/>
                  <a:p>
                    <a:r>
                      <a:rPr lang="en-US" sz="900">
                        <a:latin typeface="Times New Roman" panose="02020603050405020304" pitchFamily="18" charset="0"/>
                        <a:cs typeface="Times New Roman" panose="02020603050405020304" pitchFamily="18" charset="0"/>
                      </a:rPr>
                      <a:t>9</a:t>
                    </a:r>
                    <a:r>
                      <a:rPr lang="lt-LT" sz="900">
                        <a:latin typeface="Times New Roman" panose="02020603050405020304" pitchFamily="18" charset="0"/>
                        <a:cs typeface="Times New Roman" panose="02020603050405020304" pitchFamily="18" charset="0"/>
                      </a:rPr>
                      <a:t>2</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(451)</a:t>
                    </a:r>
                    <a:endParaRPr lang="en-US"/>
                  </a:p>
                </c:rich>
              </c:tx>
              <c:dLblPos val="inEnd"/>
              <c:showLegendKey val="0"/>
              <c:showVal val="1"/>
              <c:showCatName val="0"/>
              <c:showSerName val="0"/>
              <c:showPercent val="0"/>
              <c:showBubbleSize val="0"/>
            </c:dLbl>
            <c:dLbl>
              <c:idx val="4"/>
              <c:layout>
                <c:manualLayout>
                  <c:x val="-7.2642860857084615E-2"/>
                  <c:y val="6.3952726162855175E-17"/>
                </c:manualLayout>
              </c:layout>
              <c:tx>
                <c:rich>
                  <a:bodyPr/>
                  <a:lstStyle/>
                  <a:p>
                    <a:r>
                      <a:rPr lang="en-US" sz="900">
                        <a:latin typeface="Times New Roman" panose="02020603050405020304" pitchFamily="18" charset="0"/>
                        <a:cs typeface="Times New Roman" panose="02020603050405020304" pitchFamily="18" charset="0"/>
                      </a:rPr>
                      <a:t>98%</a:t>
                    </a:r>
                    <a:r>
                      <a:rPr lang="lt-LT" sz="900">
                        <a:latin typeface="Times New Roman" panose="02020603050405020304" pitchFamily="18" charset="0"/>
                        <a:cs typeface="Times New Roman" panose="02020603050405020304" pitchFamily="18" charset="0"/>
                      </a:rPr>
                      <a:t> (189)</a:t>
                    </a:r>
                    <a:endParaRPr lang="en-US"/>
                  </a:p>
                </c:rich>
              </c:tx>
              <c:dLblPos val="outEnd"/>
              <c:showLegendKey val="0"/>
              <c:showVal val="1"/>
              <c:showCatName val="0"/>
              <c:showSerName val="0"/>
              <c:showPercent val="0"/>
              <c:showBubbleSize val="0"/>
            </c:dLbl>
            <c:dLbl>
              <c:idx val="5"/>
              <c:tx>
                <c:rich>
                  <a:bodyPr/>
                  <a:lstStyle/>
                  <a:p>
                    <a:r>
                      <a:rPr lang="en-US" sz="900">
                        <a:latin typeface="Times New Roman" panose="02020603050405020304" pitchFamily="18" charset="0"/>
                        <a:cs typeface="Times New Roman" panose="02020603050405020304" pitchFamily="18" charset="0"/>
                      </a:rPr>
                      <a:t>95%</a:t>
                    </a:r>
                    <a:r>
                      <a:rPr lang="lt-LT" sz="900">
                        <a:latin typeface="Times New Roman" panose="02020603050405020304" pitchFamily="18" charset="0"/>
                        <a:cs typeface="Times New Roman" panose="02020603050405020304" pitchFamily="18" charset="0"/>
                      </a:rPr>
                      <a:t>  (808)</a:t>
                    </a:r>
                    <a:endParaRPr lang="en-US"/>
                  </a:p>
                </c:rich>
              </c:tx>
              <c:dLblPos val="inEnd"/>
              <c:showLegendKey val="0"/>
              <c:showVal val="1"/>
              <c:showCatName val="0"/>
              <c:showSerName val="0"/>
              <c:showPercent val="0"/>
              <c:showBubbleSize val="0"/>
            </c:dLbl>
            <c:dLbl>
              <c:idx val="6"/>
              <c:layout/>
              <c:tx>
                <c:rich>
                  <a:bodyPr/>
                  <a:lstStyle/>
                  <a:p>
                    <a:r>
                      <a:rPr lang="en-US" sz="900">
                        <a:latin typeface="Times New Roman" panose="02020603050405020304" pitchFamily="18" charset="0"/>
                        <a:cs typeface="Times New Roman" panose="02020603050405020304" pitchFamily="18" charset="0"/>
                      </a:rPr>
                      <a:t>7</a:t>
                    </a:r>
                    <a:r>
                      <a:rPr lang="lt-LT" sz="900">
                        <a:latin typeface="Times New Roman" panose="02020603050405020304" pitchFamily="18" charset="0"/>
                        <a:cs typeface="Times New Roman" panose="02020603050405020304" pitchFamily="18" charset="0"/>
                      </a:rPr>
                      <a:t>6</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(962)</a:t>
                    </a:r>
                    <a:endParaRPr lang="en-US"/>
                  </a:p>
                </c:rich>
              </c:tx>
              <c:dLblPos val="inEnd"/>
              <c:showLegendKey val="0"/>
              <c:showVal val="1"/>
              <c:showCatName val="0"/>
              <c:showSerName val="0"/>
              <c:showPercent val="0"/>
              <c:showBubbleSize val="0"/>
            </c:dLbl>
            <c:dLbl>
              <c:idx val="7"/>
              <c:layout/>
              <c:tx>
                <c:rich>
                  <a:bodyPr/>
                  <a:lstStyle/>
                  <a:p>
                    <a:r>
                      <a:rPr lang="en-US" sz="900">
                        <a:latin typeface="Times New Roman" panose="02020603050405020304" pitchFamily="18" charset="0"/>
                        <a:cs typeface="Times New Roman" panose="02020603050405020304" pitchFamily="18" charset="0"/>
                      </a:rPr>
                      <a:t>9</a:t>
                    </a:r>
                    <a:r>
                      <a:rPr lang="lt-LT" sz="900">
                        <a:latin typeface="Times New Roman" panose="02020603050405020304" pitchFamily="18" charset="0"/>
                        <a:cs typeface="Times New Roman" panose="02020603050405020304" pitchFamily="18" charset="0"/>
                      </a:rPr>
                      <a:t>3</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(1083)</a:t>
                    </a:r>
                    <a:endParaRPr lang="en-US"/>
                  </a:p>
                </c:rich>
              </c:tx>
              <c:dLblPos val="inEnd"/>
              <c:showLegendKey val="0"/>
              <c:showVal val="1"/>
              <c:showCatName val="0"/>
              <c:showSerName val="0"/>
              <c:showPercent val="0"/>
              <c:showBubbleSize val="0"/>
            </c:dLbl>
            <c:dLbl>
              <c:idx val="8"/>
              <c:layout>
                <c:manualLayout>
                  <c:x val="-6.0545457641142122E-2"/>
                  <c:y val="0"/>
                </c:manualLayout>
              </c:layout>
              <c:tx>
                <c:rich>
                  <a:bodyPr/>
                  <a:lstStyle/>
                  <a:p>
                    <a:r>
                      <a:rPr lang="lt-LT" sz="900">
                        <a:latin typeface="Times New Roman" panose="02020603050405020304" pitchFamily="18" charset="0"/>
                        <a:cs typeface="Times New Roman" panose="02020603050405020304" pitchFamily="18" charset="0"/>
                      </a:rPr>
                      <a:t>72</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(153)</a:t>
                    </a:r>
                    <a:endParaRPr lang="en-US"/>
                  </a:p>
                </c:rich>
              </c:tx>
              <c:dLblPos val="outEnd"/>
              <c:showLegendKey val="0"/>
              <c:showVal val="1"/>
              <c:showCatName val="0"/>
              <c:showSerName val="0"/>
              <c:showPercent val="0"/>
              <c:showBubbleSize val="0"/>
            </c:dLbl>
            <c:dLbl>
              <c:idx val="9"/>
              <c:layout/>
              <c:tx>
                <c:rich>
                  <a:bodyPr/>
                  <a:lstStyle/>
                  <a:p>
                    <a:r>
                      <a:rPr lang="en-US" sz="900">
                        <a:latin typeface="Times New Roman" panose="02020603050405020304" pitchFamily="18" charset="0"/>
                        <a:cs typeface="Times New Roman" panose="02020603050405020304" pitchFamily="18" charset="0"/>
                      </a:rPr>
                      <a:t>9</a:t>
                    </a:r>
                    <a:r>
                      <a:rPr lang="lt-LT" sz="900">
                        <a:latin typeface="Times New Roman" panose="02020603050405020304" pitchFamily="18" charset="0"/>
                        <a:cs typeface="Times New Roman" panose="02020603050405020304" pitchFamily="18" charset="0"/>
                      </a:rPr>
                      <a:t>5</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(678)</a:t>
                    </a:r>
                    <a:endParaRPr lang="en-US"/>
                  </a:p>
                </c:rich>
              </c:tx>
              <c:dLblPos val="inEnd"/>
              <c:showLegendKey val="0"/>
              <c:showVal val="1"/>
              <c:showCatName val="0"/>
              <c:showSerName val="0"/>
              <c:showPercent val="0"/>
              <c:showBubbleSize val="0"/>
            </c:dLbl>
            <c:txPr>
              <a:bodyPr/>
              <a:lstStyle/>
              <a:p>
                <a:pPr>
                  <a:defRPr sz="900">
                    <a:solidFill>
                      <a:schemeClr val="bg1"/>
                    </a:solidFill>
                    <a:latin typeface="Times New Roman" panose="02020603050405020304" pitchFamily="18" charset="0"/>
                    <a:cs typeface="Times New Roman" panose="02020603050405020304" pitchFamily="18" charset="0"/>
                  </a:defRPr>
                </a:pPr>
                <a:endParaRPr lang="lt-LT"/>
              </a:p>
            </c:txPr>
            <c:dLblPos val="inEnd"/>
            <c:showLegendKey val="0"/>
            <c:showVal val="1"/>
            <c:showCatName val="0"/>
            <c:showSerName val="0"/>
            <c:showPercent val="0"/>
            <c:showBubbleSize val="0"/>
            <c:showLeaderLines val="0"/>
          </c:dLbls>
          <c:cat>
            <c:strRef>
              <c:f>'Pagal minist '!$B$17:$B$26</c:f>
              <c:strCache>
                <c:ptCount val="10"/>
                <c:pt idx="0">
                  <c:v>EIM</c:v>
                </c:pt>
                <c:pt idx="1">
                  <c:v>SAM</c:v>
                </c:pt>
                <c:pt idx="2">
                  <c:v>EM</c:v>
                </c:pt>
                <c:pt idx="3">
                  <c:v>VRM</c:v>
                </c:pt>
                <c:pt idx="4">
                  <c:v>KM</c:v>
                </c:pt>
                <c:pt idx="5">
                  <c:v>ŠMSM</c:v>
                </c:pt>
                <c:pt idx="6">
                  <c:v>SM</c:v>
                </c:pt>
                <c:pt idx="7">
                  <c:v>AM</c:v>
                </c:pt>
                <c:pt idx="8">
                  <c:v>FM</c:v>
                </c:pt>
                <c:pt idx="9">
                  <c:v>SADM</c:v>
                </c:pt>
              </c:strCache>
            </c:strRef>
          </c:cat>
          <c:val>
            <c:numRef>
              <c:f>'Pagal minist '!$E$17:$E$26</c:f>
              <c:numCache>
                <c:formatCode>0%</c:formatCode>
                <c:ptCount val="10"/>
                <c:pt idx="0">
                  <c:v>0.90822792521349294</c:v>
                </c:pt>
                <c:pt idx="1">
                  <c:v>0.93756098158132972</c:v>
                </c:pt>
                <c:pt idx="2">
                  <c:v>1.0412063865692434</c:v>
                </c:pt>
                <c:pt idx="3">
                  <c:v>0.92332854085214755</c:v>
                </c:pt>
                <c:pt idx="4">
                  <c:v>0.9820908357144833</c:v>
                </c:pt>
                <c:pt idx="5">
                  <c:v>1.0000837957530917</c:v>
                </c:pt>
                <c:pt idx="6">
                  <c:v>0.76434867641116533</c:v>
                </c:pt>
                <c:pt idx="7">
                  <c:v>0.92734721715979662</c:v>
                </c:pt>
                <c:pt idx="8">
                  <c:v>0.71651812611185106</c:v>
                </c:pt>
                <c:pt idx="9">
                  <c:v>0.94941328076088305</c:v>
                </c:pt>
              </c:numCache>
            </c:numRef>
          </c:val>
        </c:ser>
        <c:ser>
          <c:idx val="2"/>
          <c:order val="2"/>
          <c:tx>
            <c:strRef>
              <c:f>'Pagal minist '!$F$16</c:f>
              <c:strCache>
                <c:ptCount val="1"/>
                <c:pt idx="0">
                  <c:v>Investuota projektuose</c:v>
                </c:pt>
              </c:strCache>
            </c:strRef>
          </c:tx>
          <c:spPr>
            <a:ln>
              <a:noFill/>
            </a:ln>
          </c:spPr>
          <c:invertIfNegative val="0"/>
          <c:dLbls>
            <c:dLbl>
              <c:idx val="0"/>
              <c:layout/>
              <c:tx>
                <c:rich>
                  <a:bodyPr/>
                  <a:lstStyle/>
                  <a:p>
                    <a:r>
                      <a:rPr lang="en-US" sz="900">
                        <a:latin typeface="Times New Roman" panose="02020603050405020304" pitchFamily="18" charset="0"/>
                        <a:cs typeface="Times New Roman" panose="02020603050405020304" pitchFamily="18" charset="0"/>
                      </a:rPr>
                      <a:t>4</a:t>
                    </a:r>
                    <a:r>
                      <a:rPr lang="lt-LT" sz="900">
                        <a:latin typeface="Times New Roman" panose="02020603050405020304" pitchFamily="18" charset="0"/>
                        <a:cs typeface="Times New Roman" panose="02020603050405020304" pitchFamily="18" charset="0"/>
                      </a:rPr>
                      <a:t>5</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(485)</a:t>
                    </a:r>
                    <a:endParaRPr lang="en-US"/>
                  </a:p>
                </c:rich>
              </c:tx>
              <c:dLblPos val="inEnd"/>
              <c:showLegendKey val="0"/>
              <c:showVal val="1"/>
              <c:showCatName val="0"/>
              <c:showSerName val="0"/>
              <c:showPercent val="0"/>
              <c:showBubbleSize val="0"/>
            </c:dLbl>
            <c:dLbl>
              <c:idx val="1"/>
              <c:layout/>
              <c:tx>
                <c:rich>
                  <a:bodyPr/>
                  <a:lstStyle/>
                  <a:p>
                    <a:r>
                      <a:rPr lang="lt-LT" sz="900">
                        <a:latin typeface="Times New Roman" panose="02020603050405020304" pitchFamily="18" charset="0"/>
                        <a:cs typeface="Times New Roman" panose="02020603050405020304" pitchFamily="18" charset="0"/>
                      </a:rPr>
                      <a:t>47</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(120)</a:t>
                    </a:r>
                    <a:endParaRPr lang="en-US"/>
                  </a:p>
                </c:rich>
              </c:tx>
              <c:dLblPos val="inEnd"/>
              <c:showLegendKey val="0"/>
              <c:showVal val="1"/>
              <c:showCatName val="0"/>
              <c:showSerName val="0"/>
              <c:showPercent val="0"/>
              <c:showBubbleSize val="0"/>
            </c:dLbl>
            <c:dLbl>
              <c:idx val="2"/>
              <c:layout/>
              <c:tx>
                <c:rich>
                  <a:bodyPr/>
                  <a:lstStyle/>
                  <a:p>
                    <a:r>
                      <a:rPr lang="en-US" sz="900">
                        <a:latin typeface="Times New Roman" panose="02020603050405020304" pitchFamily="18" charset="0"/>
                        <a:cs typeface="Times New Roman" panose="02020603050405020304" pitchFamily="18" charset="0"/>
                      </a:rPr>
                      <a:t>4</a:t>
                    </a:r>
                    <a:r>
                      <a:rPr lang="lt-LT" sz="900">
                        <a:latin typeface="Times New Roman" panose="02020603050405020304" pitchFamily="18" charset="0"/>
                        <a:cs typeface="Times New Roman" panose="02020603050405020304" pitchFamily="18" charset="0"/>
                      </a:rPr>
                      <a:t>9</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(237)</a:t>
                    </a:r>
                    <a:endParaRPr lang="en-US"/>
                  </a:p>
                </c:rich>
              </c:tx>
              <c:dLblPos val="inEnd"/>
              <c:showLegendKey val="0"/>
              <c:showVal val="1"/>
              <c:showCatName val="0"/>
              <c:showSerName val="0"/>
              <c:showPercent val="0"/>
              <c:showBubbleSize val="0"/>
            </c:dLbl>
            <c:dLbl>
              <c:idx val="3"/>
              <c:layout/>
              <c:tx>
                <c:rich>
                  <a:bodyPr/>
                  <a:lstStyle/>
                  <a:p>
                    <a:r>
                      <a:rPr lang="lt-LT" sz="900">
                        <a:latin typeface="Times New Roman" panose="02020603050405020304" pitchFamily="18" charset="0"/>
                        <a:cs typeface="Times New Roman" panose="02020603050405020304" pitchFamily="18" charset="0"/>
                      </a:rPr>
                      <a:t>50</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(244)</a:t>
                    </a:r>
                    <a:endParaRPr lang="en-US"/>
                  </a:p>
                </c:rich>
              </c:tx>
              <c:dLblPos val="inEnd"/>
              <c:showLegendKey val="0"/>
              <c:showVal val="1"/>
              <c:showCatName val="0"/>
              <c:showSerName val="0"/>
              <c:showPercent val="0"/>
              <c:showBubbleSize val="0"/>
            </c:dLbl>
            <c:dLbl>
              <c:idx val="4"/>
              <c:layout/>
              <c:tx>
                <c:rich>
                  <a:bodyPr/>
                  <a:lstStyle/>
                  <a:p>
                    <a:r>
                      <a:rPr lang="lt-LT" sz="900">
                        <a:latin typeface="Times New Roman" panose="02020603050405020304" pitchFamily="18" charset="0"/>
                        <a:cs typeface="Times New Roman" panose="02020603050405020304" pitchFamily="18" charset="0"/>
                      </a:rPr>
                      <a:t>51</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(97)</a:t>
                    </a:r>
                    <a:endParaRPr lang="en-US"/>
                  </a:p>
                </c:rich>
              </c:tx>
              <c:dLblPos val="inEnd"/>
              <c:showLegendKey val="0"/>
              <c:showVal val="1"/>
              <c:showCatName val="0"/>
              <c:showSerName val="0"/>
              <c:showPercent val="0"/>
              <c:showBubbleSize val="0"/>
            </c:dLbl>
            <c:dLbl>
              <c:idx val="5"/>
              <c:layout/>
              <c:tx>
                <c:rich>
                  <a:bodyPr/>
                  <a:lstStyle/>
                  <a:p>
                    <a:r>
                      <a:rPr lang="lt-LT" sz="900">
                        <a:latin typeface="Times New Roman" panose="02020603050405020304" pitchFamily="18" charset="0"/>
                        <a:cs typeface="Times New Roman" panose="02020603050405020304" pitchFamily="18" charset="0"/>
                      </a:rPr>
                      <a:t>52</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(446)</a:t>
                    </a:r>
                    <a:endParaRPr lang="en-US"/>
                  </a:p>
                </c:rich>
              </c:tx>
              <c:dLblPos val="inEnd"/>
              <c:showLegendKey val="0"/>
              <c:showVal val="1"/>
              <c:showCatName val="0"/>
              <c:showSerName val="0"/>
              <c:showPercent val="0"/>
              <c:showBubbleSize val="0"/>
            </c:dLbl>
            <c:dLbl>
              <c:idx val="6"/>
              <c:layout/>
              <c:tx>
                <c:rich>
                  <a:bodyPr/>
                  <a:lstStyle/>
                  <a:p>
                    <a:r>
                      <a:rPr lang="en-US" sz="900">
                        <a:latin typeface="Times New Roman" panose="02020603050405020304" pitchFamily="18" charset="0"/>
                        <a:cs typeface="Times New Roman" panose="02020603050405020304" pitchFamily="18" charset="0"/>
                      </a:rPr>
                      <a:t>5</a:t>
                    </a:r>
                    <a:r>
                      <a:rPr lang="lt-LT" sz="900">
                        <a:latin typeface="Times New Roman" panose="02020603050405020304" pitchFamily="18" charset="0"/>
                        <a:cs typeface="Times New Roman" panose="02020603050405020304" pitchFamily="18" charset="0"/>
                      </a:rPr>
                      <a:t>3</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(671)</a:t>
                    </a:r>
                    <a:endParaRPr lang="en-US"/>
                  </a:p>
                </c:rich>
              </c:tx>
              <c:dLblPos val="inEnd"/>
              <c:showLegendKey val="0"/>
              <c:showVal val="1"/>
              <c:showCatName val="0"/>
              <c:showSerName val="0"/>
              <c:showPercent val="0"/>
              <c:showBubbleSize val="0"/>
            </c:dLbl>
            <c:dLbl>
              <c:idx val="7"/>
              <c:layout/>
              <c:tx>
                <c:rich>
                  <a:bodyPr/>
                  <a:lstStyle/>
                  <a:p>
                    <a:r>
                      <a:rPr lang="en-US" sz="900">
                        <a:latin typeface="Times New Roman" panose="02020603050405020304" pitchFamily="18" charset="0"/>
                        <a:cs typeface="Times New Roman" panose="02020603050405020304" pitchFamily="18" charset="0"/>
                      </a:rPr>
                      <a:t>6</a:t>
                    </a:r>
                    <a:r>
                      <a:rPr lang="lt-LT" sz="900">
                        <a:latin typeface="Times New Roman" panose="02020603050405020304" pitchFamily="18" charset="0"/>
                        <a:cs typeface="Times New Roman" panose="02020603050405020304" pitchFamily="18" charset="0"/>
                      </a:rPr>
                      <a:t>5</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(760)</a:t>
                    </a:r>
                    <a:endParaRPr lang="en-US"/>
                  </a:p>
                </c:rich>
              </c:tx>
              <c:dLblPos val="inEnd"/>
              <c:showLegendKey val="0"/>
              <c:showVal val="1"/>
              <c:showCatName val="0"/>
              <c:showSerName val="0"/>
              <c:showPercent val="0"/>
              <c:showBubbleSize val="0"/>
            </c:dLbl>
            <c:dLbl>
              <c:idx val="8"/>
              <c:layout/>
              <c:tx>
                <c:rich>
                  <a:bodyPr/>
                  <a:lstStyle/>
                  <a:p>
                    <a:r>
                      <a:rPr lang="en-US" sz="900">
                        <a:latin typeface="Times New Roman" panose="02020603050405020304" pitchFamily="18" charset="0"/>
                        <a:cs typeface="Times New Roman" panose="02020603050405020304" pitchFamily="18" charset="0"/>
                      </a:rPr>
                      <a:t>6</a:t>
                    </a:r>
                    <a:r>
                      <a:rPr lang="lt-LT" sz="900">
                        <a:latin typeface="Times New Roman" panose="02020603050405020304" pitchFamily="18" charset="0"/>
                        <a:cs typeface="Times New Roman" panose="02020603050405020304" pitchFamily="18" charset="0"/>
                      </a:rPr>
                      <a:t>6</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(140)</a:t>
                    </a:r>
                    <a:endParaRPr lang="en-US"/>
                  </a:p>
                </c:rich>
              </c:tx>
              <c:dLblPos val="inEnd"/>
              <c:showLegendKey val="0"/>
              <c:showVal val="1"/>
              <c:showCatName val="0"/>
              <c:showSerName val="0"/>
              <c:showPercent val="0"/>
              <c:showBubbleSize val="0"/>
            </c:dLbl>
            <c:dLbl>
              <c:idx val="9"/>
              <c:layout/>
              <c:tx>
                <c:rich>
                  <a:bodyPr/>
                  <a:lstStyle/>
                  <a:p>
                    <a:r>
                      <a:rPr lang="en-US" sz="900">
                        <a:latin typeface="Times New Roman" panose="02020603050405020304" pitchFamily="18" charset="0"/>
                        <a:cs typeface="Times New Roman" panose="02020603050405020304" pitchFamily="18" charset="0"/>
                      </a:rPr>
                      <a:t>6</a:t>
                    </a:r>
                    <a:r>
                      <a:rPr lang="lt-LT" sz="900">
                        <a:latin typeface="Times New Roman" panose="02020603050405020304" pitchFamily="18" charset="0"/>
                        <a:cs typeface="Times New Roman" panose="02020603050405020304" pitchFamily="18" charset="0"/>
                      </a:rPr>
                      <a:t>9</a:t>
                    </a:r>
                    <a:r>
                      <a:rPr lang="en-US" sz="900">
                        <a:latin typeface="Times New Roman" panose="02020603050405020304" pitchFamily="18" charset="0"/>
                        <a:cs typeface="Times New Roman" panose="02020603050405020304" pitchFamily="18" charset="0"/>
                      </a:rPr>
                      <a:t>%</a:t>
                    </a:r>
                    <a:r>
                      <a:rPr lang="lt-LT" sz="900">
                        <a:latin typeface="Times New Roman" panose="02020603050405020304" pitchFamily="18" charset="0"/>
                        <a:cs typeface="Times New Roman" panose="02020603050405020304" pitchFamily="18" charset="0"/>
                      </a:rPr>
                      <a:t> (494)</a:t>
                    </a:r>
                    <a:endParaRPr lang="en-US"/>
                  </a:p>
                </c:rich>
              </c:tx>
              <c:dLblPos val="inEnd"/>
              <c:showLegendKey val="0"/>
              <c:showVal val="1"/>
              <c:showCatName val="0"/>
              <c:showSerName val="0"/>
              <c:showPercent val="0"/>
              <c:showBubbleSize val="0"/>
            </c:dLbl>
            <c:txPr>
              <a:bodyPr/>
              <a:lstStyle/>
              <a:p>
                <a:pPr>
                  <a:defRPr sz="900">
                    <a:solidFill>
                      <a:schemeClr val="bg1"/>
                    </a:solidFill>
                    <a:latin typeface="Times New Roman" panose="02020603050405020304" pitchFamily="18" charset="0"/>
                    <a:cs typeface="Times New Roman" panose="02020603050405020304" pitchFamily="18" charset="0"/>
                  </a:defRPr>
                </a:pPr>
                <a:endParaRPr lang="lt-LT"/>
              </a:p>
            </c:txPr>
            <c:dLblPos val="inEnd"/>
            <c:showLegendKey val="0"/>
            <c:showVal val="1"/>
            <c:showCatName val="0"/>
            <c:showSerName val="0"/>
            <c:showPercent val="0"/>
            <c:showBubbleSize val="0"/>
            <c:showLeaderLines val="0"/>
          </c:dLbls>
          <c:cat>
            <c:strRef>
              <c:f>'Pagal minist '!$B$17:$B$26</c:f>
              <c:strCache>
                <c:ptCount val="10"/>
                <c:pt idx="0">
                  <c:v>EIM</c:v>
                </c:pt>
                <c:pt idx="1">
                  <c:v>SAM</c:v>
                </c:pt>
                <c:pt idx="2">
                  <c:v>EM</c:v>
                </c:pt>
                <c:pt idx="3">
                  <c:v>VRM</c:v>
                </c:pt>
                <c:pt idx="4">
                  <c:v>KM</c:v>
                </c:pt>
                <c:pt idx="5">
                  <c:v>ŠMSM</c:v>
                </c:pt>
                <c:pt idx="6">
                  <c:v>SM</c:v>
                </c:pt>
                <c:pt idx="7">
                  <c:v>AM</c:v>
                </c:pt>
                <c:pt idx="8">
                  <c:v>FM</c:v>
                </c:pt>
                <c:pt idx="9">
                  <c:v>SADM</c:v>
                </c:pt>
              </c:strCache>
            </c:strRef>
          </c:cat>
          <c:val>
            <c:numRef>
              <c:f>'Pagal minist '!$F$17:$F$26</c:f>
              <c:numCache>
                <c:formatCode>0%</c:formatCode>
                <c:ptCount val="10"/>
                <c:pt idx="0">
                  <c:v>0.44791933601985745</c:v>
                </c:pt>
                <c:pt idx="1">
                  <c:v>0.46584680923143623</c:v>
                </c:pt>
                <c:pt idx="2">
                  <c:v>0.49301626206388427</c:v>
                </c:pt>
                <c:pt idx="3">
                  <c:v>0.49857433928336226</c:v>
                </c:pt>
                <c:pt idx="4">
                  <c:v>0.5059175918557387</c:v>
                </c:pt>
                <c:pt idx="5">
                  <c:v>0.52413956444801013</c:v>
                </c:pt>
                <c:pt idx="6">
                  <c:v>0.53276748778735994</c:v>
                </c:pt>
                <c:pt idx="7">
                  <c:v>0.65104253693906133</c:v>
                </c:pt>
                <c:pt idx="8">
                  <c:v>0.65742686377335846</c:v>
                </c:pt>
                <c:pt idx="9">
                  <c:v>0.6924541444706459</c:v>
                </c:pt>
              </c:numCache>
            </c:numRef>
          </c:val>
        </c:ser>
        <c:dLbls>
          <c:showLegendKey val="0"/>
          <c:showVal val="0"/>
          <c:showCatName val="0"/>
          <c:showSerName val="0"/>
          <c:showPercent val="0"/>
          <c:showBubbleSize val="0"/>
        </c:dLbls>
        <c:gapWidth val="114"/>
        <c:overlap val="100"/>
        <c:axId val="141592064"/>
        <c:axId val="141593600"/>
      </c:barChart>
      <c:catAx>
        <c:axId val="141592064"/>
        <c:scaling>
          <c:orientation val="minMax"/>
        </c:scaling>
        <c:delete val="0"/>
        <c:axPos val="l"/>
        <c:majorTickMark val="out"/>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lt-LT"/>
          </a:p>
        </c:txPr>
        <c:crossAx val="141593600"/>
        <c:crosses val="autoZero"/>
        <c:auto val="1"/>
        <c:lblAlgn val="ctr"/>
        <c:lblOffset val="100"/>
        <c:noMultiLvlLbl val="0"/>
      </c:catAx>
      <c:valAx>
        <c:axId val="141593600"/>
        <c:scaling>
          <c:orientation val="minMax"/>
          <c:max val="1"/>
        </c:scaling>
        <c:delete val="0"/>
        <c:axPos val="b"/>
        <c:majorGridlines/>
        <c:numFmt formatCode="0%" sourceLinked="1"/>
        <c:majorTickMark val="out"/>
        <c:minorTickMark val="none"/>
        <c:tickLblPos val="nextTo"/>
        <c:crossAx val="141592064"/>
        <c:crosses val="autoZero"/>
        <c:crossBetween val="between"/>
        <c:majorUnit val="0.2"/>
      </c:valAx>
    </c:plotArea>
    <c:legend>
      <c:legendPos val="b"/>
      <c:layout>
        <c:manualLayout>
          <c:xMode val="edge"/>
          <c:yMode val="edge"/>
          <c:x val="9.7402602382789777E-2"/>
          <c:y val="0.91914713601976228"/>
          <c:w val="0.8448836713817196"/>
          <c:h val="6.6914620966496835E-2"/>
        </c:manualLayout>
      </c:layout>
      <c:overlay val="0"/>
      <c:txPr>
        <a:bodyPr/>
        <a:lstStyle/>
        <a:p>
          <a:pPr>
            <a:defRPr>
              <a:latin typeface="Times New Roman" panose="02020603050405020304" pitchFamily="18" charset="0"/>
              <a:cs typeface="Times New Roman" panose="02020603050405020304" pitchFamily="18" charset="0"/>
            </a:defRPr>
          </a:pPr>
          <a:endParaRPr lang="lt-LT"/>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Asignavimai!$J$16</c:f>
              <c:strCache>
                <c:ptCount val="1"/>
                <c:pt idx="0">
                  <c:v>2020 m. asignavimų planas</c:v>
                </c:pt>
              </c:strCache>
            </c:strRef>
          </c:tx>
          <c:spPr>
            <a:solidFill>
              <a:schemeClr val="accent1"/>
            </a:solidFill>
            <a:ln w="76200">
              <a:solidFill>
                <a:schemeClr val="accent1"/>
              </a:solidFill>
            </a:ln>
          </c:spPr>
          <c:invertIfNegative val="0"/>
          <c:dLbls>
            <c:dLbl>
              <c:idx val="0"/>
              <c:layout/>
              <c:tx>
                <c:rich>
                  <a:bodyPr/>
                  <a:lstStyle/>
                  <a:p>
                    <a:r>
                      <a:rPr lang="lt-LT"/>
                      <a:t>(184)</a:t>
                    </a:r>
                    <a:endParaRPr lang="en-US"/>
                  </a:p>
                </c:rich>
              </c:tx>
              <c:dLblPos val="inEnd"/>
              <c:showLegendKey val="0"/>
              <c:showVal val="1"/>
              <c:showCatName val="0"/>
              <c:showSerName val="0"/>
              <c:showPercent val="0"/>
              <c:showBubbleSize val="0"/>
            </c:dLbl>
            <c:dLbl>
              <c:idx val="1"/>
              <c:layout/>
              <c:tx>
                <c:rich>
                  <a:bodyPr/>
                  <a:lstStyle/>
                  <a:p>
                    <a:r>
                      <a:rPr lang="lt-LT"/>
                      <a:t>(61)</a:t>
                    </a:r>
                    <a:endParaRPr lang="en-US"/>
                  </a:p>
                </c:rich>
              </c:tx>
              <c:dLblPos val="inEnd"/>
              <c:showLegendKey val="0"/>
              <c:showVal val="1"/>
              <c:showCatName val="0"/>
              <c:showSerName val="0"/>
              <c:showPercent val="0"/>
              <c:showBubbleSize val="0"/>
            </c:dLbl>
            <c:dLbl>
              <c:idx val="2"/>
              <c:layout/>
              <c:tx>
                <c:rich>
                  <a:bodyPr/>
                  <a:lstStyle/>
                  <a:p>
                    <a:r>
                      <a:rPr lang="lt-LT"/>
                      <a:t>(114)</a:t>
                    </a:r>
                    <a:endParaRPr lang="en-US"/>
                  </a:p>
                </c:rich>
              </c:tx>
              <c:dLblPos val="inEnd"/>
              <c:showLegendKey val="0"/>
              <c:showVal val="1"/>
              <c:showCatName val="0"/>
              <c:showSerName val="0"/>
              <c:showPercent val="0"/>
              <c:showBubbleSize val="0"/>
            </c:dLbl>
            <c:dLbl>
              <c:idx val="3"/>
              <c:layout/>
              <c:tx>
                <c:rich>
                  <a:bodyPr/>
                  <a:lstStyle/>
                  <a:p>
                    <a:r>
                      <a:rPr lang="lt-LT"/>
                      <a:t>(198)</a:t>
                    </a:r>
                    <a:endParaRPr lang="en-US"/>
                  </a:p>
                </c:rich>
              </c:tx>
              <c:dLblPos val="inEnd"/>
              <c:showLegendKey val="0"/>
              <c:showVal val="1"/>
              <c:showCatName val="0"/>
              <c:showSerName val="0"/>
              <c:showPercent val="0"/>
              <c:showBubbleSize val="0"/>
            </c:dLbl>
            <c:dLbl>
              <c:idx val="4"/>
              <c:layout/>
              <c:tx>
                <c:rich>
                  <a:bodyPr/>
                  <a:lstStyle/>
                  <a:p>
                    <a:r>
                      <a:rPr lang="lt-LT"/>
                      <a:t>(120)</a:t>
                    </a:r>
                    <a:endParaRPr lang="en-US"/>
                  </a:p>
                </c:rich>
              </c:tx>
              <c:dLblPos val="inEnd"/>
              <c:showLegendKey val="0"/>
              <c:showVal val="1"/>
              <c:showCatName val="0"/>
              <c:showSerName val="0"/>
              <c:showPercent val="0"/>
              <c:showBubbleSize val="0"/>
            </c:dLbl>
            <c:dLbl>
              <c:idx val="5"/>
              <c:layout/>
              <c:tx>
                <c:rich>
                  <a:bodyPr/>
                  <a:lstStyle/>
                  <a:p>
                    <a:r>
                      <a:rPr lang="lt-LT"/>
                      <a:t>(174)</a:t>
                    </a:r>
                    <a:endParaRPr lang="en-US"/>
                  </a:p>
                </c:rich>
              </c:tx>
              <c:dLblPos val="inEnd"/>
              <c:showLegendKey val="0"/>
              <c:showVal val="1"/>
              <c:showCatName val="0"/>
              <c:showSerName val="0"/>
              <c:showPercent val="0"/>
              <c:showBubbleSize val="0"/>
            </c:dLbl>
            <c:dLbl>
              <c:idx val="6"/>
              <c:layout/>
              <c:tx>
                <c:rich>
                  <a:bodyPr/>
                  <a:lstStyle/>
                  <a:p>
                    <a:r>
                      <a:rPr lang="lt-LT"/>
                      <a:t>(44)</a:t>
                    </a:r>
                    <a:endParaRPr lang="en-US"/>
                  </a:p>
                </c:rich>
              </c:tx>
              <c:dLblPos val="inEnd"/>
              <c:showLegendKey val="0"/>
              <c:showVal val="1"/>
              <c:showCatName val="0"/>
              <c:showSerName val="0"/>
              <c:showPercent val="0"/>
              <c:showBubbleSize val="0"/>
            </c:dLbl>
            <c:dLbl>
              <c:idx val="7"/>
              <c:layout/>
              <c:tx>
                <c:rich>
                  <a:bodyPr/>
                  <a:lstStyle/>
                  <a:p>
                    <a:r>
                      <a:rPr lang="lt-LT"/>
                      <a:t>(173)</a:t>
                    </a:r>
                    <a:endParaRPr lang="en-US"/>
                  </a:p>
                </c:rich>
              </c:tx>
              <c:dLblPos val="inEnd"/>
              <c:showLegendKey val="0"/>
              <c:showVal val="1"/>
              <c:showCatName val="0"/>
              <c:showSerName val="0"/>
              <c:showPercent val="0"/>
              <c:showBubbleSize val="0"/>
            </c:dLbl>
            <c:dLbl>
              <c:idx val="8"/>
              <c:layout/>
              <c:tx>
                <c:rich>
                  <a:bodyPr/>
                  <a:lstStyle/>
                  <a:p>
                    <a:r>
                      <a:rPr lang="lt-LT"/>
                      <a:t>(26)</a:t>
                    </a:r>
                    <a:endParaRPr lang="en-US"/>
                  </a:p>
                </c:rich>
              </c:tx>
              <c:dLblPos val="inEnd"/>
              <c:showLegendKey val="0"/>
              <c:showVal val="1"/>
              <c:showCatName val="0"/>
              <c:showSerName val="0"/>
              <c:showPercent val="0"/>
              <c:showBubbleSize val="0"/>
            </c:dLbl>
            <c:dLbl>
              <c:idx val="9"/>
              <c:layout/>
              <c:tx>
                <c:rich>
                  <a:bodyPr/>
                  <a:lstStyle/>
                  <a:p>
                    <a:r>
                      <a:rPr lang="lt-LT"/>
                      <a:t> (174)</a:t>
                    </a:r>
                    <a:endParaRPr lang="en-US"/>
                  </a:p>
                </c:rich>
              </c:tx>
              <c:dLblPos val="inEnd"/>
              <c:showLegendKey val="0"/>
              <c:showVal val="1"/>
              <c:showCatName val="0"/>
              <c:showSerName val="0"/>
              <c:showPercent val="0"/>
              <c:showBubbleSize val="0"/>
            </c:dLbl>
            <c:txPr>
              <a:bodyPr/>
              <a:lstStyle/>
              <a:p>
                <a:pPr>
                  <a:defRPr baseline="0">
                    <a:solidFill>
                      <a:schemeClr val="bg1"/>
                    </a:solidFill>
                  </a:defRPr>
                </a:pPr>
                <a:endParaRPr lang="lt-LT"/>
              </a:p>
            </c:txPr>
            <c:dLblPos val="inEnd"/>
            <c:showLegendKey val="0"/>
            <c:showVal val="1"/>
            <c:showCatName val="0"/>
            <c:showSerName val="0"/>
            <c:showPercent val="0"/>
            <c:showBubbleSize val="0"/>
            <c:showLeaderLines val="0"/>
          </c:dLbls>
          <c:cat>
            <c:strRef>
              <c:f>Asignavimai!$I$17:$I$26</c:f>
              <c:strCache>
                <c:ptCount val="10"/>
                <c:pt idx="0">
                  <c:v>SM</c:v>
                </c:pt>
                <c:pt idx="1">
                  <c:v>KM</c:v>
                </c:pt>
                <c:pt idx="2">
                  <c:v>EM</c:v>
                </c:pt>
                <c:pt idx="3">
                  <c:v>EIM</c:v>
                </c:pt>
                <c:pt idx="4">
                  <c:v>VRM</c:v>
                </c:pt>
                <c:pt idx="5">
                  <c:v>AM</c:v>
                </c:pt>
                <c:pt idx="6">
                  <c:v>SAM</c:v>
                </c:pt>
                <c:pt idx="7">
                  <c:v>ŠMSM</c:v>
                </c:pt>
                <c:pt idx="8">
                  <c:v>FM</c:v>
                </c:pt>
                <c:pt idx="9">
                  <c:v>SADM</c:v>
                </c:pt>
              </c:strCache>
            </c:strRef>
          </c:cat>
          <c:val>
            <c:numRef>
              <c:f>Asignavimai!$J$17:$J$26</c:f>
              <c:numCache>
                <c:formatCode>0%</c:formatCode>
                <c:ptCount val="10"/>
                <c:pt idx="0">
                  <c:v>1</c:v>
                </c:pt>
                <c:pt idx="1">
                  <c:v>1</c:v>
                </c:pt>
                <c:pt idx="2">
                  <c:v>1</c:v>
                </c:pt>
                <c:pt idx="3">
                  <c:v>1</c:v>
                </c:pt>
                <c:pt idx="4">
                  <c:v>1</c:v>
                </c:pt>
                <c:pt idx="5">
                  <c:v>1</c:v>
                </c:pt>
                <c:pt idx="6">
                  <c:v>1</c:v>
                </c:pt>
                <c:pt idx="7">
                  <c:v>1</c:v>
                </c:pt>
                <c:pt idx="8">
                  <c:v>1</c:v>
                </c:pt>
                <c:pt idx="9">
                  <c:v>1</c:v>
                </c:pt>
              </c:numCache>
            </c:numRef>
          </c:val>
        </c:ser>
        <c:ser>
          <c:idx val="1"/>
          <c:order val="1"/>
          <c:tx>
            <c:strRef>
              <c:f>Asignavimai!$K$16</c:f>
              <c:strCache>
                <c:ptCount val="1"/>
                <c:pt idx="0">
                  <c:v>Investuota iki rugsėjo 30 d.</c:v>
                </c:pt>
              </c:strCache>
            </c:strRef>
          </c:tx>
          <c:spPr>
            <a:solidFill>
              <a:srgbClr val="FF9900"/>
            </a:solidFill>
            <a:ln w="19050">
              <a:solidFill>
                <a:srgbClr val="FF9900"/>
              </a:solidFill>
            </a:ln>
          </c:spPr>
          <c:invertIfNegative val="0"/>
          <c:dLbls>
            <c:dLbl>
              <c:idx val="0"/>
              <c:layout/>
              <c:tx>
                <c:rich>
                  <a:bodyPr/>
                  <a:lstStyle/>
                  <a:p>
                    <a:r>
                      <a:rPr lang="en-US"/>
                      <a:t>39%</a:t>
                    </a:r>
                    <a:r>
                      <a:rPr lang="lt-LT"/>
                      <a:t> (71)</a:t>
                    </a:r>
                    <a:endParaRPr lang="en-US"/>
                  </a:p>
                </c:rich>
              </c:tx>
              <c:dLblPos val="inEnd"/>
              <c:showLegendKey val="0"/>
              <c:showVal val="1"/>
              <c:showCatName val="0"/>
              <c:showSerName val="0"/>
              <c:showPercent val="0"/>
              <c:showBubbleSize val="0"/>
            </c:dLbl>
            <c:dLbl>
              <c:idx val="1"/>
              <c:layout/>
              <c:tx>
                <c:rich>
                  <a:bodyPr/>
                  <a:lstStyle/>
                  <a:p>
                    <a:r>
                      <a:rPr lang="en-US"/>
                      <a:t>42%</a:t>
                    </a:r>
                    <a:r>
                      <a:rPr lang="lt-LT"/>
                      <a:t> (26)</a:t>
                    </a:r>
                    <a:endParaRPr lang="en-US"/>
                  </a:p>
                </c:rich>
              </c:tx>
              <c:dLblPos val="inEnd"/>
              <c:showLegendKey val="0"/>
              <c:showVal val="1"/>
              <c:showCatName val="0"/>
              <c:showSerName val="0"/>
              <c:showPercent val="0"/>
              <c:showBubbleSize val="0"/>
            </c:dLbl>
            <c:dLbl>
              <c:idx val="2"/>
              <c:layout/>
              <c:tx>
                <c:rich>
                  <a:bodyPr/>
                  <a:lstStyle/>
                  <a:p>
                    <a:r>
                      <a:rPr lang="en-US"/>
                      <a:t>50%</a:t>
                    </a:r>
                    <a:r>
                      <a:rPr lang="lt-LT"/>
                      <a:t> (56)</a:t>
                    </a:r>
                    <a:endParaRPr lang="en-US"/>
                  </a:p>
                </c:rich>
              </c:tx>
              <c:dLblPos val="inEnd"/>
              <c:showLegendKey val="0"/>
              <c:showVal val="1"/>
              <c:showCatName val="0"/>
              <c:showSerName val="0"/>
              <c:showPercent val="0"/>
              <c:showBubbleSize val="0"/>
            </c:dLbl>
            <c:dLbl>
              <c:idx val="3"/>
              <c:layout/>
              <c:tx>
                <c:rich>
                  <a:bodyPr/>
                  <a:lstStyle/>
                  <a:p>
                    <a:r>
                      <a:rPr lang="en-US"/>
                      <a:t>51%</a:t>
                    </a:r>
                    <a:r>
                      <a:rPr lang="lt-LT"/>
                      <a:t> (101)</a:t>
                    </a:r>
                    <a:endParaRPr lang="en-US"/>
                  </a:p>
                </c:rich>
              </c:tx>
              <c:dLblPos val="inEnd"/>
              <c:showLegendKey val="0"/>
              <c:showVal val="1"/>
              <c:showCatName val="0"/>
              <c:showSerName val="0"/>
              <c:showPercent val="0"/>
              <c:showBubbleSize val="0"/>
            </c:dLbl>
            <c:dLbl>
              <c:idx val="4"/>
              <c:layout/>
              <c:tx>
                <c:rich>
                  <a:bodyPr/>
                  <a:lstStyle/>
                  <a:p>
                    <a:r>
                      <a:rPr lang="en-US"/>
                      <a:t>57%</a:t>
                    </a:r>
                    <a:r>
                      <a:rPr lang="lt-LT"/>
                      <a:t> (69)</a:t>
                    </a:r>
                    <a:endParaRPr lang="en-US"/>
                  </a:p>
                </c:rich>
              </c:tx>
              <c:dLblPos val="inEnd"/>
              <c:showLegendKey val="0"/>
              <c:showVal val="1"/>
              <c:showCatName val="0"/>
              <c:showSerName val="0"/>
              <c:showPercent val="0"/>
              <c:showBubbleSize val="0"/>
            </c:dLbl>
            <c:dLbl>
              <c:idx val="5"/>
              <c:layout/>
              <c:tx>
                <c:rich>
                  <a:bodyPr/>
                  <a:lstStyle/>
                  <a:p>
                    <a:r>
                      <a:rPr lang="en-US"/>
                      <a:t>62%</a:t>
                    </a:r>
                    <a:r>
                      <a:rPr lang="lt-LT"/>
                      <a:t> (107)</a:t>
                    </a:r>
                    <a:endParaRPr lang="en-US"/>
                  </a:p>
                </c:rich>
              </c:tx>
              <c:dLblPos val="inEnd"/>
              <c:showLegendKey val="0"/>
              <c:showVal val="1"/>
              <c:showCatName val="0"/>
              <c:showSerName val="0"/>
              <c:showPercent val="0"/>
              <c:showBubbleSize val="0"/>
            </c:dLbl>
            <c:dLbl>
              <c:idx val="6"/>
              <c:layout/>
              <c:tx>
                <c:rich>
                  <a:bodyPr/>
                  <a:lstStyle/>
                  <a:p>
                    <a:r>
                      <a:rPr lang="en-US"/>
                      <a:t>66%</a:t>
                    </a:r>
                    <a:r>
                      <a:rPr lang="lt-LT"/>
                      <a:t> (29)</a:t>
                    </a:r>
                    <a:endParaRPr lang="en-US"/>
                  </a:p>
                </c:rich>
              </c:tx>
              <c:dLblPos val="inEnd"/>
              <c:showLegendKey val="0"/>
              <c:showVal val="1"/>
              <c:showCatName val="0"/>
              <c:showSerName val="0"/>
              <c:showPercent val="0"/>
              <c:showBubbleSize val="0"/>
            </c:dLbl>
            <c:dLbl>
              <c:idx val="7"/>
              <c:layout/>
              <c:tx>
                <c:rich>
                  <a:bodyPr/>
                  <a:lstStyle/>
                  <a:p>
                    <a:r>
                      <a:rPr lang="en-US"/>
                      <a:t>67%</a:t>
                    </a:r>
                    <a:r>
                      <a:rPr lang="lt-LT"/>
                      <a:t> (116)</a:t>
                    </a:r>
                    <a:endParaRPr lang="en-US"/>
                  </a:p>
                </c:rich>
              </c:tx>
              <c:dLblPos val="inEnd"/>
              <c:showLegendKey val="0"/>
              <c:showVal val="1"/>
              <c:showCatName val="0"/>
              <c:showSerName val="0"/>
              <c:showPercent val="0"/>
              <c:showBubbleSize val="0"/>
            </c:dLbl>
            <c:dLbl>
              <c:idx val="8"/>
              <c:layout/>
              <c:tx>
                <c:rich>
                  <a:bodyPr/>
                  <a:lstStyle/>
                  <a:p>
                    <a:r>
                      <a:rPr lang="en-US"/>
                      <a:t>76%</a:t>
                    </a:r>
                    <a:r>
                      <a:rPr lang="lt-LT"/>
                      <a:t> (20)</a:t>
                    </a:r>
                    <a:endParaRPr lang="en-US"/>
                  </a:p>
                </c:rich>
              </c:tx>
              <c:dLblPos val="inEnd"/>
              <c:showLegendKey val="0"/>
              <c:showVal val="1"/>
              <c:showCatName val="0"/>
              <c:showSerName val="0"/>
              <c:showPercent val="0"/>
              <c:showBubbleSize val="0"/>
            </c:dLbl>
            <c:txPr>
              <a:bodyPr/>
              <a:lstStyle/>
              <a:p>
                <a:pPr>
                  <a:defRPr b="1">
                    <a:solidFill>
                      <a:schemeClr val="bg1"/>
                    </a:solidFill>
                  </a:defRPr>
                </a:pPr>
                <a:endParaRPr lang="lt-LT"/>
              </a:p>
            </c:txPr>
            <c:dLblPos val="inEnd"/>
            <c:showLegendKey val="0"/>
            <c:showVal val="1"/>
            <c:showCatName val="0"/>
            <c:showSerName val="0"/>
            <c:showPercent val="0"/>
            <c:showBubbleSize val="0"/>
            <c:showLeaderLines val="0"/>
          </c:dLbls>
          <c:cat>
            <c:strRef>
              <c:f>Asignavimai!$I$17:$I$26</c:f>
              <c:strCache>
                <c:ptCount val="10"/>
                <c:pt idx="0">
                  <c:v>SM</c:v>
                </c:pt>
                <c:pt idx="1">
                  <c:v>KM</c:v>
                </c:pt>
                <c:pt idx="2">
                  <c:v>EM</c:v>
                </c:pt>
                <c:pt idx="3">
                  <c:v>EIM</c:v>
                </c:pt>
                <c:pt idx="4">
                  <c:v>VRM</c:v>
                </c:pt>
                <c:pt idx="5">
                  <c:v>AM</c:v>
                </c:pt>
                <c:pt idx="6">
                  <c:v>SAM</c:v>
                </c:pt>
                <c:pt idx="7">
                  <c:v>ŠMSM</c:v>
                </c:pt>
                <c:pt idx="8">
                  <c:v>FM</c:v>
                </c:pt>
                <c:pt idx="9">
                  <c:v>SADM</c:v>
                </c:pt>
              </c:strCache>
            </c:strRef>
          </c:cat>
          <c:val>
            <c:numRef>
              <c:f>Asignavimai!$K$17:$K$26</c:f>
              <c:numCache>
                <c:formatCode>0%</c:formatCode>
                <c:ptCount val="10"/>
                <c:pt idx="0">
                  <c:v>0.38736324097477748</c:v>
                </c:pt>
                <c:pt idx="1">
                  <c:v>0.41673731040091089</c:v>
                </c:pt>
                <c:pt idx="2">
                  <c:v>0.49500807258412477</c:v>
                </c:pt>
                <c:pt idx="3">
                  <c:v>0.50860603554972605</c:v>
                </c:pt>
                <c:pt idx="4">
                  <c:v>0.5731063858463904</c:v>
                </c:pt>
                <c:pt idx="5">
                  <c:v>0.616561873674626</c:v>
                </c:pt>
                <c:pt idx="6">
                  <c:v>0.66176029681511261</c:v>
                </c:pt>
                <c:pt idx="7">
                  <c:v>0.66980681078675341</c:v>
                </c:pt>
                <c:pt idx="8">
                  <c:v>0.75605838867654551</c:v>
                </c:pt>
                <c:pt idx="9">
                  <c:v>1.4225717401506413</c:v>
                </c:pt>
              </c:numCache>
            </c:numRef>
          </c:val>
        </c:ser>
        <c:dLbls>
          <c:showLegendKey val="0"/>
          <c:showVal val="0"/>
          <c:showCatName val="0"/>
          <c:showSerName val="0"/>
          <c:showPercent val="0"/>
          <c:showBubbleSize val="0"/>
        </c:dLbls>
        <c:gapWidth val="150"/>
        <c:overlap val="100"/>
        <c:axId val="41978496"/>
        <c:axId val="127281792"/>
      </c:barChart>
      <c:catAx>
        <c:axId val="41978496"/>
        <c:scaling>
          <c:orientation val="minMax"/>
        </c:scaling>
        <c:delete val="0"/>
        <c:axPos val="l"/>
        <c:majorTickMark val="out"/>
        <c:minorTickMark val="none"/>
        <c:tickLblPos val="nextTo"/>
        <c:crossAx val="127281792"/>
        <c:crosses val="autoZero"/>
        <c:auto val="1"/>
        <c:lblAlgn val="ctr"/>
        <c:lblOffset val="100"/>
        <c:noMultiLvlLbl val="0"/>
      </c:catAx>
      <c:valAx>
        <c:axId val="127281792"/>
        <c:scaling>
          <c:orientation val="minMax"/>
          <c:max val="1"/>
          <c:min val="0"/>
        </c:scaling>
        <c:delete val="0"/>
        <c:axPos val="b"/>
        <c:majorGridlines/>
        <c:numFmt formatCode="0%" sourceLinked="1"/>
        <c:majorTickMark val="out"/>
        <c:minorTickMark val="none"/>
        <c:tickLblPos val="nextTo"/>
        <c:crossAx val="4197849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7989707100112428"/>
        </c:manualLayout>
      </c:layout>
      <c:barChart>
        <c:barDir val="bar"/>
        <c:grouping val="clustered"/>
        <c:varyColors val="0"/>
        <c:ser>
          <c:idx val="0"/>
          <c:order val="0"/>
          <c:tx>
            <c:strRef>
              <c:f>'minist pagal prior'!$M$2</c:f>
              <c:strCache>
                <c:ptCount val="1"/>
                <c:pt idx="0">
                  <c:v>Nepaskirta projektams</c:v>
                </c:pt>
              </c:strCache>
            </c:strRef>
          </c:tx>
          <c:spPr>
            <a:solidFill>
              <a:schemeClr val="bg1">
                <a:lumMod val="85000"/>
              </a:schemeClr>
            </a:solidFill>
          </c:spPr>
          <c:invertIfNegative val="0"/>
          <c:dLbls>
            <c:dLbl>
              <c:idx val="0"/>
              <c:layout>
                <c:manualLayout>
                  <c:x val="-4.9535603715170282E-2"/>
                  <c:y val="0"/>
                </c:manualLayout>
              </c:layout>
              <c:tx>
                <c:rich>
                  <a:bodyPr/>
                  <a:lstStyle/>
                  <a:p>
                    <a:r>
                      <a:rPr lang="lt-LT">
                        <a:solidFill>
                          <a:schemeClr val="bg1"/>
                        </a:solidFill>
                      </a:rPr>
                      <a:t>100</a:t>
                    </a:r>
                    <a:r>
                      <a:rPr lang="en-US">
                        <a:solidFill>
                          <a:schemeClr val="bg1"/>
                        </a:solidFill>
                      </a:rPr>
                      <a:t>%</a:t>
                    </a:r>
                    <a:endParaRPr lang="en-US"/>
                  </a:p>
                </c:rich>
              </c:tx>
              <c:showLegendKey val="0"/>
              <c:showVal val="1"/>
              <c:showCatName val="0"/>
              <c:showSerName val="0"/>
              <c:showPercent val="0"/>
              <c:showBubbleSize val="0"/>
            </c:dLbl>
            <c:txPr>
              <a:bodyPr/>
              <a:lstStyle/>
              <a:p>
                <a:pPr>
                  <a:defRPr>
                    <a:solidFill>
                      <a:schemeClr val="bg1"/>
                    </a:solidFill>
                  </a:defRPr>
                </a:pPr>
                <a:endParaRPr lang="lt-LT"/>
              </a:p>
            </c:txPr>
            <c:showLegendKey val="0"/>
            <c:showVal val="1"/>
            <c:showCatName val="0"/>
            <c:showSerName val="0"/>
            <c:showPercent val="0"/>
            <c:showBubbleSize val="0"/>
            <c:showLeaderLines val="0"/>
          </c:dLbls>
          <c:cat>
            <c:strRef>
              <c:f>'minist pagal prior'!$L$3</c:f>
              <c:strCache>
                <c:ptCount val="1"/>
                <c:pt idx="0">
                  <c:v>ŠMSM, ERPF</c:v>
                </c:pt>
              </c:strCache>
            </c:strRef>
          </c:cat>
          <c:val>
            <c:numRef>
              <c:f>'minist pagal prior'!$M$3</c:f>
              <c:numCache>
                <c:formatCode>0%</c:formatCode>
                <c:ptCount val="1"/>
                <c:pt idx="0">
                  <c:v>1</c:v>
                </c:pt>
              </c:numCache>
            </c:numRef>
          </c:val>
        </c:ser>
        <c:ser>
          <c:idx val="2"/>
          <c:order val="1"/>
          <c:tx>
            <c:strRef>
              <c:f>'minist pagal prior'!$N$2</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prior'!$L$3</c:f>
              <c:strCache>
                <c:ptCount val="1"/>
                <c:pt idx="0">
                  <c:v>ŠMSM, ERPF</c:v>
                </c:pt>
              </c:strCache>
            </c:strRef>
          </c:cat>
          <c:val>
            <c:numRef>
              <c:f>'minist pagal prior'!$N$3</c:f>
              <c:numCache>
                <c:formatCode>0%</c:formatCode>
                <c:ptCount val="1"/>
                <c:pt idx="0">
                  <c:v>1.0198716759595774</c:v>
                </c:pt>
              </c:numCache>
            </c:numRef>
          </c:val>
        </c:ser>
        <c:ser>
          <c:idx val="3"/>
          <c:order val="2"/>
          <c:tx>
            <c:strRef>
              <c:f>'minist pagal prior'!$O$2</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prior'!$L$3</c:f>
              <c:strCache>
                <c:ptCount val="1"/>
                <c:pt idx="0">
                  <c:v>ŠMSM, ERPF</c:v>
                </c:pt>
              </c:strCache>
            </c:strRef>
          </c:cat>
          <c:val>
            <c:numRef>
              <c:f>'minist pagal prior'!$O$3</c:f>
              <c:numCache>
                <c:formatCode>0%</c:formatCode>
                <c:ptCount val="1"/>
                <c:pt idx="0">
                  <c:v>0.41237059032995771</c:v>
                </c:pt>
              </c:numCache>
            </c:numRef>
          </c:val>
        </c:ser>
        <c:dLbls>
          <c:showLegendKey val="0"/>
          <c:showVal val="0"/>
          <c:showCatName val="0"/>
          <c:showSerName val="0"/>
          <c:showPercent val="0"/>
          <c:showBubbleSize val="0"/>
        </c:dLbls>
        <c:gapWidth val="217"/>
        <c:overlap val="100"/>
        <c:axId val="142164736"/>
        <c:axId val="142166272"/>
      </c:barChart>
      <c:catAx>
        <c:axId val="142164736"/>
        <c:scaling>
          <c:orientation val="minMax"/>
        </c:scaling>
        <c:delete val="0"/>
        <c:axPos val="l"/>
        <c:majorTickMark val="out"/>
        <c:minorTickMark val="none"/>
        <c:tickLblPos val="nextTo"/>
        <c:crossAx val="142166272"/>
        <c:crosses val="autoZero"/>
        <c:auto val="1"/>
        <c:lblAlgn val="ctr"/>
        <c:lblOffset val="100"/>
        <c:noMultiLvlLbl val="0"/>
      </c:catAx>
      <c:valAx>
        <c:axId val="142166272"/>
        <c:scaling>
          <c:orientation val="minMax"/>
          <c:max val="1"/>
        </c:scaling>
        <c:delete val="1"/>
        <c:axPos val="b"/>
        <c:majorGridlines/>
        <c:numFmt formatCode="0%" sourceLinked="1"/>
        <c:majorTickMark val="out"/>
        <c:minorTickMark val="none"/>
        <c:tickLblPos val="nextTo"/>
        <c:crossAx val="142164736"/>
        <c:crosses val="autoZero"/>
        <c:crossBetween val="between"/>
        <c:majorUnit val="0.2"/>
      </c:valAx>
    </c:plotArea>
    <c:legend>
      <c:legendPos val="b"/>
      <c:layout>
        <c:manualLayout>
          <c:xMode val="edge"/>
          <c:yMode val="edge"/>
          <c:x val="8.0235814176478709E-2"/>
          <c:y val="0.59873050643543002"/>
          <c:w val="0.83952837164704253"/>
          <c:h val="0.22994783879863118"/>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53607733500529342"/>
        </c:manualLayout>
      </c:layout>
      <c:barChart>
        <c:barDir val="bar"/>
        <c:grouping val="clustered"/>
        <c:varyColors val="0"/>
        <c:ser>
          <c:idx val="0"/>
          <c:order val="0"/>
          <c:tx>
            <c:strRef>
              <c:f>'minist pagal prior'!$M$6</c:f>
              <c:strCache>
                <c:ptCount val="1"/>
                <c:pt idx="0">
                  <c:v>Nepaskirta projektams</c:v>
                </c:pt>
              </c:strCache>
            </c:strRef>
          </c:tx>
          <c:spPr>
            <a:solidFill>
              <a:schemeClr val="bg1">
                <a:lumMod val="85000"/>
              </a:schemeClr>
            </a:solidFill>
            <a:ln w="38100">
              <a:noFill/>
            </a:ln>
          </c:spPr>
          <c:invertIfNegative val="0"/>
          <c:dLbls>
            <c:dLbl>
              <c:idx val="0"/>
              <c:layout>
                <c:manualLayout>
                  <c:x val="-3.5459236326109395E-2"/>
                  <c:y val="-1.6933395873762348E-6"/>
                </c:manualLayout>
              </c:layout>
              <c:tx>
                <c:rich>
                  <a:bodyPr/>
                  <a:lstStyle/>
                  <a:p>
                    <a:r>
                      <a:rPr lang="lt-LT">
                        <a:solidFill>
                          <a:schemeClr val="tx1">
                            <a:lumMod val="50000"/>
                            <a:lumOff val="50000"/>
                          </a:schemeClr>
                        </a:solidFill>
                      </a:rPr>
                      <a:t>5</a:t>
                    </a:r>
                    <a:r>
                      <a:rPr lang="en-US">
                        <a:solidFill>
                          <a:schemeClr val="tx1">
                            <a:lumMod val="50000"/>
                            <a:lumOff val="50000"/>
                          </a:schemeClr>
                        </a:solidFill>
                      </a:rPr>
                      <a:t>%</a:t>
                    </a:r>
                    <a:endParaRPr lang="en-US"/>
                  </a:p>
                </c:rich>
              </c:tx>
              <c:dLblPos val="outEnd"/>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dLblPos val="inEnd"/>
            <c:showLegendKey val="0"/>
            <c:showVal val="1"/>
            <c:showCatName val="0"/>
            <c:showSerName val="0"/>
            <c:showPercent val="0"/>
            <c:showBubbleSize val="0"/>
            <c:showLeaderLines val="0"/>
          </c:dLbls>
          <c:cat>
            <c:strRef>
              <c:f>'minist pagal prior'!$L$7</c:f>
              <c:strCache>
                <c:ptCount val="1"/>
                <c:pt idx="0">
                  <c:v>EIM, ERPF</c:v>
                </c:pt>
              </c:strCache>
            </c:strRef>
          </c:cat>
          <c:val>
            <c:numRef>
              <c:f>'minist pagal prior'!$M$7</c:f>
              <c:numCache>
                <c:formatCode>0%</c:formatCode>
                <c:ptCount val="1"/>
                <c:pt idx="0">
                  <c:v>1</c:v>
                </c:pt>
              </c:numCache>
            </c:numRef>
          </c:val>
        </c:ser>
        <c:ser>
          <c:idx val="2"/>
          <c:order val="1"/>
          <c:tx>
            <c:strRef>
              <c:f>'minist pagal prior'!$N$6</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prior'!$L$7</c:f>
              <c:strCache>
                <c:ptCount val="1"/>
                <c:pt idx="0">
                  <c:v>EIM, ERPF</c:v>
                </c:pt>
              </c:strCache>
            </c:strRef>
          </c:cat>
          <c:val>
            <c:numRef>
              <c:f>'minist pagal prior'!$N$7</c:f>
              <c:numCache>
                <c:formatCode>0%</c:formatCode>
                <c:ptCount val="1"/>
                <c:pt idx="0">
                  <c:v>0.9487022073443484</c:v>
                </c:pt>
              </c:numCache>
            </c:numRef>
          </c:val>
        </c:ser>
        <c:ser>
          <c:idx val="3"/>
          <c:order val="2"/>
          <c:tx>
            <c:strRef>
              <c:f>'minist pagal prior'!$O$6</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prior'!$L$7</c:f>
              <c:strCache>
                <c:ptCount val="1"/>
                <c:pt idx="0">
                  <c:v>EIM, ERPF</c:v>
                </c:pt>
              </c:strCache>
            </c:strRef>
          </c:cat>
          <c:val>
            <c:numRef>
              <c:f>'minist pagal prior'!$O$7</c:f>
              <c:numCache>
                <c:formatCode>0%</c:formatCode>
                <c:ptCount val="1"/>
                <c:pt idx="0">
                  <c:v>0.39366866634897529</c:v>
                </c:pt>
              </c:numCache>
            </c:numRef>
          </c:val>
        </c:ser>
        <c:dLbls>
          <c:showLegendKey val="0"/>
          <c:showVal val="0"/>
          <c:showCatName val="0"/>
          <c:showSerName val="0"/>
          <c:showPercent val="0"/>
          <c:showBubbleSize val="0"/>
        </c:dLbls>
        <c:gapWidth val="217"/>
        <c:overlap val="100"/>
        <c:axId val="142197888"/>
        <c:axId val="142199424"/>
      </c:barChart>
      <c:catAx>
        <c:axId val="142197888"/>
        <c:scaling>
          <c:orientation val="minMax"/>
        </c:scaling>
        <c:delete val="0"/>
        <c:axPos val="l"/>
        <c:majorTickMark val="out"/>
        <c:minorTickMark val="none"/>
        <c:tickLblPos val="nextTo"/>
        <c:crossAx val="142199424"/>
        <c:crosses val="autoZero"/>
        <c:auto val="1"/>
        <c:lblAlgn val="ctr"/>
        <c:lblOffset val="100"/>
        <c:noMultiLvlLbl val="0"/>
      </c:catAx>
      <c:valAx>
        <c:axId val="142199424"/>
        <c:scaling>
          <c:orientation val="minMax"/>
          <c:max val="1"/>
        </c:scaling>
        <c:delete val="1"/>
        <c:axPos val="b"/>
        <c:majorGridlines/>
        <c:numFmt formatCode="0%" sourceLinked="1"/>
        <c:majorTickMark val="out"/>
        <c:minorTickMark val="none"/>
        <c:tickLblPos val="nextTo"/>
        <c:crossAx val="142197888"/>
        <c:crosses val="autoZero"/>
        <c:crossBetween val="between"/>
        <c:majorUnit val="0.2"/>
      </c:valAx>
    </c:plotArea>
    <c:legend>
      <c:legendPos val="b"/>
      <c:layout>
        <c:manualLayout>
          <c:xMode val="edge"/>
          <c:yMode val="edge"/>
          <c:x val="6.578792975955404E-2"/>
          <c:y val="0.64356088701760505"/>
          <c:w val="0.83952837164704253"/>
          <c:h val="0.18690349752792529"/>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7147734440171724"/>
        </c:manualLayout>
      </c:layout>
      <c:barChart>
        <c:barDir val="bar"/>
        <c:grouping val="clustered"/>
        <c:varyColors val="0"/>
        <c:ser>
          <c:idx val="0"/>
          <c:order val="0"/>
          <c:tx>
            <c:strRef>
              <c:f>'minist pagal prior'!$M$10</c:f>
              <c:strCache>
                <c:ptCount val="1"/>
                <c:pt idx="0">
                  <c:v>Nepaskirta projektams</c:v>
                </c:pt>
              </c:strCache>
            </c:strRef>
          </c:tx>
          <c:spPr>
            <a:solidFill>
              <a:schemeClr val="bg1">
                <a:lumMod val="85000"/>
              </a:schemeClr>
            </a:solidFill>
            <a:ln w="38100">
              <a:solidFill>
                <a:schemeClr val="bg1">
                  <a:lumMod val="85000"/>
                </a:schemeClr>
              </a:solidFill>
            </a:ln>
          </c:spPr>
          <c:invertIfNegative val="0"/>
          <c:dLbls>
            <c:dLbl>
              <c:idx val="0"/>
              <c:layout>
                <c:manualLayout>
                  <c:x val="-1.8575851393188854E-2"/>
                  <c:y val="0"/>
                </c:manualLayout>
              </c:layout>
              <c:tx>
                <c:rich>
                  <a:bodyPr/>
                  <a:lstStyle/>
                  <a:p>
                    <a:r>
                      <a:rPr lang="en-US">
                        <a:solidFill>
                          <a:schemeClr val="tx1">
                            <a:lumMod val="50000"/>
                            <a:lumOff val="50000"/>
                          </a:schemeClr>
                        </a:solidFill>
                      </a:rPr>
                      <a:t>2%</a:t>
                    </a:r>
                    <a:endParaRPr lang="en-US"/>
                  </a:p>
                </c:rich>
              </c:tx>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showLegendKey val="0"/>
            <c:showVal val="1"/>
            <c:showCatName val="0"/>
            <c:showSerName val="0"/>
            <c:showPercent val="0"/>
            <c:showBubbleSize val="0"/>
            <c:showLeaderLines val="0"/>
          </c:dLbls>
          <c:cat>
            <c:strRef>
              <c:f>'minist pagal prior'!$L$11</c:f>
              <c:strCache>
                <c:ptCount val="1"/>
                <c:pt idx="0">
                  <c:v>SM, ERPF</c:v>
                </c:pt>
              </c:strCache>
            </c:strRef>
          </c:cat>
          <c:val>
            <c:numRef>
              <c:f>'minist pagal prior'!$M$11</c:f>
              <c:numCache>
                <c:formatCode>0%</c:formatCode>
                <c:ptCount val="1"/>
                <c:pt idx="0">
                  <c:v>1</c:v>
                </c:pt>
              </c:numCache>
            </c:numRef>
          </c:val>
        </c:ser>
        <c:ser>
          <c:idx val="2"/>
          <c:order val="1"/>
          <c:tx>
            <c:strRef>
              <c:f>'minist pagal prior'!$N$10</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prior'!$L$11</c:f>
              <c:strCache>
                <c:ptCount val="1"/>
                <c:pt idx="0">
                  <c:v>SM, ERPF</c:v>
                </c:pt>
              </c:strCache>
            </c:strRef>
          </c:cat>
          <c:val>
            <c:numRef>
              <c:f>'minist pagal prior'!$N$11</c:f>
              <c:numCache>
                <c:formatCode>0%</c:formatCode>
                <c:ptCount val="1"/>
                <c:pt idx="0">
                  <c:v>0.98145661720656907</c:v>
                </c:pt>
              </c:numCache>
            </c:numRef>
          </c:val>
        </c:ser>
        <c:ser>
          <c:idx val="3"/>
          <c:order val="2"/>
          <c:tx>
            <c:strRef>
              <c:f>'minist pagal prior'!$O$10</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prior'!$L$11</c:f>
              <c:strCache>
                <c:ptCount val="1"/>
                <c:pt idx="0">
                  <c:v>SM, ERPF</c:v>
                </c:pt>
              </c:strCache>
            </c:strRef>
          </c:cat>
          <c:val>
            <c:numRef>
              <c:f>'minist pagal prior'!$O$11</c:f>
              <c:numCache>
                <c:formatCode>0%</c:formatCode>
                <c:ptCount val="1"/>
                <c:pt idx="0">
                  <c:v>0.49173436147609823</c:v>
                </c:pt>
              </c:numCache>
            </c:numRef>
          </c:val>
        </c:ser>
        <c:dLbls>
          <c:showLegendKey val="0"/>
          <c:showVal val="0"/>
          <c:showCatName val="0"/>
          <c:showSerName val="0"/>
          <c:showPercent val="0"/>
          <c:showBubbleSize val="0"/>
        </c:dLbls>
        <c:gapWidth val="217"/>
        <c:overlap val="100"/>
        <c:axId val="142407936"/>
        <c:axId val="142438400"/>
      </c:barChart>
      <c:catAx>
        <c:axId val="142407936"/>
        <c:scaling>
          <c:orientation val="minMax"/>
        </c:scaling>
        <c:delete val="0"/>
        <c:axPos val="l"/>
        <c:majorTickMark val="out"/>
        <c:minorTickMark val="none"/>
        <c:tickLblPos val="nextTo"/>
        <c:crossAx val="142438400"/>
        <c:crosses val="autoZero"/>
        <c:auto val="1"/>
        <c:lblAlgn val="ctr"/>
        <c:lblOffset val="100"/>
        <c:noMultiLvlLbl val="0"/>
      </c:catAx>
      <c:valAx>
        <c:axId val="142438400"/>
        <c:scaling>
          <c:orientation val="minMax"/>
          <c:max val="1"/>
        </c:scaling>
        <c:delete val="1"/>
        <c:axPos val="b"/>
        <c:majorGridlines/>
        <c:numFmt formatCode="0%" sourceLinked="1"/>
        <c:majorTickMark val="out"/>
        <c:minorTickMark val="none"/>
        <c:tickLblPos val="nextTo"/>
        <c:crossAx val="142407936"/>
        <c:crosses val="autoZero"/>
        <c:crossBetween val="between"/>
        <c:majorUnit val="0.2"/>
      </c:valAx>
    </c:plotArea>
    <c:legend>
      <c:legendPos val="b"/>
      <c:layout>
        <c:manualLayout>
          <c:xMode val="edge"/>
          <c:yMode val="edge"/>
          <c:x val="7.8171830688346614E-2"/>
          <c:y val="0.63155194310388618"/>
          <c:w val="0.83952837164704253"/>
          <c:h val="0.33744136821606979"/>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7236943679255"/>
          <c:y val="0.11369509043927649"/>
          <c:w val="0.81614847679643765"/>
          <c:h val="0.47147734440171724"/>
        </c:manualLayout>
      </c:layout>
      <c:barChart>
        <c:barDir val="bar"/>
        <c:grouping val="clustered"/>
        <c:varyColors val="0"/>
        <c:ser>
          <c:idx val="0"/>
          <c:order val="0"/>
          <c:tx>
            <c:strRef>
              <c:f>'minist pagal prior'!$M$14</c:f>
              <c:strCache>
                <c:ptCount val="1"/>
                <c:pt idx="0">
                  <c:v>Nepaskirta projektams</c:v>
                </c:pt>
              </c:strCache>
            </c:strRef>
          </c:tx>
          <c:spPr>
            <a:solidFill>
              <a:schemeClr val="bg1">
                <a:lumMod val="85000"/>
              </a:schemeClr>
            </a:solidFill>
            <a:ln w="38100">
              <a:noFill/>
            </a:ln>
          </c:spPr>
          <c:invertIfNegative val="0"/>
          <c:dLbls>
            <c:dLbl>
              <c:idx val="0"/>
              <c:layout>
                <c:manualLayout>
                  <c:x val="-2.8895768833849329E-2"/>
                  <c:y val="0"/>
                </c:manualLayout>
              </c:layout>
              <c:tx>
                <c:rich>
                  <a:bodyPr/>
                  <a:lstStyle/>
                  <a:p>
                    <a:r>
                      <a:rPr lang="lt-LT">
                        <a:solidFill>
                          <a:schemeClr val="tx1">
                            <a:lumMod val="50000"/>
                            <a:lumOff val="50000"/>
                          </a:schemeClr>
                        </a:solidFill>
                      </a:rPr>
                      <a:t>1</a:t>
                    </a:r>
                    <a:r>
                      <a:rPr lang="en-US">
                        <a:solidFill>
                          <a:schemeClr val="tx1">
                            <a:lumMod val="50000"/>
                            <a:lumOff val="50000"/>
                          </a:schemeClr>
                        </a:solidFill>
                      </a:rPr>
                      <a:t>3%</a:t>
                    </a:r>
                    <a:endParaRPr lang="en-US"/>
                  </a:p>
                </c:rich>
              </c:tx>
              <c:showLegendKey val="0"/>
              <c:showVal val="1"/>
              <c:showCatName val="0"/>
              <c:showSerName val="0"/>
              <c:showPercent val="0"/>
              <c:showBubbleSize val="0"/>
            </c:dLbl>
            <c:txPr>
              <a:bodyPr/>
              <a:lstStyle/>
              <a:p>
                <a:pPr>
                  <a:defRPr>
                    <a:solidFill>
                      <a:schemeClr val="tx1">
                        <a:lumMod val="50000"/>
                        <a:lumOff val="50000"/>
                      </a:schemeClr>
                    </a:solidFill>
                  </a:defRPr>
                </a:pPr>
                <a:endParaRPr lang="lt-LT"/>
              </a:p>
            </c:txPr>
            <c:showLegendKey val="0"/>
            <c:showVal val="1"/>
            <c:showCatName val="0"/>
            <c:showSerName val="0"/>
            <c:showPercent val="0"/>
            <c:showBubbleSize val="0"/>
            <c:showLeaderLines val="0"/>
          </c:dLbls>
          <c:cat>
            <c:strRef>
              <c:f>'minist pagal prior'!$L$15</c:f>
              <c:strCache>
                <c:ptCount val="1"/>
                <c:pt idx="0">
                  <c:v>EIM, ERPF</c:v>
                </c:pt>
              </c:strCache>
            </c:strRef>
          </c:cat>
          <c:val>
            <c:numRef>
              <c:f>'minist pagal prior'!$M$15</c:f>
              <c:numCache>
                <c:formatCode>0%</c:formatCode>
                <c:ptCount val="1"/>
                <c:pt idx="0">
                  <c:v>1</c:v>
                </c:pt>
              </c:numCache>
            </c:numRef>
          </c:val>
        </c:ser>
        <c:ser>
          <c:idx val="2"/>
          <c:order val="1"/>
          <c:tx>
            <c:strRef>
              <c:f>'minist pagal prior'!$N$14</c:f>
              <c:strCache>
                <c:ptCount val="1"/>
                <c:pt idx="0">
                  <c:v>Sudaryta sutarčių</c:v>
                </c:pt>
              </c:strCache>
            </c:strRef>
          </c:tx>
          <c:spPr>
            <a:solidFill>
              <a:schemeClr val="accent1"/>
            </a:solidFill>
            <a:ln w="50800">
              <a:solidFill>
                <a:schemeClr val="accent1"/>
              </a:solidFill>
            </a:ln>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prior'!$L$15</c:f>
              <c:strCache>
                <c:ptCount val="1"/>
                <c:pt idx="0">
                  <c:v>EIM, ERPF</c:v>
                </c:pt>
              </c:strCache>
            </c:strRef>
          </c:cat>
          <c:val>
            <c:numRef>
              <c:f>'minist pagal prior'!$N$15</c:f>
              <c:numCache>
                <c:formatCode>0%</c:formatCode>
                <c:ptCount val="1"/>
                <c:pt idx="0">
                  <c:v>0.8697621014538276</c:v>
                </c:pt>
              </c:numCache>
            </c:numRef>
          </c:val>
        </c:ser>
        <c:ser>
          <c:idx val="3"/>
          <c:order val="2"/>
          <c:tx>
            <c:strRef>
              <c:f>'minist pagal prior'!$O$14</c:f>
              <c:strCache>
                <c:ptCount val="1"/>
                <c:pt idx="0">
                  <c:v>Investuota projektuose</c:v>
                </c:pt>
              </c:strCache>
            </c:strRef>
          </c:tx>
          <c:spPr>
            <a:solidFill>
              <a:schemeClr val="accent3"/>
            </a:solidFill>
          </c:spPr>
          <c:invertIfNegative val="0"/>
          <c:dLbls>
            <c:txPr>
              <a:bodyPr/>
              <a:lstStyle/>
              <a:p>
                <a:pPr>
                  <a:defRPr>
                    <a:solidFill>
                      <a:schemeClr val="bg1"/>
                    </a:solidFill>
                  </a:defRPr>
                </a:pPr>
                <a:endParaRPr lang="lt-LT"/>
              </a:p>
            </c:txPr>
            <c:dLblPos val="inEnd"/>
            <c:showLegendKey val="0"/>
            <c:showVal val="1"/>
            <c:showCatName val="0"/>
            <c:showSerName val="0"/>
            <c:showPercent val="0"/>
            <c:showBubbleSize val="0"/>
            <c:showLeaderLines val="0"/>
          </c:dLbls>
          <c:cat>
            <c:strRef>
              <c:f>'minist pagal prior'!$L$15</c:f>
              <c:strCache>
                <c:ptCount val="1"/>
                <c:pt idx="0">
                  <c:v>EIM, ERPF</c:v>
                </c:pt>
              </c:strCache>
            </c:strRef>
          </c:cat>
          <c:val>
            <c:numRef>
              <c:f>'minist pagal prior'!$O$15</c:f>
              <c:numCache>
                <c:formatCode>0%</c:formatCode>
                <c:ptCount val="1"/>
                <c:pt idx="0">
                  <c:v>0.47290109564626065</c:v>
                </c:pt>
              </c:numCache>
            </c:numRef>
          </c:val>
        </c:ser>
        <c:dLbls>
          <c:showLegendKey val="0"/>
          <c:showVal val="0"/>
          <c:showCatName val="0"/>
          <c:showSerName val="0"/>
          <c:showPercent val="0"/>
          <c:showBubbleSize val="0"/>
        </c:dLbls>
        <c:gapWidth val="217"/>
        <c:overlap val="100"/>
        <c:axId val="142821248"/>
        <c:axId val="142822784"/>
      </c:barChart>
      <c:catAx>
        <c:axId val="142821248"/>
        <c:scaling>
          <c:orientation val="minMax"/>
        </c:scaling>
        <c:delete val="0"/>
        <c:axPos val="l"/>
        <c:majorTickMark val="out"/>
        <c:minorTickMark val="none"/>
        <c:tickLblPos val="nextTo"/>
        <c:crossAx val="142822784"/>
        <c:crosses val="autoZero"/>
        <c:auto val="1"/>
        <c:lblAlgn val="ctr"/>
        <c:lblOffset val="100"/>
        <c:noMultiLvlLbl val="0"/>
      </c:catAx>
      <c:valAx>
        <c:axId val="142822784"/>
        <c:scaling>
          <c:orientation val="minMax"/>
          <c:max val="1"/>
        </c:scaling>
        <c:delete val="1"/>
        <c:axPos val="b"/>
        <c:majorGridlines/>
        <c:numFmt formatCode="0%" sourceLinked="1"/>
        <c:majorTickMark val="out"/>
        <c:minorTickMark val="none"/>
        <c:tickLblPos val="nextTo"/>
        <c:crossAx val="142821248"/>
        <c:crosses val="autoZero"/>
        <c:crossBetween val="between"/>
        <c:majorUnit val="0.2"/>
      </c:valAx>
    </c:plotArea>
    <c:legend>
      <c:legendPos val="b"/>
      <c:layout>
        <c:manualLayout>
          <c:xMode val="edge"/>
          <c:yMode val="edge"/>
          <c:x val="7.8171830688346614E-2"/>
          <c:y val="0.62116933659154672"/>
          <c:w val="0.83952837164704253"/>
          <c:h val="0.34782333242827407"/>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E6FE06-D963-42EA-AEA3-B42C255846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24</Pages>
  <Words>35585</Words>
  <Characters>20284</Characters>
  <Application>Microsoft Office Word</Application>
  <DocSecurity>0</DocSecurity>
  <Lines>169</Lines>
  <Paragraphs>111</Paragraphs>
  <ScaleCrop>false</ScaleCrop>
  <HeadingPairs>
    <vt:vector size="6" baseType="variant">
      <vt:variant>
        <vt:lpstr>Pavadinimas</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FM</Company>
  <LinksUpToDate>false</LinksUpToDate>
  <CharactersWithSpaces>55758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Jurgita Vilūnienė</dc:creator>
  <cp:lastModifiedBy>Akvilė Liatkovskienė</cp:lastModifiedBy>
  <cp:revision>20</cp:revision>
  <cp:lastPrinted>2020-08-18T12:08:00Z</cp:lastPrinted>
  <dcterms:created xsi:type="dcterms:W3CDTF">2020-10-26T11:29:00Z</dcterms:created>
  <dcterms:modified xsi:type="dcterms:W3CDTF">2020-10-27T17:51:00Z</dcterms:modified>
</cp:coreProperties>
</file>