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05DC" w14:textId="77777777" w:rsidR="00443B11" w:rsidRPr="00DF0E99" w:rsidRDefault="00443B11" w:rsidP="00443B11">
      <w:pPr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DF0E99">
        <w:rPr>
          <w:rFonts w:ascii="Times New Roman" w:hAnsi="Times New Roman" w:cs="Times New Roman"/>
          <w:b/>
          <w:sz w:val="22"/>
          <w:szCs w:val="24"/>
        </w:rPr>
        <w:t>TEISĖS AKTŲ PROJEKTŲ ANTIKORUPCINIO VERTINIMO PAŽYMA</w:t>
      </w:r>
    </w:p>
    <w:p w14:paraId="2342B2A6" w14:textId="77777777" w:rsidR="00443B11" w:rsidRPr="00DF0E99" w:rsidRDefault="00443B11" w:rsidP="00443B11">
      <w:pPr>
        <w:rPr>
          <w:rFonts w:ascii="Times New Roman" w:hAnsi="Times New Roman" w:cs="Times New Roman"/>
          <w:sz w:val="22"/>
          <w:szCs w:val="24"/>
        </w:rPr>
      </w:pPr>
    </w:p>
    <w:p w14:paraId="50CC4918" w14:textId="77777777" w:rsidR="00050517" w:rsidRPr="00DF0E99" w:rsidRDefault="00050517" w:rsidP="00443B11">
      <w:pPr>
        <w:rPr>
          <w:rFonts w:ascii="Times New Roman" w:hAnsi="Times New Roman" w:cs="Times New Roman"/>
          <w:sz w:val="22"/>
          <w:szCs w:val="24"/>
        </w:rPr>
      </w:pPr>
    </w:p>
    <w:p w14:paraId="481CFFCD" w14:textId="4160A361" w:rsidR="000C05C6" w:rsidRDefault="00443B11" w:rsidP="001628E6">
      <w:pPr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>Teisės akto projekto pavadinimas</w:t>
      </w:r>
      <w:r w:rsidR="001628E6" w:rsidRPr="001628E6">
        <w:t xml:space="preserve"> </w:t>
      </w:r>
      <w:r w:rsidR="001628E6">
        <w:t>B</w:t>
      </w:r>
      <w:r w:rsidR="001628E6" w:rsidRPr="001628E6">
        <w:rPr>
          <w:rFonts w:ascii="Times New Roman" w:hAnsi="Times New Roman" w:cs="Times New Roman"/>
          <w:sz w:val="22"/>
          <w:szCs w:val="24"/>
        </w:rPr>
        <w:t xml:space="preserve">audų už </w:t>
      </w:r>
      <w:r w:rsidR="001628E6">
        <w:rPr>
          <w:rFonts w:ascii="Times New Roman" w:hAnsi="Times New Roman" w:cs="Times New Roman"/>
          <w:sz w:val="22"/>
          <w:szCs w:val="24"/>
        </w:rPr>
        <w:t>L</w:t>
      </w:r>
      <w:r w:rsidR="001628E6" w:rsidRPr="001628E6">
        <w:rPr>
          <w:rFonts w:ascii="Times New Roman" w:hAnsi="Times New Roman" w:cs="Times New Roman"/>
          <w:sz w:val="22"/>
          <w:szCs w:val="24"/>
        </w:rPr>
        <w:t>ietuvos respublikos nesąžiningos prekybos praktikos žemės ūkio ir maisto produktų tiekimo grandinėje draudimo įstatymo pažeidimus skyrimo tvarkos aprašas</w:t>
      </w:r>
      <w:r w:rsidR="00542817" w:rsidRPr="000C05C6">
        <w:rPr>
          <w:rFonts w:ascii="Times New Roman" w:hAnsi="Times New Roman" w:cs="Times New Roman"/>
          <w:sz w:val="22"/>
          <w:szCs w:val="24"/>
        </w:rPr>
        <w:t xml:space="preserve"> </w:t>
      </w:r>
      <w:r w:rsidR="000C05C6" w:rsidRPr="000C05C6">
        <w:rPr>
          <w:rFonts w:ascii="Times New Roman" w:hAnsi="Times New Roman" w:cs="Times New Roman"/>
          <w:sz w:val="22"/>
          <w:szCs w:val="24"/>
        </w:rPr>
        <w:t xml:space="preserve">(toliau – </w:t>
      </w:r>
      <w:r w:rsidR="000C05C6">
        <w:rPr>
          <w:rFonts w:ascii="Times New Roman" w:hAnsi="Times New Roman" w:cs="Times New Roman"/>
          <w:sz w:val="22"/>
          <w:szCs w:val="24"/>
        </w:rPr>
        <w:t>Projektas</w:t>
      </w:r>
      <w:r w:rsidR="000C05C6" w:rsidRPr="000C05C6">
        <w:rPr>
          <w:rFonts w:ascii="Times New Roman" w:hAnsi="Times New Roman" w:cs="Times New Roman"/>
          <w:sz w:val="22"/>
          <w:szCs w:val="24"/>
        </w:rPr>
        <w:t>).</w:t>
      </w:r>
    </w:p>
    <w:p w14:paraId="09CD3FB3" w14:textId="1459CB8D" w:rsidR="00E94D6F" w:rsidRPr="007D3243" w:rsidRDefault="00A0151F" w:rsidP="001628E6">
      <w:pPr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Teisės akto projektą </w:t>
      </w:r>
      <w:r w:rsidRPr="00A0151F">
        <w:rPr>
          <w:rFonts w:ascii="Times New Roman" w:hAnsi="Times New Roman" w:cs="Times New Roman"/>
          <w:sz w:val="22"/>
          <w:szCs w:val="24"/>
        </w:rPr>
        <w:t>parengė Lietuvos Respublikos žemės ūkio minist</w:t>
      </w:r>
      <w:r w:rsidR="001628E6">
        <w:rPr>
          <w:rFonts w:ascii="Times New Roman" w:hAnsi="Times New Roman" w:cs="Times New Roman"/>
          <w:sz w:val="22"/>
          <w:szCs w:val="24"/>
        </w:rPr>
        <w:t xml:space="preserve">erijos </w:t>
      </w:r>
      <w:r w:rsidR="001628E6" w:rsidRPr="001628E6">
        <w:rPr>
          <w:rFonts w:ascii="Times New Roman" w:hAnsi="Times New Roman" w:cs="Times New Roman"/>
          <w:sz w:val="22"/>
          <w:szCs w:val="24"/>
        </w:rPr>
        <w:t xml:space="preserve">Programinio, projektinio valdymo  ir analizės skyriaus </w:t>
      </w:r>
      <w:r w:rsidR="001628E6">
        <w:rPr>
          <w:rFonts w:ascii="Times New Roman" w:hAnsi="Times New Roman" w:cs="Times New Roman"/>
          <w:sz w:val="22"/>
          <w:szCs w:val="24"/>
        </w:rPr>
        <w:t>vyr. specialistė Kristina Šimkutė, tel</w:t>
      </w:r>
      <w:r w:rsidR="001628E6" w:rsidRPr="001628E6">
        <w:rPr>
          <w:rFonts w:ascii="Times New Roman" w:hAnsi="Times New Roman" w:cs="Times New Roman"/>
          <w:sz w:val="22"/>
          <w:szCs w:val="24"/>
        </w:rPr>
        <w:t>. 8 680 44306, el.</w:t>
      </w:r>
      <w:r w:rsidR="007D3243">
        <w:rPr>
          <w:rFonts w:ascii="Times New Roman" w:hAnsi="Times New Roman" w:cs="Times New Roman"/>
          <w:sz w:val="22"/>
          <w:szCs w:val="24"/>
        </w:rPr>
        <w:t xml:space="preserve"> </w:t>
      </w:r>
      <w:r w:rsidR="001628E6" w:rsidRPr="001628E6">
        <w:rPr>
          <w:rFonts w:ascii="Times New Roman" w:hAnsi="Times New Roman" w:cs="Times New Roman"/>
          <w:sz w:val="22"/>
          <w:szCs w:val="24"/>
        </w:rPr>
        <w:t xml:space="preserve">p. </w:t>
      </w:r>
      <w:hyperlink r:id="rId8" w:history="1">
        <w:r w:rsidR="001628E6" w:rsidRPr="007D3243">
          <w:rPr>
            <w:rStyle w:val="Hipersaitas"/>
            <w:rFonts w:ascii="Times New Roman" w:hAnsi="Times New Roman" w:cs="Times New Roman"/>
            <w:sz w:val="22"/>
            <w:szCs w:val="24"/>
          </w:rPr>
          <w:t>kristina.simkute@zum.lt</w:t>
        </w:r>
      </w:hyperlink>
      <w:r w:rsidRPr="007D3243">
        <w:rPr>
          <w:rFonts w:ascii="Times New Roman" w:hAnsi="Times New Roman" w:cs="Times New Roman"/>
          <w:sz w:val="22"/>
          <w:szCs w:val="22"/>
        </w:rPr>
        <w:t>.</w:t>
      </w:r>
    </w:p>
    <w:p w14:paraId="22117E09" w14:textId="77777777" w:rsidR="00443B11" w:rsidRPr="00DF0E99" w:rsidRDefault="00443B11" w:rsidP="00FF6F6B">
      <w:pPr>
        <w:spacing w:before="40"/>
        <w:jc w:val="both"/>
        <w:rPr>
          <w:rFonts w:ascii="Times New Roman" w:hAnsi="Times New Roman" w:cs="Times New Roman"/>
          <w:sz w:val="22"/>
          <w:szCs w:val="24"/>
        </w:rPr>
      </w:pPr>
      <w:r w:rsidRPr="007D3243">
        <w:rPr>
          <w:rFonts w:ascii="Times New Roman" w:hAnsi="Times New Roman" w:cs="Times New Roman"/>
          <w:sz w:val="22"/>
          <w:szCs w:val="24"/>
        </w:rPr>
        <w:t xml:space="preserve">Antikorupciniu požiūriu rizikingos teisės akto projekto nuostatos: </w:t>
      </w:r>
      <w:r w:rsidR="00DF0E99" w:rsidRPr="007D3243">
        <w:rPr>
          <w:rFonts w:ascii="Times New Roman" w:hAnsi="Times New Roman" w:cs="Times New Roman"/>
          <w:sz w:val="22"/>
          <w:szCs w:val="24"/>
        </w:rPr>
        <w:t>nėra</w:t>
      </w:r>
    </w:p>
    <w:p w14:paraId="141CE81A" w14:textId="77777777" w:rsidR="00050517" w:rsidRPr="00DF0E99" w:rsidRDefault="00050517" w:rsidP="00FF6F6B">
      <w:pPr>
        <w:jc w:val="both"/>
        <w:rPr>
          <w:rFonts w:ascii="Times New Roman" w:hAnsi="Times New Roman" w:cs="Times New Roman"/>
          <w:sz w:val="22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290"/>
        <w:gridCol w:w="4364"/>
        <w:gridCol w:w="2693"/>
        <w:gridCol w:w="2835"/>
      </w:tblGrid>
      <w:tr w:rsidR="00443B11" w:rsidRPr="00DF0E99" w14:paraId="4533B8EB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F634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EAAE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Kriterijus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B1F" w14:textId="77777777" w:rsidR="00443B11" w:rsidRPr="00DF0E99" w:rsidRDefault="00443B11" w:rsidP="00AE263B">
            <w:pPr>
              <w:ind w:left="4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F9CC" w14:textId="77777777" w:rsidR="00443B11" w:rsidRPr="00DF0E99" w:rsidRDefault="00443B11" w:rsidP="00AE263B">
            <w:pPr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029" w14:textId="77777777" w:rsidR="00443B11" w:rsidRPr="00DF0E99" w:rsidRDefault="00443B11" w:rsidP="00AE263B">
            <w:pPr>
              <w:ind w:left="4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443B11" w:rsidRPr="00DF0E99" w14:paraId="7DCEDFAB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B4E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AA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1B5D" w14:textId="77777777" w:rsidR="00443B11" w:rsidRPr="00DF0E99" w:rsidRDefault="00443B11" w:rsidP="00AE263B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F26" w14:textId="77777777" w:rsidR="00443B11" w:rsidRPr="00DF0E99" w:rsidRDefault="00443B11" w:rsidP="00AE263B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AFC5" w14:textId="77777777" w:rsidR="00443B11" w:rsidRPr="00DF0E99" w:rsidRDefault="00443B11" w:rsidP="00AE263B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</w:tr>
      <w:tr w:rsidR="00443B11" w:rsidRPr="00DF0E99" w14:paraId="05AFB30E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1CA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FD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4F0" w14:textId="46BBA953" w:rsidR="00FD0D79" w:rsidRPr="00DF0E99" w:rsidRDefault="00E575F9" w:rsidP="00AC043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Projektas nesudaro išskirtinių ar nevienodų sąlygų subjektams, </w:t>
            </w:r>
            <w:r w:rsidR="001628E6">
              <w:rPr>
                <w:rFonts w:ascii="Times New Roman" w:hAnsi="Times New Roman" w:cs="Times New Roman"/>
                <w:sz w:val="22"/>
                <w:szCs w:val="22"/>
              </w:rPr>
              <w:t>kuriems galėtų būti aktualios Projekto nuostatos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E5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628E6">
              <w:rPr>
                <w:rFonts w:ascii="Times New Roman" w:hAnsi="Times New Roman" w:cs="Times New Roman"/>
                <w:sz w:val="22"/>
                <w:szCs w:val="22"/>
              </w:rPr>
              <w:t xml:space="preserve">Projektas nustato </w:t>
            </w:r>
            <w:r w:rsidR="001628E6" w:rsidRPr="001628E6">
              <w:rPr>
                <w:rFonts w:ascii="Times New Roman" w:hAnsi="Times New Roman" w:cs="Times New Roman"/>
                <w:sz w:val="22"/>
                <w:szCs w:val="22"/>
              </w:rPr>
              <w:t>baudų už Lietuvos Respublikos nesąžiningos prekybos praktikos žemės ūkio ir maisto produktų tiekimo grandinėje draudimo įstatymo pažeidimus dydžio nustatymo ir skyrimo tvarką.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BB5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8C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7C46DA9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39DB0804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E94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99F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C6DE" w14:textId="77777777" w:rsidR="00443B11" w:rsidRPr="00DF0E99" w:rsidRDefault="00ED2187" w:rsidP="00FE529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Projekto nuostatos aiškios ir nedviprasmiškos.</w:t>
            </w:r>
            <w:r w:rsid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B3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281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379FC9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3CECB288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3E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646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D3D" w14:textId="69B92967" w:rsidR="00284D85" w:rsidRDefault="00284D85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4D85">
              <w:rPr>
                <w:rFonts w:ascii="Times New Roman" w:hAnsi="Times New Roman" w:cs="Times New Roman"/>
                <w:sz w:val="22"/>
                <w:szCs w:val="22"/>
              </w:rPr>
              <w:t>VšĮ Kaimo verslo ir rinkų plėtros agentūros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(toliau – Agentūra)</w:t>
            </w:r>
            <w:r w:rsidRPr="00284D85">
              <w:rPr>
                <w:rFonts w:ascii="Times New Roman" w:hAnsi="Times New Roman" w:cs="Times New Roman"/>
                <w:sz w:val="22"/>
                <w:szCs w:val="22"/>
              </w:rPr>
              <w:t xml:space="preserve"> sprendimas dėl baudos skyrimo yra vykdomasis dokumentas, vykdomas Lietuvos Respublikos civilinio proceso kodekso nustatyta tvarka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(Nesąžiningos </w:t>
            </w:r>
            <w:r w:rsidRPr="00284D85">
              <w:rPr>
                <w:rFonts w:ascii="Times New Roman" w:hAnsi="Times New Roman" w:cs="Times New Roman"/>
                <w:sz w:val="22"/>
                <w:szCs w:val="22"/>
              </w:rPr>
              <w:t>prekybos praktikos žemės ūkio ir maisto produktų tiekimo grandinėje draudimo įstatymo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 str.).</w:t>
            </w:r>
          </w:p>
          <w:p w14:paraId="55C405FD" w14:textId="3188388A" w:rsidR="00443B11" w:rsidRDefault="00284D85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Pažymėtina, kad </w:t>
            </w:r>
            <w:r w:rsidR="00F25216">
              <w:rPr>
                <w:rFonts w:ascii="Times New Roman" w:hAnsi="Times New Roman" w:cs="Times New Roman"/>
                <w:sz w:val="22"/>
                <w:szCs w:val="22"/>
              </w:rPr>
              <w:t>Agentūr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r w:rsidR="00F25216">
              <w:rPr>
                <w:rFonts w:ascii="Times New Roman" w:hAnsi="Times New Roman" w:cs="Times New Roman"/>
                <w:sz w:val="22"/>
                <w:szCs w:val="22"/>
              </w:rPr>
              <w:t xml:space="preserve"> sprendimai gali būti skundžiami teismui </w:t>
            </w:r>
            <w:r w:rsidR="00F25216" w:rsidRPr="00F25216">
              <w:rPr>
                <w:rFonts w:ascii="Times New Roman" w:hAnsi="Times New Roman" w:cs="Times New Roman"/>
                <w:sz w:val="22"/>
                <w:szCs w:val="22"/>
              </w:rPr>
              <w:t>Administracinių bylų teisenos įstatymo nustatyta tvarka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284D85">
              <w:rPr>
                <w:rFonts w:ascii="Times New Roman" w:hAnsi="Times New Roman" w:cs="Times New Roman"/>
                <w:sz w:val="22"/>
                <w:szCs w:val="22"/>
              </w:rPr>
              <w:t>Nesąžiningos prekybos praktikos žemės ūkio ir maisto produktų tiekimo grandinėje draudimo įstatymo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 str.).</w:t>
            </w:r>
          </w:p>
          <w:p w14:paraId="51EDCB24" w14:textId="029E0812" w:rsidR="00284D85" w:rsidRDefault="00284D85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Atsižvelgiant į tai, </w:t>
            </w:r>
            <w:r w:rsidR="00F24585">
              <w:rPr>
                <w:rFonts w:ascii="Times New Roman" w:hAnsi="Times New Roman" w:cs="Times New Roman"/>
                <w:sz w:val="22"/>
                <w:szCs w:val="22"/>
              </w:rPr>
              <w:t>sprendimus priimantis subjektas yra atribotas nuo šių sprendimų teisėtumą vertinančių bei juos įgyvendinančių subjektų.</w:t>
            </w:r>
          </w:p>
          <w:p w14:paraId="6F2D8BDF" w14:textId="122CA509" w:rsidR="00284D85" w:rsidRPr="00DF0E99" w:rsidRDefault="00284D85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CC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8C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9B702A1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7988AE24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CF4A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397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41D" w14:textId="22174B79" w:rsidR="00F64E2B" w:rsidRDefault="00FD748B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14B4">
              <w:rPr>
                <w:rFonts w:ascii="Times New Roman" w:hAnsi="Times New Roman" w:cs="Times New Roman"/>
                <w:sz w:val="22"/>
                <w:szCs w:val="22"/>
              </w:rPr>
              <w:t xml:space="preserve">Taip. </w:t>
            </w:r>
            <w:r w:rsidR="00F24585" w:rsidRPr="00F24585">
              <w:rPr>
                <w:rFonts w:ascii="Times New Roman" w:hAnsi="Times New Roman" w:cs="Times New Roman"/>
                <w:sz w:val="22"/>
                <w:szCs w:val="22"/>
              </w:rPr>
              <w:t>Nesąžiningos prekybos praktikos žemės ūkio ir maisto produktų tiekimo grandinėje draudimo įstatymo</w:t>
            </w:r>
            <w:r w:rsidR="00F24585">
              <w:rPr>
                <w:rFonts w:ascii="Times New Roman" w:hAnsi="Times New Roman" w:cs="Times New Roman"/>
                <w:sz w:val="22"/>
                <w:szCs w:val="22"/>
              </w:rPr>
              <w:t xml:space="preserve"> pažeidimus nagrinės</w:t>
            </w:r>
            <w:r w:rsidR="00510DF8">
              <w:rPr>
                <w:rFonts w:ascii="Times New Roman" w:hAnsi="Times New Roman" w:cs="Times New Roman"/>
                <w:sz w:val="22"/>
                <w:szCs w:val="22"/>
              </w:rPr>
              <w:t xml:space="preserve"> ir už juos skirs baudas</w:t>
            </w:r>
            <w:r w:rsidR="00F24585">
              <w:rPr>
                <w:rFonts w:ascii="Times New Roman" w:hAnsi="Times New Roman" w:cs="Times New Roman"/>
                <w:sz w:val="22"/>
                <w:szCs w:val="22"/>
              </w:rPr>
              <w:t xml:space="preserve"> Agentūra.</w:t>
            </w:r>
            <w:r w:rsidRPr="00A914B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35C2DC60" w14:textId="04E020F7" w:rsidR="00F24585" w:rsidRPr="00C25714" w:rsidRDefault="00F24585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Projektu suteikti įgaliojimai</w:t>
            </w:r>
            <w:r w:rsidR="00510DF8">
              <w:rPr>
                <w:rFonts w:ascii="Times New Roman" w:hAnsi="Times New Roman" w:cs="Times New Roman"/>
                <w:sz w:val="22"/>
                <w:szCs w:val="22"/>
              </w:rPr>
              <w:t xml:space="preserve"> Agentūrai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atitinka </w:t>
            </w:r>
            <w:r w:rsidR="00510DF8">
              <w:rPr>
                <w:rFonts w:ascii="Times New Roman" w:hAnsi="Times New Roman" w:cs="Times New Roman"/>
                <w:sz w:val="22"/>
                <w:szCs w:val="22"/>
              </w:rPr>
              <w:t xml:space="preserve">jai </w:t>
            </w:r>
            <w:r w:rsidR="00510DF8" w:rsidRPr="00510DF8">
              <w:rPr>
                <w:rFonts w:ascii="Times New Roman" w:hAnsi="Times New Roman" w:cs="Times New Roman"/>
                <w:sz w:val="22"/>
                <w:szCs w:val="22"/>
              </w:rPr>
              <w:t>Nesąžiningos prekybos praktikos žemės ūkio ir maisto produktų tiekimo grandinėje draudimo įstatym</w:t>
            </w:r>
            <w:r w:rsidR="00510DF8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510DF8" w:rsidRPr="00510D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priskirtas funkcijas.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26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10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726E0BF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2AA2B2E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21C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165B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502" w14:textId="017D2197" w:rsidR="00B64E23" w:rsidRPr="00DF0E99" w:rsidRDefault="007229A0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Taip. </w:t>
            </w:r>
            <w:r w:rsidR="00510DF8">
              <w:rPr>
                <w:rFonts w:ascii="Times New Roman" w:hAnsi="Times New Roman" w:cs="Times New Roman"/>
                <w:sz w:val="22"/>
                <w:szCs w:val="22"/>
              </w:rPr>
              <w:t xml:space="preserve">Spendimo dėl baudos </w:t>
            </w:r>
            <w:r w:rsidR="00B64E23" w:rsidRPr="00510DF8">
              <w:rPr>
                <w:rFonts w:ascii="Times New Roman" w:hAnsi="Times New Roman" w:cs="Times New Roman"/>
                <w:sz w:val="22"/>
                <w:szCs w:val="22"/>
              </w:rPr>
              <w:t>už pavėluotus mokėjimus</w:t>
            </w:r>
            <w:r w:rsidR="00510DF8">
              <w:rPr>
                <w:rFonts w:ascii="Times New Roman" w:hAnsi="Times New Roman" w:cs="Times New Roman"/>
                <w:sz w:val="22"/>
                <w:szCs w:val="22"/>
              </w:rPr>
              <w:t xml:space="preserve"> dydžio kriterijai nurodyti </w:t>
            </w:r>
            <w:r w:rsidR="00B64E23">
              <w:rPr>
                <w:rFonts w:ascii="Times New Roman" w:hAnsi="Times New Roman" w:cs="Times New Roman"/>
                <w:sz w:val="22"/>
                <w:szCs w:val="22"/>
              </w:rPr>
              <w:t xml:space="preserve">Projekto II skyriuje. Sprendimo dėl baudos už </w:t>
            </w:r>
            <w:r w:rsidR="00B64E23" w:rsidRPr="00B64E23">
              <w:rPr>
                <w:rFonts w:ascii="Times New Roman" w:hAnsi="Times New Roman" w:cs="Times New Roman"/>
                <w:sz w:val="22"/>
                <w:szCs w:val="22"/>
              </w:rPr>
              <w:t>kitus pažeidimus</w:t>
            </w:r>
            <w:r w:rsidR="00B64E23">
              <w:rPr>
                <w:rFonts w:ascii="Times New Roman" w:hAnsi="Times New Roman" w:cs="Times New Roman"/>
                <w:sz w:val="22"/>
                <w:szCs w:val="22"/>
              </w:rPr>
              <w:t xml:space="preserve"> dydžio kriterijai nurodyti III skyriuje. Kriterijų sąrašas baigtinis.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9C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0C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0D97D56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3B4FB6E6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3C82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14E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FCC" w14:textId="654C4243" w:rsidR="00443B11" w:rsidRPr="00DF0E99" w:rsidRDefault="00B8161D" w:rsidP="007229A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0DEF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816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73CDDAC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533D8CA5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79E1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B54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051" w14:textId="77777777" w:rsidR="00964B58" w:rsidRDefault="00DE416A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416A">
              <w:rPr>
                <w:rFonts w:ascii="Times New Roman" w:hAnsi="Times New Roman" w:cs="Times New Roman"/>
                <w:sz w:val="22"/>
                <w:szCs w:val="22"/>
              </w:rPr>
              <w:t xml:space="preserve">Sprendimo taikyti </w:t>
            </w:r>
            <w:r w:rsidR="002350CD" w:rsidRPr="002350CD">
              <w:rPr>
                <w:rFonts w:ascii="Times New Roman" w:hAnsi="Times New Roman" w:cs="Times New Roman"/>
                <w:sz w:val="22"/>
                <w:szCs w:val="22"/>
              </w:rPr>
              <w:t>Nesąžiningos prekybos praktikos žemės ūkio ir maisto produktų tiekimo grandinėje draudimo įstatym</w:t>
            </w:r>
            <w:r w:rsidR="002350CD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DE416A">
              <w:rPr>
                <w:rFonts w:ascii="Times New Roman" w:hAnsi="Times New Roman" w:cs="Times New Roman"/>
                <w:sz w:val="22"/>
                <w:szCs w:val="22"/>
              </w:rPr>
              <w:t xml:space="preserve"> nustatytas sankcijas kopija ne vėliau kaip per 3 darbo dienas nuo jo priėmimo dienos išsiunčiama registruotu laišku proceso šalims. Kai Agentūros sprendime yra neskelbtinų duomenų (valstybės, tarnybos, profesinių, komercinių paslapčių ar asmens duomenų, kurie neskelbtini atsižvelgiant į asmens duomenų apsaugos teisės aktų reikalavimus), parengiama skelbtina sprendimo versija, iš kurios pašalinami visi neskelbtini duomenys</w:t>
            </w:r>
            <w:r w:rsidR="002350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9BB6D07" w14:textId="342944D6" w:rsidR="002350CD" w:rsidRPr="00DF0E99" w:rsidRDefault="002350CD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Nuostatos dėl sprendimų viešinimo įtvirtintos </w:t>
            </w:r>
            <w:r w:rsidRPr="002350CD">
              <w:rPr>
                <w:rFonts w:ascii="Times New Roman" w:hAnsi="Times New Roman" w:cs="Times New Roman"/>
                <w:sz w:val="22"/>
                <w:szCs w:val="22"/>
              </w:rPr>
              <w:t>Nesąžiningos prekybos praktikos žemės ūkio ir maisto produktų tiekimo grandinėje draudimo įstatym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23 str. 1 d. – </w:t>
            </w:r>
            <w:r w:rsidRPr="002350CD">
              <w:rPr>
                <w:rFonts w:ascii="Times New Roman" w:hAnsi="Times New Roman" w:cs="Times New Roman"/>
                <w:sz w:val="22"/>
                <w:szCs w:val="22"/>
              </w:rPr>
              <w:t xml:space="preserve">Agentūra iki kiekvienų metų kovo 1 d. savo interneto svetainėje paskelbia savo veiklos, susijusios su šio įstatymo nuostatų </w:t>
            </w:r>
            <w:r w:rsidRPr="002350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taikymu, metinę ataskaitą, kurioje nurodomas per praėjusius metus gautų skundų skaičius ir pradėtų arba užbaigtų tyrimų skaičius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235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2350CD">
              <w:rPr>
                <w:rFonts w:ascii="Times New Roman" w:hAnsi="Times New Roman" w:cs="Times New Roman"/>
                <w:sz w:val="22"/>
                <w:szCs w:val="22"/>
              </w:rPr>
              <w:t>taskaitoje pateikiama kiekvieno užbaigto tyrimo dalyko santrauka, tyrimo rezultatai ir, kai taikytina, priimtas sprendimas, laikantis šio įstatymo 9 straipsnyje nustatytų konfidencialumo reikalavimų.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989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8D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52EE61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72A4AE6E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67AF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AB4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9459" w14:textId="7440CAA4" w:rsidR="00CB6F91" w:rsidRPr="00DF0E99" w:rsidRDefault="004D565E" w:rsidP="00CB6F9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6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Nereglamentuojama.</w:t>
            </w:r>
            <w:r w:rsidR="006306F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0E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7A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743A10D5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FF48183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B89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AE1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21566BE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5A135313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3266E7C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  <w:r w:rsidRPr="00DF0E9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. narių skyrimo mechanizmas;</w:t>
            </w:r>
          </w:p>
          <w:p w14:paraId="30D5A78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9.4. narių rotacija ir kadencijų skaičius ir trukmė;</w:t>
            </w:r>
          </w:p>
          <w:p w14:paraId="0F88229C" w14:textId="77777777" w:rsidR="00443B11" w:rsidRPr="00DF0E99" w:rsidRDefault="00443B11" w:rsidP="00443B11">
            <w:pPr>
              <w:pStyle w:val="ListParagraph1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9.5. veiklos pobūdis laiko atžvilgiu;</w:t>
            </w:r>
          </w:p>
          <w:p w14:paraId="74A4823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9.6. individuali narių atsakomybė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6D1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365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18F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86E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791D065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15C442E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218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7DCD" w14:textId="77777777" w:rsidR="00443B11" w:rsidRPr="005C1963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5C19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būtinos,</w:t>
            </w: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C52" w14:textId="3EBEBB23" w:rsidR="00443B11" w:rsidRPr="005C1963" w:rsidRDefault="007D3243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  <w:r w:rsidR="007D042F" w:rsidRPr="009365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808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39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5CE95F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28EDA2F2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092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BF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0D3" w14:textId="7F98EF87" w:rsidR="00443B11" w:rsidRPr="00DF0E99" w:rsidRDefault="007D3243" w:rsidP="00681C8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FB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A641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CCCD3FF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7E87D91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F86E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579F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0943" w14:textId="768C8C1D" w:rsidR="0084358A" w:rsidRPr="00DF0E99" w:rsidRDefault="007D3243" w:rsidP="002956DA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A7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209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9AF5F51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77691D91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708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23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5A1" w14:textId="0F292545" w:rsidR="00443B11" w:rsidRPr="00DF0E99" w:rsidRDefault="007D3243" w:rsidP="002D48A4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243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8E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B53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1E27C97A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471C1A80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21F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F36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D30" w14:textId="3C57732A" w:rsidR="00443B11" w:rsidRPr="00DF0E99" w:rsidRDefault="007D3243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243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AB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E5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C17C63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CF4A426" w14:textId="77777777" w:rsidTr="00C25714">
        <w:trPr>
          <w:trHeight w:val="1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745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529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E0AA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EF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299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72C3648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59D052AC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1A0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AF94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FF8" w14:textId="4BD82F34" w:rsidR="00682E29" w:rsidRPr="00DF0E99" w:rsidRDefault="007D3243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243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64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46E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DFACE7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3D0C2AF4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258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55F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158" w14:textId="06EB08DD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  <w:r w:rsidR="002A51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ACEB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5F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DFB4ED5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567DF613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9DC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0E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240" w14:textId="3608D53D" w:rsidR="00D079CA" w:rsidRPr="0048534B" w:rsidRDefault="007D3243" w:rsidP="00682E2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3243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FD1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4CE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14C4A1C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2221EC65" w14:textId="77777777" w:rsidTr="00C25714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2100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DEA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Kiti svarbūs kriterijai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BA55" w14:textId="77777777" w:rsidR="00443B11" w:rsidRPr="00DF0E99" w:rsidRDefault="0079309F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Nėra</w:t>
            </w:r>
            <w:r w:rsidR="004245FA" w:rsidRPr="00DF0E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FB5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AE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427B39A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</w:tbl>
    <w:p w14:paraId="0A76A32E" w14:textId="77777777" w:rsidR="00443B11" w:rsidRPr="00DF0E99" w:rsidRDefault="00443B11" w:rsidP="00443B11">
      <w:pPr>
        <w:pStyle w:val="Antrats"/>
        <w:tabs>
          <w:tab w:val="clear" w:pos="4153"/>
          <w:tab w:val="left" w:pos="6237"/>
        </w:tabs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1"/>
        <w:gridCol w:w="4733"/>
        <w:gridCol w:w="2419"/>
        <w:gridCol w:w="4900"/>
      </w:tblGrid>
      <w:tr w:rsidR="00DF0E99" w:rsidRPr="00DF0E99" w14:paraId="542BC57A" w14:textId="77777777" w:rsidTr="00EA18B5">
        <w:trPr>
          <w:trHeight w:val="23"/>
        </w:trPr>
        <w:tc>
          <w:tcPr>
            <w:tcW w:w="2441" w:type="dxa"/>
            <w:shd w:val="clear" w:color="auto" w:fill="auto"/>
          </w:tcPr>
          <w:p w14:paraId="045ECFF1" w14:textId="77777777" w:rsidR="00DF0E99" w:rsidRPr="001C43F5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C43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Teisės akto projekto rengėjas:</w:t>
            </w:r>
          </w:p>
        </w:tc>
        <w:tc>
          <w:tcPr>
            <w:tcW w:w="4733" w:type="dxa"/>
            <w:shd w:val="clear" w:color="auto" w:fill="auto"/>
          </w:tcPr>
          <w:p w14:paraId="445BF4D1" w14:textId="77777777" w:rsidR="00DF0E99" w:rsidRDefault="00DF0E99" w:rsidP="000171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99D4B14" w14:textId="77777777" w:rsidR="001C43F5" w:rsidRDefault="001C43F5" w:rsidP="000171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C43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Programinio, projektinio valdymo  ir analizės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C43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skyriaus vyr. specialistė </w:t>
            </w:r>
          </w:p>
          <w:p w14:paraId="16CBCC79" w14:textId="2CCD4358" w:rsidR="0001713D" w:rsidRPr="00DF0E99" w:rsidRDefault="001C43F5" w:rsidP="000171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C43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Kristina Šimkutė</w:t>
            </w:r>
          </w:p>
        </w:tc>
        <w:tc>
          <w:tcPr>
            <w:tcW w:w="2419" w:type="dxa"/>
            <w:shd w:val="clear" w:color="auto" w:fill="auto"/>
          </w:tcPr>
          <w:p w14:paraId="236FE991" w14:textId="77777777" w:rsidR="00DF0E99" w:rsidRPr="001C43F5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C43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Teisės akto projekto vertintojas:                      </w:t>
            </w:r>
          </w:p>
        </w:tc>
        <w:tc>
          <w:tcPr>
            <w:tcW w:w="4900" w:type="dxa"/>
            <w:shd w:val="clear" w:color="auto" w:fill="auto"/>
          </w:tcPr>
          <w:p w14:paraId="17602E94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BE64C14" w14:textId="42534F45" w:rsid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Teisėkūros ir atstovavimo skyriaus </w:t>
            </w:r>
            <w:r w:rsidR="00937CC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patarėjas</w:t>
            </w:r>
          </w:p>
          <w:p w14:paraId="1114D958" w14:textId="70E12643" w:rsidR="00937CC9" w:rsidRDefault="00937CC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Modestas Važnevičius</w:t>
            </w:r>
          </w:p>
          <w:p w14:paraId="5FE7A181" w14:textId="059BFA84" w:rsidR="00937CC9" w:rsidRPr="00DF0E99" w:rsidRDefault="00937CC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0E99" w:rsidRPr="00DF0E99" w14:paraId="0DA4028A" w14:textId="77777777" w:rsidTr="00EA18B5">
        <w:trPr>
          <w:trHeight w:val="23"/>
        </w:trPr>
        <w:tc>
          <w:tcPr>
            <w:tcW w:w="2441" w:type="dxa"/>
            <w:shd w:val="clear" w:color="auto" w:fill="auto"/>
          </w:tcPr>
          <w:p w14:paraId="2E43BD93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33" w:type="dxa"/>
            <w:shd w:val="clear" w:color="auto" w:fill="auto"/>
          </w:tcPr>
          <w:p w14:paraId="77CC8B96" w14:textId="77777777" w:rsidR="00DF0E99" w:rsidRPr="00DF0E99" w:rsidRDefault="00DF0E99" w:rsidP="000171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19" w:type="dxa"/>
            <w:shd w:val="clear" w:color="auto" w:fill="auto"/>
          </w:tcPr>
          <w:p w14:paraId="7D13FBDD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00" w:type="dxa"/>
            <w:shd w:val="clear" w:color="auto" w:fill="auto"/>
          </w:tcPr>
          <w:p w14:paraId="02B24F97" w14:textId="77777777" w:rsidR="00DF0E99" w:rsidRPr="00DF0E99" w:rsidRDefault="00DF0E99" w:rsidP="0001713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80221D4" w14:textId="3A48877D" w:rsidR="00EB0627" w:rsidRPr="00DF0E99" w:rsidRDefault="00B50227" w:rsidP="00B50227">
      <w:pPr>
        <w:tabs>
          <w:tab w:val="left" w:pos="6237"/>
          <w:tab w:val="right" w:pos="8306"/>
        </w:tabs>
        <w:ind w:firstLine="0"/>
        <w:jc w:val="center"/>
        <w:rPr>
          <w:rFonts w:ascii="Times New Roman" w:hAnsi="Times New Roman" w:cs="Times New Roman"/>
          <w:sz w:val="22"/>
          <w:lang w:eastAsia="lt-LT"/>
        </w:rPr>
      </w:pPr>
      <w:r>
        <w:rPr>
          <w:rFonts w:ascii="Times New Roman" w:hAnsi="Times New Roman" w:cs="Times New Roman"/>
          <w:sz w:val="22"/>
          <w:lang w:eastAsia="lt-LT"/>
        </w:rPr>
        <w:t>_______________________________</w:t>
      </w:r>
    </w:p>
    <w:sectPr w:rsidR="00EB0627" w:rsidRPr="00DF0E99" w:rsidSect="00342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0" w:right="1104" w:bottom="567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F15F" w14:textId="77777777" w:rsidR="00784A1B" w:rsidRDefault="00784A1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4620405" w14:textId="77777777" w:rsidR="00784A1B" w:rsidRDefault="00784A1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08F8" w14:textId="77777777" w:rsidR="00AE263B" w:rsidRDefault="00AE263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B6C8" w14:textId="77777777" w:rsidR="00AE263B" w:rsidRDefault="00AE263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7BBB" w14:textId="77777777" w:rsidR="00AE263B" w:rsidRDefault="00AE263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C0FC" w14:textId="77777777" w:rsidR="00784A1B" w:rsidRDefault="00784A1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4D5684D" w14:textId="77777777" w:rsidR="00784A1B" w:rsidRDefault="00784A1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3EF2" w14:textId="77777777" w:rsidR="008D1D37" w:rsidRDefault="00881230" w:rsidP="008D1D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1D3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700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E0793CC" w14:textId="77777777" w:rsidR="008D1D37" w:rsidRPr="00443B11" w:rsidRDefault="008D1D37" w:rsidP="00443B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81B3" w14:textId="77777777" w:rsidR="00EC7003" w:rsidRPr="00AE263B" w:rsidRDefault="00EC7003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AE263B">
      <w:rPr>
        <w:rFonts w:ascii="Times New Roman" w:hAnsi="Times New Roman" w:cs="Times New Roman"/>
        <w:sz w:val="24"/>
        <w:szCs w:val="24"/>
      </w:rPr>
      <w:fldChar w:fldCharType="begin"/>
    </w:r>
    <w:r w:rsidRPr="00AE263B">
      <w:rPr>
        <w:rFonts w:ascii="Times New Roman" w:hAnsi="Times New Roman" w:cs="Times New Roman"/>
        <w:sz w:val="24"/>
        <w:szCs w:val="24"/>
      </w:rPr>
      <w:instrText>PAGE   \* MERGEFORMAT</w:instrText>
    </w:r>
    <w:r w:rsidRPr="00AE263B">
      <w:rPr>
        <w:rFonts w:ascii="Times New Roman" w:hAnsi="Times New Roman" w:cs="Times New Roman"/>
        <w:sz w:val="24"/>
        <w:szCs w:val="24"/>
      </w:rPr>
      <w:fldChar w:fldCharType="separate"/>
    </w:r>
    <w:r w:rsidR="0001713D" w:rsidRPr="00AE263B">
      <w:rPr>
        <w:rFonts w:ascii="Times New Roman" w:hAnsi="Times New Roman" w:cs="Times New Roman"/>
        <w:noProof/>
        <w:sz w:val="24"/>
        <w:szCs w:val="24"/>
      </w:rPr>
      <w:t>2</w:t>
    </w:r>
    <w:r w:rsidRPr="00AE263B">
      <w:rPr>
        <w:rFonts w:ascii="Times New Roman" w:hAnsi="Times New Roman" w:cs="Times New Roman"/>
        <w:sz w:val="24"/>
        <w:szCs w:val="24"/>
      </w:rPr>
      <w:fldChar w:fldCharType="end"/>
    </w:r>
  </w:p>
  <w:p w14:paraId="29D67B2F" w14:textId="77777777" w:rsidR="008D1D37" w:rsidRPr="00AE263B" w:rsidRDefault="008D1D37" w:rsidP="00443B11">
    <w:pPr>
      <w:pStyle w:val="Antrats"/>
      <w:ind w:firstLine="0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9F9B" w14:textId="77777777" w:rsidR="00EC7003" w:rsidRDefault="00EC7003">
    <w:pPr>
      <w:pStyle w:val="Antrats"/>
      <w:jc w:val="center"/>
    </w:pPr>
  </w:p>
  <w:p w14:paraId="469FF532" w14:textId="77777777" w:rsidR="00666B51" w:rsidRDefault="00666B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1D3"/>
    <w:multiLevelType w:val="singleLevel"/>
    <w:tmpl w:val="4BA2FAF2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1713D"/>
    <w:rsid w:val="000214BA"/>
    <w:rsid w:val="00030C85"/>
    <w:rsid w:val="000350FF"/>
    <w:rsid w:val="000402A3"/>
    <w:rsid w:val="00043AFD"/>
    <w:rsid w:val="0004759C"/>
    <w:rsid w:val="000504A8"/>
    <w:rsid w:val="00050517"/>
    <w:rsid w:val="00064A65"/>
    <w:rsid w:val="0009424E"/>
    <w:rsid w:val="000947C7"/>
    <w:rsid w:val="00096181"/>
    <w:rsid w:val="000A388A"/>
    <w:rsid w:val="000A3A8C"/>
    <w:rsid w:val="000A564C"/>
    <w:rsid w:val="000A78B6"/>
    <w:rsid w:val="000B45CD"/>
    <w:rsid w:val="000C05C6"/>
    <w:rsid w:val="000C4449"/>
    <w:rsid w:val="000D0CBD"/>
    <w:rsid w:val="000D4750"/>
    <w:rsid w:val="000D5529"/>
    <w:rsid w:val="000F5FB8"/>
    <w:rsid w:val="00104CDD"/>
    <w:rsid w:val="001110D1"/>
    <w:rsid w:val="001122D7"/>
    <w:rsid w:val="00112CE2"/>
    <w:rsid w:val="00124959"/>
    <w:rsid w:val="00141C37"/>
    <w:rsid w:val="001475CC"/>
    <w:rsid w:val="001628E6"/>
    <w:rsid w:val="00164FCF"/>
    <w:rsid w:val="00174CA5"/>
    <w:rsid w:val="00182302"/>
    <w:rsid w:val="00183101"/>
    <w:rsid w:val="00183669"/>
    <w:rsid w:val="0019367A"/>
    <w:rsid w:val="001974A4"/>
    <w:rsid w:val="001A668F"/>
    <w:rsid w:val="001C43F5"/>
    <w:rsid w:val="001D11CA"/>
    <w:rsid w:val="001D230D"/>
    <w:rsid w:val="001D54F9"/>
    <w:rsid w:val="001D6549"/>
    <w:rsid w:val="001E16AB"/>
    <w:rsid w:val="001E4EF3"/>
    <w:rsid w:val="001E5A71"/>
    <w:rsid w:val="00206F33"/>
    <w:rsid w:val="00215FE3"/>
    <w:rsid w:val="00221205"/>
    <w:rsid w:val="00223285"/>
    <w:rsid w:val="002350CD"/>
    <w:rsid w:val="0024348E"/>
    <w:rsid w:val="00260B58"/>
    <w:rsid w:val="00266BF1"/>
    <w:rsid w:val="002713F1"/>
    <w:rsid w:val="0027470E"/>
    <w:rsid w:val="00284D85"/>
    <w:rsid w:val="00286902"/>
    <w:rsid w:val="00286EAF"/>
    <w:rsid w:val="002956DA"/>
    <w:rsid w:val="002A5188"/>
    <w:rsid w:val="002A6137"/>
    <w:rsid w:val="002B1E76"/>
    <w:rsid w:val="002B6C94"/>
    <w:rsid w:val="002D48A4"/>
    <w:rsid w:val="002D6EFD"/>
    <w:rsid w:val="002E0F8D"/>
    <w:rsid w:val="002F780E"/>
    <w:rsid w:val="00303079"/>
    <w:rsid w:val="0030510F"/>
    <w:rsid w:val="00316092"/>
    <w:rsid w:val="00327924"/>
    <w:rsid w:val="00335863"/>
    <w:rsid w:val="00342318"/>
    <w:rsid w:val="003567D3"/>
    <w:rsid w:val="003731A6"/>
    <w:rsid w:val="003807E3"/>
    <w:rsid w:val="00386211"/>
    <w:rsid w:val="003A0AA0"/>
    <w:rsid w:val="003A499A"/>
    <w:rsid w:val="003B45E4"/>
    <w:rsid w:val="003C0108"/>
    <w:rsid w:val="003C2D6F"/>
    <w:rsid w:val="003D4756"/>
    <w:rsid w:val="003D5ABD"/>
    <w:rsid w:val="003E3BCA"/>
    <w:rsid w:val="003E5F27"/>
    <w:rsid w:val="003E64B6"/>
    <w:rsid w:val="003F1A20"/>
    <w:rsid w:val="003F399C"/>
    <w:rsid w:val="00406E3D"/>
    <w:rsid w:val="00411B3F"/>
    <w:rsid w:val="004245FA"/>
    <w:rsid w:val="004275C7"/>
    <w:rsid w:val="00436B75"/>
    <w:rsid w:val="00436CF0"/>
    <w:rsid w:val="004407CA"/>
    <w:rsid w:val="00443B11"/>
    <w:rsid w:val="00451E11"/>
    <w:rsid w:val="00454DF2"/>
    <w:rsid w:val="004578E4"/>
    <w:rsid w:val="004602E8"/>
    <w:rsid w:val="00460E77"/>
    <w:rsid w:val="0046160D"/>
    <w:rsid w:val="00461A27"/>
    <w:rsid w:val="0048534B"/>
    <w:rsid w:val="004A5676"/>
    <w:rsid w:val="004A727D"/>
    <w:rsid w:val="004C66E7"/>
    <w:rsid w:val="004C7466"/>
    <w:rsid w:val="004D1301"/>
    <w:rsid w:val="004D565E"/>
    <w:rsid w:val="004D7E11"/>
    <w:rsid w:val="004E19AD"/>
    <w:rsid w:val="0050387D"/>
    <w:rsid w:val="00504635"/>
    <w:rsid w:val="005060F8"/>
    <w:rsid w:val="00510DF8"/>
    <w:rsid w:val="005144FC"/>
    <w:rsid w:val="005160A6"/>
    <w:rsid w:val="00520816"/>
    <w:rsid w:val="005231DB"/>
    <w:rsid w:val="00523A8D"/>
    <w:rsid w:val="00535532"/>
    <w:rsid w:val="00542817"/>
    <w:rsid w:val="005567B8"/>
    <w:rsid w:val="00574F8C"/>
    <w:rsid w:val="0057652B"/>
    <w:rsid w:val="00585CD9"/>
    <w:rsid w:val="005979E0"/>
    <w:rsid w:val="005A5641"/>
    <w:rsid w:val="005C1963"/>
    <w:rsid w:val="005C4EFB"/>
    <w:rsid w:val="005D1A73"/>
    <w:rsid w:val="005D3490"/>
    <w:rsid w:val="005D4495"/>
    <w:rsid w:val="005F4477"/>
    <w:rsid w:val="00601231"/>
    <w:rsid w:val="00601AD1"/>
    <w:rsid w:val="00612345"/>
    <w:rsid w:val="00615393"/>
    <w:rsid w:val="00616B5B"/>
    <w:rsid w:val="00617F69"/>
    <w:rsid w:val="0062039A"/>
    <w:rsid w:val="006306FE"/>
    <w:rsid w:val="00631862"/>
    <w:rsid w:val="00632EE4"/>
    <w:rsid w:val="00643B60"/>
    <w:rsid w:val="006472E1"/>
    <w:rsid w:val="0066302F"/>
    <w:rsid w:val="00666B51"/>
    <w:rsid w:val="006700CE"/>
    <w:rsid w:val="00681C83"/>
    <w:rsid w:val="00682E29"/>
    <w:rsid w:val="006A2FE4"/>
    <w:rsid w:val="006A7E79"/>
    <w:rsid w:val="006B013C"/>
    <w:rsid w:val="006B199A"/>
    <w:rsid w:val="006C3BF4"/>
    <w:rsid w:val="006C439B"/>
    <w:rsid w:val="006D0033"/>
    <w:rsid w:val="006D5020"/>
    <w:rsid w:val="006E20AE"/>
    <w:rsid w:val="006E2E2B"/>
    <w:rsid w:val="006E2EAF"/>
    <w:rsid w:val="00702F26"/>
    <w:rsid w:val="00705133"/>
    <w:rsid w:val="00711D34"/>
    <w:rsid w:val="0071541C"/>
    <w:rsid w:val="00717C4E"/>
    <w:rsid w:val="00721455"/>
    <w:rsid w:val="007229A0"/>
    <w:rsid w:val="00724A2C"/>
    <w:rsid w:val="00730063"/>
    <w:rsid w:val="0073490F"/>
    <w:rsid w:val="00734D85"/>
    <w:rsid w:val="007404BB"/>
    <w:rsid w:val="007462F9"/>
    <w:rsid w:val="00752E6C"/>
    <w:rsid w:val="00757568"/>
    <w:rsid w:val="00770368"/>
    <w:rsid w:val="00772F95"/>
    <w:rsid w:val="007749DC"/>
    <w:rsid w:val="007760A7"/>
    <w:rsid w:val="00784A1B"/>
    <w:rsid w:val="0079309F"/>
    <w:rsid w:val="00796AE3"/>
    <w:rsid w:val="007A6C9F"/>
    <w:rsid w:val="007A7AE9"/>
    <w:rsid w:val="007B035C"/>
    <w:rsid w:val="007B5EC3"/>
    <w:rsid w:val="007B6766"/>
    <w:rsid w:val="007D042F"/>
    <w:rsid w:val="007D3243"/>
    <w:rsid w:val="007D7827"/>
    <w:rsid w:val="007E0C2A"/>
    <w:rsid w:val="007E64CF"/>
    <w:rsid w:val="007E65FF"/>
    <w:rsid w:val="00804FEE"/>
    <w:rsid w:val="00823842"/>
    <w:rsid w:val="00830E53"/>
    <w:rsid w:val="008369EE"/>
    <w:rsid w:val="0084358A"/>
    <w:rsid w:val="008438BE"/>
    <w:rsid w:val="00845F4B"/>
    <w:rsid w:val="00846545"/>
    <w:rsid w:val="00851981"/>
    <w:rsid w:val="00876754"/>
    <w:rsid w:val="00881230"/>
    <w:rsid w:val="0088249A"/>
    <w:rsid w:val="008A5B01"/>
    <w:rsid w:val="008B22BA"/>
    <w:rsid w:val="008C5398"/>
    <w:rsid w:val="008D1D37"/>
    <w:rsid w:val="008D5AD0"/>
    <w:rsid w:val="008D7B0D"/>
    <w:rsid w:val="008E1A6F"/>
    <w:rsid w:val="008E24FC"/>
    <w:rsid w:val="008F4A8E"/>
    <w:rsid w:val="00903B1F"/>
    <w:rsid w:val="00907D7F"/>
    <w:rsid w:val="009365AB"/>
    <w:rsid w:val="0093738E"/>
    <w:rsid w:val="00937CC9"/>
    <w:rsid w:val="00941126"/>
    <w:rsid w:val="00964B58"/>
    <w:rsid w:val="00971156"/>
    <w:rsid w:val="00981CE7"/>
    <w:rsid w:val="009955A3"/>
    <w:rsid w:val="00996490"/>
    <w:rsid w:val="00996A1E"/>
    <w:rsid w:val="009B08C1"/>
    <w:rsid w:val="009B2ECB"/>
    <w:rsid w:val="009B559E"/>
    <w:rsid w:val="009C3160"/>
    <w:rsid w:val="009C5465"/>
    <w:rsid w:val="009C6CF0"/>
    <w:rsid w:val="009D7829"/>
    <w:rsid w:val="009E0A02"/>
    <w:rsid w:val="009E16B2"/>
    <w:rsid w:val="009E5016"/>
    <w:rsid w:val="00A0151F"/>
    <w:rsid w:val="00A07840"/>
    <w:rsid w:val="00A10EA4"/>
    <w:rsid w:val="00A135A4"/>
    <w:rsid w:val="00A2633E"/>
    <w:rsid w:val="00A3385A"/>
    <w:rsid w:val="00A440D9"/>
    <w:rsid w:val="00A5416B"/>
    <w:rsid w:val="00A635A4"/>
    <w:rsid w:val="00A72C75"/>
    <w:rsid w:val="00A75D31"/>
    <w:rsid w:val="00A77F70"/>
    <w:rsid w:val="00A914B4"/>
    <w:rsid w:val="00AA05AB"/>
    <w:rsid w:val="00AA17D4"/>
    <w:rsid w:val="00AA5E56"/>
    <w:rsid w:val="00AC0439"/>
    <w:rsid w:val="00AD3A4F"/>
    <w:rsid w:val="00AE0A11"/>
    <w:rsid w:val="00AE0C70"/>
    <w:rsid w:val="00AE263B"/>
    <w:rsid w:val="00AE40C4"/>
    <w:rsid w:val="00AE6C60"/>
    <w:rsid w:val="00AF56F9"/>
    <w:rsid w:val="00AF7B12"/>
    <w:rsid w:val="00B02AA5"/>
    <w:rsid w:val="00B24DD9"/>
    <w:rsid w:val="00B36007"/>
    <w:rsid w:val="00B50227"/>
    <w:rsid w:val="00B522EE"/>
    <w:rsid w:val="00B64E23"/>
    <w:rsid w:val="00B774B8"/>
    <w:rsid w:val="00B8161D"/>
    <w:rsid w:val="00BB37FB"/>
    <w:rsid w:val="00BC059F"/>
    <w:rsid w:val="00BC2DA8"/>
    <w:rsid w:val="00BD5B94"/>
    <w:rsid w:val="00C06A31"/>
    <w:rsid w:val="00C15B50"/>
    <w:rsid w:val="00C2357D"/>
    <w:rsid w:val="00C23B35"/>
    <w:rsid w:val="00C25714"/>
    <w:rsid w:val="00C26DD9"/>
    <w:rsid w:val="00C35F4F"/>
    <w:rsid w:val="00C472E6"/>
    <w:rsid w:val="00C52E9A"/>
    <w:rsid w:val="00C64B67"/>
    <w:rsid w:val="00C66E4D"/>
    <w:rsid w:val="00C7785E"/>
    <w:rsid w:val="00C86056"/>
    <w:rsid w:val="00CA2A04"/>
    <w:rsid w:val="00CB6F91"/>
    <w:rsid w:val="00CF505C"/>
    <w:rsid w:val="00D079CA"/>
    <w:rsid w:val="00D1058D"/>
    <w:rsid w:val="00D36F79"/>
    <w:rsid w:val="00D57082"/>
    <w:rsid w:val="00D72B39"/>
    <w:rsid w:val="00D81B35"/>
    <w:rsid w:val="00D90B22"/>
    <w:rsid w:val="00DB1C50"/>
    <w:rsid w:val="00DB2D34"/>
    <w:rsid w:val="00DC55EB"/>
    <w:rsid w:val="00DE2339"/>
    <w:rsid w:val="00DE4142"/>
    <w:rsid w:val="00DE416A"/>
    <w:rsid w:val="00DE500B"/>
    <w:rsid w:val="00DF0E99"/>
    <w:rsid w:val="00DF4651"/>
    <w:rsid w:val="00DF6AB7"/>
    <w:rsid w:val="00E0176C"/>
    <w:rsid w:val="00E16FB6"/>
    <w:rsid w:val="00E254EF"/>
    <w:rsid w:val="00E36C95"/>
    <w:rsid w:val="00E55A48"/>
    <w:rsid w:val="00E575F9"/>
    <w:rsid w:val="00E62553"/>
    <w:rsid w:val="00E7635C"/>
    <w:rsid w:val="00E90862"/>
    <w:rsid w:val="00E94D6F"/>
    <w:rsid w:val="00EA18B5"/>
    <w:rsid w:val="00EA56E9"/>
    <w:rsid w:val="00EA5917"/>
    <w:rsid w:val="00EA7C9A"/>
    <w:rsid w:val="00EB0627"/>
    <w:rsid w:val="00EB6D1E"/>
    <w:rsid w:val="00EC175C"/>
    <w:rsid w:val="00EC1D33"/>
    <w:rsid w:val="00EC3318"/>
    <w:rsid w:val="00EC3A0C"/>
    <w:rsid w:val="00EC7003"/>
    <w:rsid w:val="00ED2187"/>
    <w:rsid w:val="00ED278D"/>
    <w:rsid w:val="00ED663F"/>
    <w:rsid w:val="00EF1A09"/>
    <w:rsid w:val="00EF4EF2"/>
    <w:rsid w:val="00EF7D2E"/>
    <w:rsid w:val="00F17BBE"/>
    <w:rsid w:val="00F2047F"/>
    <w:rsid w:val="00F24585"/>
    <w:rsid w:val="00F25216"/>
    <w:rsid w:val="00F26749"/>
    <w:rsid w:val="00F5743C"/>
    <w:rsid w:val="00F64ADF"/>
    <w:rsid w:val="00F64E2B"/>
    <w:rsid w:val="00F706E8"/>
    <w:rsid w:val="00F76276"/>
    <w:rsid w:val="00F800B9"/>
    <w:rsid w:val="00F8282A"/>
    <w:rsid w:val="00F86C03"/>
    <w:rsid w:val="00FA583D"/>
    <w:rsid w:val="00FC0B38"/>
    <w:rsid w:val="00FC3432"/>
    <w:rsid w:val="00FC4DC9"/>
    <w:rsid w:val="00FD0D79"/>
    <w:rsid w:val="00FD748B"/>
    <w:rsid w:val="00FE2706"/>
    <w:rsid w:val="00FE5290"/>
    <w:rsid w:val="00FF4422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4A528"/>
  <w15:chartTrackingRefBased/>
  <w15:docId w15:val="{2C36A47F-AA8C-479D-9B01-30D6790B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6C60"/>
    <w:pPr>
      <w:ind w:firstLine="720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E65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7E65FF"/>
    <w:rPr>
      <w:rFonts w:ascii="Tahoma" w:hAnsi="Tahoma" w:cs="Tahoma"/>
      <w:sz w:val="16"/>
      <w:szCs w:val="16"/>
    </w:rPr>
  </w:style>
  <w:style w:type="paragraph" w:styleId="Antrats">
    <w:name w:val="header"/>
    <w:aliases w:val="Char,Diagrama"/>
    <w:basedOn w:val="prastasis"/>
    <w:link w:val="AntratsDiagrama"/>
    <w:uiPriority w:val="99"/>
    <w:rsid w:val="00443B11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443B11"/>
    <w:rPr>
      <w:sz w:val="24"/>
      <w:lang w:val="lt-LT" w:eastAsia="lt-LT" w:bidi="ar-SA"/>
    </w:rPr>
  </w:style>
  <w:style w:type="paragraph" w:styleId="Pagrindiniotekstotrauka">
    <w:name w:val="Body Text Indent"/>
    <w:basedOn w:val="prastasis"/>
    <w:link w:val="PagrindiniotekstotraukaDiagrama"/>
    <w:rsid w:val="00443B11"/>
    <w:pPr>
      <w:spacing w:before="120"/>
      <w:ind w:left="4536"/>
      <w:jc w:val="center"/>
    </w:pPr>
    <w:rPr>
      <w:lang w:eastAsia="lt-LT"/>
    </w:rPr>
  </w:style>
  <w:style w:type="character" w:customStyle="1" w:styleId="PuslapioinaostekstasDiagrama">
    <w:name w:val="Puslapio išnašos tekstas Diagrama"/>
    <w:link w:val="Puslapioinaostekstas"/>
    <w:semiHidden/>
    <w:locked/>
    <w:rsid w:val="00443B11"/>
    <w:rPr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443B11"/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443B11"/>
    <w:rPr>
      <w:sz w:val="24"/>
      <w:lang w:val="lt-LT" w:eastAsia="lt-LT" w:bidi="ar-SA"/>
    </w:rPr>
  </w:style>
  <w:style w:type="paragraph" w:customStyle="1" w:styleId="ListParagraph1">
    <w:name w:val="List Paragraph1"/>
    <w:basedOn w:val="prastasis"/>
    <w:rsid w:val="00443B11"/>
    <w:pPr>
      <w:ind w:left="720"/>
      <w:contextualSpacing/>
    </w:pPr>
  </w:style>
  <w:style w:type="character" w:styleId="Puslapioinaosnuoroda">
    <w:name w:val="footnote reference"/>
    <w:semiHidden/>
    <w:rsid w:val="00443B11"/>
    <w:rPr>
      <w:rFonts w:ascii="Times New Roman" w:hAnsi="Times New Roman" w:cs="Times New Roman" w:hint="default"/>
      <w:vertAlign w:val="superscript"/>
    </w:rPr>
  </w:style>
  <w:style w:type="paragraph" w:styleId="Porat">
    <w:name w:val="footer"/>
    <w:basedOn w:val="prastasis"/>
    <w:rsid w:val="00443B1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43B11"/>
  </w:style>
  <w:style w:type="character" w:styleId="Hipersaitas">
    <w:name w:val="Hyperlink"/>
    <w:basedOn w:val="Numatytasispastraiposriftas"/>
    <w:rsid w:val="0088249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8249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0151F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nhideWhenUsed/>
    <w:rsid w:val="009E50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E5016"/>
    <w:pPr>
      <w:ind w:firstLine="0"/>
    </w:pPr>
    <w:rPr>
      <w:rFonts w:ascii="Times New Roman" w:hAnsi="Times New Roman" w:cs="Times New Roman"/>
    </w:rPr>
  </w:style>
  <w:style w:type="character" w:customStyle="1" w:styleId="KomentarotekstasDiagrama">
    <w:name w:val="Komentaro tekstas Diagrama"/>
    <w:basedOn w:val="Numatytasispastraiposriftas"/>
    <w:link w:val="Komentarotekstas"/>
    <w:rsid w:val="009E5016"/>
    <w:rPr>
      <w:lang w:eastAsia="en-US"/>
    </w:rPr>
  </w:style>
  <w:style w:type="paragraph" w:styleId="Sraopastraipa">
    <w:name w:val="List Paragraph"/>
    <w:basedOn w:val="prastasis"/>
    <w:uiPriority w:val="34"/>
    <w:qFormat/>
    <w:rsid w:val="0084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9564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603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6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56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2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284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72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7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07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simkute@zum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6ABB-D591-48B5-AA38-06AEFC3E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4984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teisės aktų projektų antikorupcinio vertinimo taisyklių patvirtinimo</vt:lpstr>
      <vt:lpstr>Dėl teisės aktų projektų antikorupcinio vertinimo taisyklių patvirtinimo</vt:lpstr>
    </vt:vector>
  </TitlesOfParts>
  <Company>Infolex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teisės aktų projektų antikorupcinio vertinimo taisyklių patvirtinimo</dc:title>
  <dc:subject/>
  <dc:creator>Infolex</dc:creator>
  <cp:keywords/>
  <cp:lastModifiedBy>Modestas Važnevičius</cp:lastModifiedBy>
  <cp:revision>18</cp:revision>
  <cp:lastPrinted>2020-02-24T12:11:00Z</cp:lastPrinted>
  <dcterms:created xsi:type="dcterms:W3CDTF">2021-01-27T12:07:00Z</dcterms:created>
  <dcterms:modified xsi:type="dcterms:W3CDTF">2021-09-07T07:00:00Z</dcterms:modified>
</cp:coreProperties>
</file>