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E03E7" w14:textId="5BB9DB90" w:rsidR="00094685" w:rsidRDefault="00094685" w:rsidP="004737BE">
      <w:pPr>
        <w:rPr>
          <w:noProof/>
          <w:color w:val="000000"/>
          <w:szCs w:val="18"/>
          <w:lang w:val="lt-LT"/>
        </w:rPr>
      </w:pPr>
      <w:r>
        <w:rPr>
          <w:noProof/>
          <w:lang w:val="lt-LT" w:eastAsia="lt-LT"/>
        </w:rPr>
        <w:drawing>
          <wp:anchor distT="0" distB="0" distL="114300" distR="114300" simplePos="0" relativeHeight="251659264" behindDoc="1" locked="0" layoutInCell="1" allowOverlap="1" wp14:anchorId="705E85A2" wp14:editId="6A2490B1">
            <wp:simplePos x="0" y="0"/>
            <wp:positionH relativeFrom="margin">
              <wp:posOffset>2667000</wp:posOffset>
            </wp:positionH>
            <wp:positionV relativeFrom="paragraph">
              <wp:posOffset>137160</wp:posOffset>
            </wp:positionV>
            <wp:extent cx="1414921" cy="73101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270" cy="732744"/>
                    </a:xfrm>
                    <a:prstGeom prst="rect">
                      <a:avLst/>
                    </a:prstGeom>
                    <a:noFill/>
                  </pic:spPr>
                </pic:pic>
              </a:graphicData>
            </a:graphic>
            <wp14:sizeRelH relativeFrom="page">
              <wp14:pctWidth>0</wp14:pctWidth>
            </wp14:sizeRelH>
            <wp14:sizeRelV relativeFrom="page">
              <wp14:pctHeight>0</wp14:pctHeight>
            </wp14:sizeRelV>
          </wp:anchor>
        </w:drawing>
      </w:r>
    </w:p>
    <w:p w14:paraId="63CD697B" w14:textId="55766DBE" w:rsidR="00094685" w:rsidRDefault="00094685" w:rsidP="004737BE">
      <w:pPr>
        <w:rPr>
          <w:noProof/>
          <w:color w:val="000000"/>
          <w:szCs w:val="18"/>
          <w:lang w:val="lt-LT"/>
        </w:rPr>
      </w:pPr>
    </w:p>
    <w:p w14:paraId="3B5D0809" w14:textId="327F4B3C" w:rsidR="003C6498" w:rsidRDefault="003C6498" w:rsidP="004737BE">
      <w:pPr>
        <w:rPr>
          <w:noProof/>
          <w:color w:val="000000"/>
          <w:szCs w:val="18"/>
          <w:lang w:val="lt-LT"/>
        </w:rPr>
      </w:pPr>
    </w:p>
    <w:p w14:paraId="1517A4C6" w14:textId="38CEF315" w:rsidR="002A0C87" w:rsidRPr="004737BE" w:rsidRDefault="00717438" w:rsidP="004737BE">
      <w:pPr>
        <w:rPr>
          <w:rFonts w:eastAsiaTheme="majorEastAsia" w:cstheme="majorBidi"/>
          <w:b/>
          <w:bCs/>
          <w:sz w:val="24"/>
          <w:szCs w:val="28"/>
          <w:lang w:val="lt-LT"/>
        </w:rPr>
      </w:pPr>
      <w:r>
        <w:rPr>
          <w:noProof/>
          <w:lang w:val="lt-LT" w:eastAsia="lt-LT"/>
        </w:rPr>
        <mc:AlternateContent>
          <mc:Choice Requires="wps">
            <w:drawing>
              <wp:anchor distT="0" distB="0" distL="114300" distR="114300" simplePos="0" relativeHeight="251666432" behindDoc="0" locked="0" layoutInCell="1" allowOverlap="1" wp14:anchorId="7B915F9F" wp14:editId="5DF4821E">
                <wp:simplePos x="0" y="0"/>
                <wp:positionH relativeFrom="column">
                  <wp:posOffset>-152400</wp:posOffset>
                </wp:positionH>
                <wp:positionV relativeFrom="paragraph">
                  <wp:posOffset>2960370</wp:posOffset>
                </wp:positionV>
                <wp:extent cx="6926580" cy="2026920"/>
                <wp:effectExtent l="19050" t="19050" r="26670" b="11430"/>
                <wp:wrapNone/>
                <wp:docPr id="25" name="Rectangle 25"/>
                <wp:cNvGraphicFramePr/>
                <a:graphic xmlns:a="http://schemas.openxmlformats.org/drawingml/2006/main">
                  <a:graphicData uri="http://schemas.microsoft.com/office/word/2010/wordprocessingShape">
                    <wps:wsp>
                      <wps:cNvSpPr/>
                      <wps:spPr>
                        <a:xfrm>
                          <a:off x="0" y="0"/>
                          <a:ext cx="6926580" cy="2026920"/>
                        </a:xfrm>
                        <a:prstGeom prst="rect">
                          <a:avLst/>
                        </a:prstGeom>
                        <a:solidFill>
                          <a:schemeClr val="bg1"/>
                        </a:solidFill>
                        <a:ln w="317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08E8C" w14:textId="77777777" w:rsidR="00717438" w:rsidRPr="00D80795" w:rsidRDefault="00717438" w:rsidP="00717438">
                            <w:pPr>
                              <w:jc w:val="center"/>
                              <w:rPr>
                                <w:b/>
                                <w:bCs/>
                                <w:color w:val="17365D" w:themeColor="text2" w:themeShade="BF"/>
                                <w:sz w:val="36"/>
                                <w:szCs w:val="36"/>
                                <w14:shadow w14:blurRad="50800" w14:dist="50800" w14:dir="5400000" w14:sx="0" w14:sy="0" w14:kx="0" w14:ky="0" w14:algn="ctr">
                                  <w14:schemeClr w14:val="tx2">
                                    <w14:lumMod w14:val="75000"/>
                                  </w14:schemeClr>
                                </w14:shadow>
                              </w:rPr>
                            </w:pPr>
                            <w:r w:rsidRPr="00D80795">
                              <w:rPr>
                                <w:b/>
                                <w:bCs/>
                                <w:color w:val="17365D" w:themeColor="text2" w:themeShade="BF"/>
                                <w:sz w:val="36"/>
                                <w:szCs w:val="36"/>
                                <w14:shadow w14:blurRad="50800" w14:dist="50800" w14:dir="5400000" w14:sx="0" w14:sy="0" w14:kx="0" w14:ky="0" w14:algn="ctr">
                                  <w14:schemeClr w14:val="tx2">
                                    <w14:lumMod w14:val="75000"/>
                                  </w14:schemeClr>
                                </w14:shadow>
                              </w:rPr>
                              <w:t>2020 METŲ VALSTYBĖS VALDOMŲ ĮMONIŲ</w:t>
                            </w:r>
                          </w:p>
                          <w:p w14:paraId="49D93593" w14:textId="77777777" w:rsidR="00717438" w:rsidRPr="00D80795" w:rsidRDefault="00717438" w:rsidP="00717438">
                            <w:pPr>
                              <w:jc w:val="center"/>
                              <w:rPr>
                                <w:b/>
                                <w:bCs/>
                                <w:color w:val="17365D" w:themeColor="text2" w:themeShade="BF"/>
                                <w:sz w:val="36"/>
                                <w:szCs w:val="36"/>
                                <w14:shadow w14:blurRad="50800" w14:dist="50800" w14:dir="5400000" w14:sx="0" w14:sy="0" w14:kx="0" w14:ky="0" w14:algn="ctr">
                                  <w14:schemeClr w14:val="tx2">
                                    <w14:lumMod w14:val="75000"/>
                                  </w14:schemeClr>
                                </w14:shadow>
                              </w:rPr>
                            </w:pPr>
                            <w:r w:rsidRPr="00D80795">
                              <w:rPr>
                                <w:b/>
                                <w:bCs/>
                                <w:color w:val="17365D" w:themeColor="text2" w:themeShade="BF"/>
                                <w:sz w:val="36"/>
                                <w:szCs w:val="36"/>
                                <w14:shadow w14:blurRad="50800" w14:dist="50800" w14:dir="5400000" w14:sx="0" w14:sy="0" w14:kx="0" w14:ky="0" w14:algn="ctr">
                                  <w14:schemeClr w14:val="tx2">
                                    <w14:lumMod w14:val="75000"/>
                                  </w14:schemeClr>
                                </w14:shadow>
                              </w:rPr>
                              <w:t xml:space="preserve"> STRATEGIJŲ ĮGYVENDINIMO ATASKAITA</w:t>
                            </w:r>
                          </w:p>
                          <w:p w14:paraId="370F386D" w14:textId="39325819" w:rsidR="00717438" w:rsidRPr="00922540" w:rsidRDefault="00717438" w:rsidP="00922540">
                            <w:pPr>
                              <w:jc w:val="center"/>
                              <w:rPr>
                                <w:b/>
                                <w:bCs/>
                                <w:color w:val="17365D" w:themeColor="text2" w:themeShade="BF"/>
                                <w:sz w:val="24"/>
                                <w:szCs w:val="32"/>
                                <w:lang w:val="lt-LT"/>
                                <w14:shadow w14:blurRad="50800" w14:dist="50800" w14:dir="5400000" w14:sx="0" w14:sy="0" w14:kx="0" w14:ky="0" w14:algn="ctr">
                                  <w14:schemeClr w14:val="tx2">
                                    <w14:lumMod w14:val="75000"/>
                                  </w14:schemeClr>
                                </w14:shadow>
                              </w:rPr>
                            </w:pPr>
                            <w:r w:rsidRPr="00D80795">
                              <w:rPr>
                                <w:b/>
                                <w:bCs/>
                                <w:color w:val="17365D" w:themeColor="text2" w:themeShade="BF"/>
                                <w:sz w:val="24"/>
                                <w:szCs w:val="32"/>
                                <w:lang w:val="lt-LT"/>
                                <w14:shadow w14:blurRad="50800" w14:dist="50800" w14:dir="5400000" w14:sx="0" w14:sy="0" w14:kx="0" w14:ky="0" w14:algn="ctr">
                                  <w14:schemeClr w14:val="tx2">
                                    <w14:lumMod w14:val="75000"/>
                                  </w14:schemeClr>
                                </w14:shadow>
                              </w:rPr>
                              <w:t>2021 m. liepa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915F9F" id="Rectangle 25" o:spid="_x0000_s1026" style="position:absolute;margin-left:-12pt;margin-top:233.1pt;width:545.4pt;height:15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" fillcolor="white [3212]" strokecolor="#17365d [2415]" strokeweight="2.5pt">
                <v:textbox>
                  <w:txbxContent>
                    <w:p w14:paraId="08308E8C" w14:textId="77777777" w:rsidR="00717438" w:rsidRPr="00D80795" w:rsidRDefault="00717438" w:rsidP="00717438">
                      <w:pPr>
                        <w:jc w:val="center"/>
                        <w:rPr>
                          <w:b/>
                          <w:bCs/>
                          <w:color w:val="17365D" w:themeColor="text2" w:themeShade="BF"/>
                          <w:sz w:val="36"/>
                          <w:szCs w:val="36"/>
                          <w14:shadow w14:blurRad="50800" w14:dist="50800" w14:dir="5400000" w14:sx="0" w14:sy="0" w14:kx="0" w14:ky="0" w14:algn="ctr">
                            <w14:schemeClr w14:val="tx2">
                              <w14:lumMod w14:val="75000"/>
                            </w14:schemeClr>
                          </w14:shadow>
                        </w:rPr>
                      </w:pPr>
                      <w:r w:rsidRPr="00D80795">
                        <w:rPr>
                          <w:b/>
                          <w:bCs/>
                          <w:color w:val="17365D" w:themeColor="text2" w:themeShade="BF"/>
                          <w:sz w:val="36"/>
                          <w:szCs w:val="36"/>
                          <w14:shadow w14:blurRad="50800" w14:dist="50800" w14:dir="5400000" w14:sx="0" w14:sy="0" w14:kx="0" w14:ky="0" w14:algn="ctr">
                            <w14:schemeClr w14:val="tx2">
                              <w14:lumMod w14:val="75000"/>
                            </w14:schemeClr>
                          </w14:shadow>
                        </w:rPr>
                        <w:t>2020 METŲ VALSTYBĖS VALDOMŲ ĮMONIŲ</w:t>
                      </w:r>
                    </w:p>
                    <w:p w14:paraId="49D93593" w14:textId="77777777" w:rsidR="00717438" w:rsidRPr="00D80795" w:rsidRDefault="00717438" w:rsidP="00717438">
                      <w:pPr>
                        <w:jc w:val="center"/>
                        <w:rPr>
                          <w:b/>
                          <w:bCs/>
                          <w:color w:val="17365D" w:themeColor="text2" w:themeShade="BF"/>
                          <w:sz w:val="36"/>
                          <w:szCs w:val="36"/>
                          <w14:shadow w14:blurRad="50800" w14:dist="50800" w14:dir="5400000" w14:sx="0" w14:sy="0" w14:kx="0" w14:ky="0" w14:algn="ctr">
                            <w14:schemeClr w14:val="tx2">
                              <w14:lumMod w14:val="75000"/>
                            </w14:schemeClr>
                          </w14:shadow>
                        </w:rPr>
                      </w:pPr>
                      <w:r w:rsidRPr="00D80795">
                        <w:rPr>
                          <w:b/>
                          <w:bCs/>
                          <w:color w:val="17365D" w:themeColor="text2" w:themeShade="BF"/>
                          <w:sz w:val="36"/>
                          <w:szCs w:val="36"/>
                          <w14:shadow w14:blurRad="50800" w14:dist="50800" w14:dir="5400000" w14:sx="0" w14:sy="0" w14:kx="0" w14:ky="0" w14:algn="ctr">
                            <w14:schemeClr w14:val="tx2">
                              <w14:lumMod w14:val="75000"/>
                            </w14:schemeClr>
                          </w14:shadow>
                        </w:rPr>
                        <w:t xml:space="preserve"> STRATEGIJŲ ĮGYVENDINIMO ATASKAITA</w:t>
                      </w:r>
                    </w:p>
                    <w:p w14:paraId="370F386D" w14:textId="39325819" w:rsidR="00717438" w:rsidRPr="00922540" w:rsidRDefault="00717438" w:rsidP="00922540">
                      <w:pPr>
                        <w:jc w:val="center"/>
                        <w:rPr>
                          <w:b/>
                          <w:bCs/>
                          <w:color w:val="17365D" w:themeColor="text2" w:themeShade="BF"/>
                          <w:sz w:val="24"/>
                          <w:szCs w:val="32"/>
                          <w:lang w:val="lt-LT"/>
                          <w14:shadow w14:blurRad="50800" w14:dist="50800" w14:dir="5400000" w14:sx="0" w14:sy="0" w14:kx="0" w14:ky="0" w14:algn="ctr">
                            <w14:schemeClr w14:val="tx2">
                              <w14:lumMod w14:val="75000"/>
                            </w14:schemeClr>
                          </w14:shadow>
                        </w:rPr>
                      </w:pPr>
                      <w:r w:rsidRPr="00D80795">
                        <w:rPr>
                          <w:b/>
                          <w:bCs/>
                          <w:color w:val="17365D" w:themeColor="text2" w:themeShade="BF"/>
                          <w:sz w:val="24"/>
                          <w:szCs w:val="32"/>
                          <w:lang w:val="lt-LT"/>
                          <w14:shadow w14:blurRad="50800" w14:dist="50800" w14:dir="5400000" w14:sx="0" w14:sy="0" w14:kx="0" w14:ky="0" w14:algn="ctr">
                            <w14:schemeClr w14:val="tx2">
                              <w14:lumMod w14:val="75000"/>
                            </w14:schemeClr>
                          </w14:shadow>
                        </w:rPr>
                        <w:t>2021 m. liepa</w:t>
                      </w:r>
                    </w:p>
                  </w:txbxContent>
                </v:textbox>
              </v:rect>
            </w:pict>
          </mc:Fallback>
        </mc:AlternateContent>
      </w:r>
      <w:r w:rsidR="00D3222A" w:rsidRPr="00D3222A">
        <w:rPr>
          <w:noProof/>
        </w:rPr>
        <w:t xml:space="preserve"> </w:t>
      </w:r>
      <w:r w:rsidR="00D3222A">
        <w:rPr>
          <w:noProof/>
          <w:color w:val="000000"/>
          <w:szCs w:val="18"/>
          <w:lang w:val="lt-LT"/>
        </w:rPr>
        <w:t xml:space="preserve">  </w:t>
      </w:r>
      <w:r w:rsidR="00634351">
        <w:rPr>
          <w:noProof/>
          <w:lang w:val="lt-LT" w:eastAsia="lt-LT"/>
        </w:rPr>
        <w:drawing>
          <wp:anchor distT="0" distB="0" distL="114300" distR="114300" simplePos="0" relativeHeight="251668480" behindDoc="1" locked="0" layoutInCell="1" allowOverlap="1" wp14:anchorId="76503F46" wp14:editId="05834561">
            <wp:simplePos x="0" y="0"/>
            <wp:positionH relativeFrom="margin">
              <wp:posOffset>97155</wp:posOffset>
            </wp:positionH>
            <wp:positionV relativeFrom="paragraph">
              <wp:posOffset>0</wp:posOffset>
            </wp:positionV>
            <wp:extent cx="1414921" cy="731014"/>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270" cy="732744"/>
                    </a:xfrm>
                    <a:prstGeom prst="rect">
                      <a:avLst/>
                    </a:prstGeom>
                    <a:noFill/>
                  </pic:spPr>
                </pic:pic>
              </a:graphicData>
            </a:graphic>
            <wp14:sizeRelH relativeFrom="page">
              <wp14:pctWidth>0</wp14:pctWidth>
            </wp14:sizeRelH>
            <wp14:sizeRelV relativeFrom="page">
              <wp14:pctHeight>0</wp14:pctHeight>
            </wp14:sizeRelV>
          </wp:anchor>
        </w:drawing>
      </w:r>
      <w:r w:rsidR="005C7BA6">
        <w:rPr>
          <w:noProof/>
          <w:color w:val="000000"/>
          <w:szCs w:val="18"/>
          <w:lang w:val="lt-LT" w:eastAsia="lt-LT"/>
        </w:rPr>
        <w:drawing>
          <wp:inline distT="0" distB="0" distL="0" distR="0" wp14:anchorId="223391CE" wp14:editId="6022192D">
            <wp:extent cx="6645910" cy="7780020"/>
            <wp:effectExtent l="0" t="0" r="2540" b="0"/>
            <wp:docPr id="24" name="Picture 24" descr="Shadows on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dows on stairca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7780020"/>
                    </a:xfrm>
                    <a:prstGeom prst="rect">
                      <a:avLst/>
                    </a:prstGeom>
                  </pic:spPr>
                </pic:pic>
              </a:graphicData>
            </a:graphic>
          </wp:inline>
        </w:drawing>
      </w:r>
      <w:r w:rsidR="002A0C87" w:rsidRPr="004737BE">
        <w:rPr>
          <w:color w:val="000000"/>
          <w:szCs w:val="18"/>
          <w:lang w:val="lt-LT"/>
        </w:rPr>
        <w:br w:type="page"/>
      </w:r>
    </w:p>
    <w:sdt>
      <w:sdtPr>
        <w:rPr>
          <w:rFonts w:ascii="Segoe UI" w:eastAsiaTheme="minorHAnsi" w:hAnsi="Segoe UI" w:cstheme="minorBidi"/>
          <w:color w:val="auto"/>
          <w:sz w:val="18"/>
          <w:szCs w:val="22"/>
          <w:lang w:val="en-US" w:eastAsia="en-US"/>
        </w:rPr>
        <w:id w:val="657888385"/>
        <w:docPartObj>
          <w:docPartGallery w:val="Table of Contents"/>
          <w:docPartUnique/>
        </w:docPartObj>
      </w:sdtPr>
      <w:sdtEndPr>
        <w:rPr>
          <w:b/>
          <w:bCs/>
        </w:rPr>
      </w:sdtEndPr>
      <w:sdtContent>
        <w:p w14:paraId="503AE0BD" w14:textId="7227A4A8" w:rsidR="00385B97" w:rsidRPr="008570A2" w:rsidRDefault="00385B97">
          <w:pPr>
            <w:pStyle w:val="TOCHeading"/>
            <w:rPr>
              <w:rFonts w:ascii="Segoe UI" w:hAnsi="Segoe UI" w:cs="Segoe UI"/>
              <w:b/>
              <w:bCs/>
              <w:color w:val="auto"/>
              <w:sz w:val="24"/>
              <w:szCs w:val="24"/>
            </w:rPr>
          </w:pPr>
          <w:r w:rsidRPr="008570A2">
            <w:rPr>
              <w:rFonts w:ascii="Segoe UI" w:hAnsi="Segoe UI" w:cs="Segoe UI"/>
              <w:b/>
              <w:bCs/>
              <w:color w:val="auto"/>
              <w:sz w:val="24"/>
              <w:szCs w:val="24"/>
            </w:rPr>
            <w:t>Turinys</w:t>
          </w:r>
        </w:p>
        <w:p w14:paraId="75E4AF19" w14:textId="77777777" w:rsidR="008570A2" w:rsidRPr="008570A2" w:rsidRDefault="008570A2" w:rsidP="008570A2">
          <w:pPr>
            <w:rPr>
              <w:lang w:val="lt-LT" w:eastAsia="lt-LT"/>
            </w:rPr>
          </w:pPr>
        </w:p>
        <w:p w14:paraId="748AD0E8" w14:textId="4FDAA6F7" w:rsidR="003C6498" w:rsidRDefault="00385B97">
          <w:pPr>
            <w:pStyle w:val="TOC1"/>
            <w:tabs>
              <w:tab w:val="left" w:pos="440"/>
              <w:tab w:val="right" w:leader="dot" w:pos="10762"/>
            </w:tabs>
            <w:rPr>
              <w:rFonts w:asciiTheme="minorHAnsi" w:eastAsiaTheme="minorEastAsia" w:hAnsiTheme="minorHAnsi"/>
              <w:noProof/>
              <w:sz w:val="22"/>
              <w:lang w:val="lt-LT" w:eastAsia="lt-LT"/>
            </w:rPr>
          </w:pPr>
          <w:r>
            <w:fldChar w:fldCharType="begin"/>
          </w:r>
          <w:r>
            <w:instrText xml:space="preserve"> TOC \o "1-3" \h \z \u </w:instrText>
          </w:r>
          <w:r>
            <w:fldChar w:fldCharType="separate"/>
          </w:r>
          <w:hyperlink w:anchor="_Toc85615129" w:history="1">
            <w:r w:rsidR="003C6498" w:rsidRPr="0056672B">
              <w:rPr>
                <w:rStyle w:val="Hyperlink"/>
                <w:noProof/>
                <w:lang w:val="lt-LT"/>
              </w:rPr>
              <w:t>1</w:t>
            </w:r>
            <w:r w:rsidR="003C6498">
              <w:rPr>
                <w:rFonts w:asciiTheme="minorHAnsi" w:eastAsiaTheme="minorEastAsia" w:hAnsiTheme="minorHAnsi"/>
                <w:noProof/>
                <w:sz w:val="22"/>
                <w:lang w:val="lt-LT" w:eastAsia="lt-LT"/>
              </w:rPr>
              <w:tab/>
            </w:r>
            <w:r w:rsidR="003C6498" w:rsidRPr="0056672B">
              <w:rPr>
                <w:rStyle w:val="Hyperlink"/>
                <w:noProof/>
                <w:lang w:val="lt-LT"/>
              </w:rPr>
              <w:t>Strateginis planavimas</w:t>
            </w:r>
            <w:r w:rsidR="003C6498">
              <w:rPr>
                <w:noProof/>
                <w:webHidden/>
              </w:rPr>
              <w:tab/>
            </w:r>
            <w:r w:rsidR="003C6498">
              <w:rPr>
                <w:noProof/>
                <w:webHidden/>
              </w:rPr>
              <w:fldChar w:fldCharType="begin"/>
            </w:r>
            <w:r w:rsidR="003C6498">
              <w:rPr>
                <w:noProof/>
                <w:webHidden/>
              </w:rPr>
              <w:instrText xml:space="preserve"> PAGEREF _Toc85615129 \h </w:instrText>
            </w:r>
            <w:r w:rsidR="003C6498">
              <w:rPr>
                <w:noProof/>
                <w:webHidden/>
              </w:rPr>
            </w:r>
            <w:r w:rsidR="003C6498">
              <w:rPr>
                <w:noProof/>
                <w:webHidden/>
              </w:rPr>
              <w:fldChar w:fldCharType="separate"/>
            </w:r>
            <w:r w:rsidR="003C6498">
              <w:rPr>
                <w:noProof/>
                <w:webHidden/>
              </w:rPr>
              <w:t>3</w:t>
            </w:r>
            <w:r w:rsidR="003C6498">
              <w:rPr>
                <w:noProof/>
                <w:webHidden/>
              </w:rPr>
              <w:fldChar w:fldCharType="end"/>
            </w:r>
          </w:hyperlink>
        </w:p>
        <w:p w14:paraId="0C7D48F3" w14:textId="2B600992" w:rsidR="003C6498" w:rsidRDefault="00B50782">
          <w:pPr>
            <w:pStyle w:val="TOC1"/>
            <w:tabs>
              <w:tab w:val="left" w:pos="440"/>
              <w:tab w:val="right" w:leader="dot" w:pos="10762"/>
            </w:tabs>
            <w:rPr>
              <w:rFonts w:asciiTheme="minorHAnsi" w:eastAsiaTheme="minorEastAsia" w:hAnsiTheme="minorHAnsi"/>
              <w:noProof/>
              <w:sz w:val="22"/>
              <w:lang w:val="lt-LT" w:eastAsia="lt-LT"/>
            </w:rPr>
          </w:pPr>
          <w:hyperlink w:anchor="_Toc85615130" w:history="1">
            <w:r w:rsidR="003C6498" w:rsidRPr="0056672B">
              <w:rPr>
                <w:rStyle w:val="Hyperlink"/>
                <w:noProof/>
                <w:lang w:val="lt-LT"/>
              </w:rPr>
              <w:t>2</w:t>
            </w:r>
            <w:r w:rsidR="003C6498">
              <w:rPr>
                <w:rFonts w:asciiTheme="minorHAnsi" w:eastAsiaTheme="minorEastAsia" w:hAnsiTheme="minorHAnsi"/>
                <w:noProof/>
                <w:sz w:val="22"/>
                <w:lang w:val="lt-LT" w:eastAsia="lt-LT"/>
              </w:rPr>
              <w:tab/>
            </w:r>
            <w:r w:rsidR="003C6498" w:rsidRPr="0056672B">
              <w:rPr>
                <w:rStyle w:val="Hyperlink"/>
                <w:noProof/>
                <w:lang w:val="lt-LT"/>
              </w:rPr>
              <w:t>Ataskaitos tikslai</w:t>
            </w:r>
            <w:r w:rsidR="003C6498">
              <w:rPr>
                <w:noProof/>
                <w:webHidden/>
              </w:rPr>
              <w:tab/>
            </w:r>
            <w:r w:rsidR="003C6498">
              <w:rPr>
                <w:noProof/>
                <w:webHidden/>
              </w:rPr>
              <w:fldChar w:fldCharType="begin"/>
            </w:r>
            <w:r w:rsidR="003C6498">
              <w:rPr>
                <w:noProof/>
                <w:webHidden/>
              </w:rPr>
              <w:instrText xml:space="preserve"> PAGEREF _Toc85615130 \h </w:instrText>
            </w:r>
            <w:r w:rsidR="003C6498">
              <w:rPr>
                <w:noProof/>
                <w:webHidden/>
              </w:rPr>
            </w:r>
            <w:r w:rsidR="003C6498">
              <w:rPr>
                <w:noProof/>
                <w:webHidden/>
              </w:rPr>
              <w:fldChar w:fldCharType="separate"/>
            </w:r>
            <w:r w:rsidR="003C6498">
              <w:rPr>
                <w:noProof/>
                <w:webHidden/>
              </w:rPr>
              <w:t>4</w:t>
            </w:r>
            <w:r w:rsidR="003C6498">
              <w:rPr>
                <w:noProof/>
                <w:webHidden/>
              </w:rPr>
              <w:fldChar w:fldCharType="end"/>
            </w:r>
          </w:hyperlink>
        </w:p>
        <w:p w14:paraId="3D643EB6" w14:textId="54FF8F85" w:rsidR="003C6498" w:rsidRDefault="00B50782">
          <w:pPr>
            <w:pStyle w:val="TOC1"/>
            <w:tabs>
              <w:tab w:val="left" w:pos="440"/>
              <w:tab w:val="right" w:leader="dot" w:pos="10762"/>
            </w:tabs>
            <w:rPr>
              <w:rFonts w:asciiTheme="minorHAnsi" w:eastAsiaTheme="minorEastAsia" w:hAnsiTheme="minorHAnsi"/>
              <w:noProof/>
              <w:sz w:val="22"/>
              <w:lang w:val="lt-LT" w:eastAsia="lt-LT"/>
            </w:rPr>
          </w:pPr>
          <w:hyperlink w:anchor="_Toc85615131" w:history="1">
            <w:r w:rsidR="003C6498" w:rsidRPr="0056672B">
              <w:rPr>
                <w:rStyle w:val="Hyperlink"/>
                <w:noProof/>
                <w:lang w:val="lt-LT"/>
              </w:rPr>
              <w:t>3</w:t>
            </w:r>
            <w:r w:rsidR="003C6498">
              <w:rPr>
                <w:rFonts w:asciiTheme="minorHAnsi" w:eastAsiaTheme="minorEastAsia" w:hAnsiTheme="minorHAnsi"/>
                <w:noProof/>
                <w:sz w:val="22"/>
                <w:lang w:val="lt-LT" w:eastAsia="lt-LT"/>
              </w:rPr>
              <w:tab/>
            </w:r>
            <w:r w:rsidR="003C6498" w:rsidRPr="0056672B">
              <w:rPr>
                <w:rStyle w:val="Hyperlink"/>
                <w:noProof/>
                <w:lang w:val="lt-LT"/>
              </w:rPr>
              <w:t>Vertinimo metodika</w:t>
            </w:r>
            <w:r w:rsidR="003C6498">
              <w:rPr>
                <w:noProof/>
                <w:webHidden/>
              </w:rPr>
              <w:tab/>
            </w:r>
            <w:r w:rsidR="003C6498">
              <w:rPr>
                <w:noProof/>
                <w:webHidden/>
              </w:rPr>
              <w:fldChar w:fldCharType="begin"/>
            </w:r>
            <w:r w:rsidR="003C6498">
              <w:rPr>
                <w:noProof/>
                <w:webHidden/>
              </w:rPr>
              <w:instrText xml:space="preserve"> PAGEREF _Toc85615131 \h </w:instrText>
            </w:r>
            <w:r w:rsidR="003C6498">
              <w:rPr>
                <w:noProof/>
                <w:webHidden/>
              </w:rPr>
            </w:r>
            <w:r w:rsidR="003C6498">
              <w:rPr>
                <w:noProof/>
                <w:webHidden/>
              </w:rPr>
              <w:fldChar w:fldCharType="separate"/>
            </w:r>
            <w:r w:rsidR="003C6498">
              <w:rPr>
                <w:noProof/>
                <w:webHidden/>
              </w:rPr>
              <w:t>5</w:t>
            </w:r>
            <w:r w:rsidR="003C6498">
              <w:rPr>
                <w:noProof/>
                <w:webHidden/>
              </w:rPr>
              <w:fldChar w:fldCharType="end"/>
            </w:r>
          </w:hyperlink>
        </w:p>
        <w:p w14:paraId="49C69AF1" w14:textId="780738BF" w:rsidR="003C6498" w:rsidRDefault="00B50782">
          <w:pPr>
            <w:pStyle w:val="TOC1"/>
            <w:tabs>
              <w:tab w:val="left" w:pos="440"/>
              <w:tab w:val="right" w:leader="dot" w:pos="10762"/>
            </w:tabs>
            <w:rPr>
              <w:rFonts w:asciiTheme="minorHAnsi" w:eastAsiaTheme="minorEastAsia" w:hAnsiTheme="minorHAnsi"/>
              <w:noProof/>
              <w:sz w:val="22"/>
              <w:lang w:val="lt-LT" w:eastAsia="lt-LT"/>
            </w:rPr>
          </w:pPr>
          <w:hyperlink w:anchor="_Toc85615132" w:history="1">
            <w:r w:rsidR="003C6498" w:rsidRPr="0056672B">
              <w:rPr>
                <w:rStyle w:val="Hyperlink"/>
                <w:noProof/>
                <w:lang w:val="lt-LT"/>
              </w:rPr>
              <w:t>4</w:t>
            </w:r>
            <w:r w:rsidR="003C6498">
              <w:rPr>
                <w:rFonts w:asciiTheme="minorHAnsi" w:eastAsiaTheme="minorEastAsia" w:hAnsiTheme="minorHAnsi"/>
                <w:noProof/>
                <w:sz w:val="22"/>
                <w:lang w:val="lt-LT" w:eastAsia="lt-LT"/>
              </w:rPr>
              <w:tab/>
            </w:r>
            <w:r w:rsidR="003C6498" w:rsidRPr="0056672B">
              <w:rPr>
                <w:rStyle w:val="Hyperlink"/>
                <w:noProof/>
                <w:lang w:val="lt-LT"/>
              </w:rPr>
              <w:t>Strategijų įgyvendinimo vertinimas</w:t>
            </w:r>
            <w:r w:rsidR="003C6498">
              <w:rPr>
                <w:noProof/>
                <w:webHidden/>
              </w:rPr>
              <w:tab/>
            </w:r>
            <w:r w:rsidR="003C6498">
              <w:rPr>
                <w:noProof/>
                <w:webHidden/>
              </w:rPr>
              <w:fldChar w:fldCharType="begin"/>
            </w:r>
            <w:r w:rsidR="003C6498">
              <w:rPr>
                <w:noProof/>
                <w:webHidden/>
              </w:rPr>
              <w:instrText xml:space="preserve"> PAGEREF _Toc85615132 \h </w:instrText>
            </w:r>
            <w:r w:rsidR="003C6498">
              <w:rPr>
                <w:noProof/>
                <w:webHidden/>
              </w:rPr>
            </w:r>
            <w:r w:rsidR="003C6498">
              <w:rPr>
                <w:noProof/>
                <w:webHidden/>
              </w:rPr>
              <w:fldChar w:fldCharType="separate"/>
            </w:r>
            <w:r w:rsidR="003C6498">
              <w:rPr>
                <w:noProof/>
                <w:webHidden/>
              </w:rPr>
              <w:t>7</w:t>
            </w:r>
            <w:r w:rsidR="003C6498">
              <w:rPr>
                <w:noProof/>
                <w:webHidden/>
              </w:rPr>
              <w:fldChar w:fldCharType="end"/>
            </w:r>
          </w:hyperlink>
        </w:p>
        <w:p w14:paraId="6332ECAF" w14:textId="1C93342B" w:rsidR="003C6498" w:rsidRDefault="00B50782">
          <w:pPr>
            <w:pStyle w:val="TOC1"/>
            <w:tabs>
              <w:tab w:val="left" w:pos="660"/>
              <w:tab w:val="right" w:leader="dot" w:pos="10762"/>
            </w:tabs>
            <w:rPr>
              <w:rFonts w:asciiTheme="minorHAnsi" w:eastAsiaTheme="minorEastAsia" w:hAnsiTheme="minorHAnsi"/>
              <w:noProof/>
              <w:sz w:val="22"/>
              <w:lang w:val="lt-LT" w:eastAsia="lt-LT"/>
            </w:rPr>
          </w:pPr>
          <w:hyperlink w:anchor="_Toc85615133" w:history="1">
            <w:r w:rsidR="003C6498" w:rsidRPr="0056672B">
              <w:rPr>
                <w:rStyle w:val="Hyperlink"/>
                <w:noProof/>
                <w:lang w:val="lt-LT"/>
              </w:rPr>
              <w:t>4.1.</w:t>
            </w:r>
            <w:r w:rsidR="003C6498">
              <w:rPr>
                <w:rFonts w:asciiTheme="minorHAnsi" w:eastAsiaTheme="minorEastAsia" w:hAnsiTheme="minorHAnsi"/>
                <w:noProof/>
                <w:sz w:val="22"/>
                <w:lang w:val="lt-LT" w:eastAsia="lt-LT"/>
              </w:rPr>
              <w:tab/>
            </w:r>
            <w:r w:rsidR="003C6498" w:rsidRPr="0056672B">
              <w:rPr>
                <w:rStyle w:val="Hyperlink"/>
                <w:noProof/>
                <w:lang w:val="lt-LT"/>
              </w:rPr>
              <w:t>Bendra portfelio apžvalga</w:t>
            </w:r>
            <w:r w:rsidR="003C6498">
              <w:rPr>
                <w:noProof/>
                <w:webHidden/>
              </w:rPr>
              <w:tab/>
            </w:r>
            <w:r w:rsidR="003C6498">
              <w:rPr>
                <w:noProof/>
                <w:webHidden/>
              </w:rPr>
              <w:fldChar w:fldCharType="begin"/>
            </w:r>
            <w:r w:rsidR="003C6498">
              <w:rPr>
                <w:noProof/>
                <w:webHidden/>
              </w:rPr>
              <w:instrText xml:space="preserve"> PAGEREF _Toc85615133 \h </w:instrText>
            </w:r>
            <w:r w:rsidR="003C6498">
              <w:rPr>
                <w:noProof/>
                <w:webHidden/>
              </w:rPr>
            </w:r>
            <w:r w:rsidR="003C6498">
              <w:rPr>
                <w:noProof/>
                <w:webHidden/>
              </w:rPr>
              <w:fldChar w:fldCharType="separate"/>
            </w:r>
            <w:r w:rsidR="003C6498">
              <w:rPr>
                <w:noProof/>
                <w:webHidden/>
              </w:rPr>
              <w:t>7</w:t>
            </w:r>
            <w:r w:rsidR="003C6498">
              <w:rPr>
                <w:noProof/>
                <w:webHidden/>
              </w:rPr>
              <w:fldChar w:fldCharType="end"/>
            </w:r>
          </w:hyperlink>
        </w:p>
        <w:p w14:paraId="33AEED50" w14:textId="668C3D44" w:rsidR="003C6498" w:rsidRDefault="00B50782">
          <w:pPr>
            <w:pStyle w:val="TOC1"/>
            <w:tabs>
              <w:tab w:val="left" w:pos="440"/>
              <w:tab w:val="right" w:leader="dot" w:pos="10762"/>
            </w:tabs>
            <w:rPr>
              <w:rFonts w:asciiTheme="minorHAnsi" w:eastAsiaTheme="minorEastAsia" w:hAnsiTheme="minorHAnsi"/>
              <w:noProof/>
              <w:sz w:val="22"/>
              <w:lang w:val="lt-LT" w:eastAsia="lt-LT"/>
            </w:rPr>
          </w:pPr>
          <w:hyperlink w:anchor="_Toc85615134" w:history="1">
            <w:r w:rsidR="003C6498" w:rsidRPr="0056672B">
              <w:rPr>
                <w:rStyle w:val="Hyperlink"/>
                <w:noProof/>
                <w:lang w:val="lt-LT"/>
              </w:rPr>
              <w:t>5.</w:t>
            </w:r>
            <w:r w:rsidR="003C6498">
              <w:rPr>
                <w:rFonts w:asciiTheme="minorHAnsi" w:eastAsiaTheme="minorEastAsia" w:hAnsiTheme="minorHAnsi"/>
                <w:noProof/>
                <w:sz w:val="22"/>
                <w:lang w:val="lt-LT" w:eastAsia="lt-LT"/>
              </w:rPr>
              <w:tab/>
            </w:r>
            <w:r w:rsidR="003C6498" w:rsidRPr="0056672B">
              <w:rPr>
                <w:rStyle w:val="Hyperlink"/>
                <w:noProof/>
                <w:lang w:val="lt-LT"/>
              </w:rPr>
              <w:t>Išvados ir rekomendacijos</w:t>
            </w:r>
            <w:r w:rsidR="003C6498">
              <w:rPr>
                <w:noProof/>
                <w:webHidden/>
              </w:rPr>
              <w:tab/>
            </w:r>
            <w:r w:rsidR="003C6498">
              <w:rPr>
                <w:noProof/>
                <w:webHidden/>
              </w:rPr>
              <w:fldChar w:fldCharType="begin"/>
            </w:r>
            <w:r w:rsidR="003C6498">
              <w:rPr>
                <w:noProof/>
                <w:webHidden/>
              </w:rPr>
              <w:instrText xml:space="preserve"> PAGEREF _Toc85615134 \h </w:instrText>
            </w:r>
            <w:r w:rsidR="003C6498">
              <w:rPr>
                <w:noProof/>
                <w:webHidden/>
              </w:rPr>
            </w:r>
            <w:r w:rsidR="003C6498">
              <w:rPr>
                <w:noProof/>
                <w:webHidden/>
              </w:rPr>
              <w:fldChar w:fldCharType="separate"/>
            </w:r>
            <w:r w:rsidR="003C6498">
              <w:rPr>
                <w:noProof/>
                <w:webHidden/>
              </w:rPr>
              <w:t>10</w:t>
            </w:r>
            <w:r w:rsidR="003C6498">
              <w:rPr>
                <w:noProof/>
                <w:webHidden/>
              </w:rPr>
              <w:fldChar w:fldCharType="end"/>
            </w:r>
          </w:hyperlink>
        </w:p>
        <w:p w14:paraId="7DCC8F1E" w14:textId="58D2D394" w:rsidR="00385B97" w:rsidRDefault="00385B97">
          <w:r>
            <w:rPr>
              <w:b/>
              <w:bCs/>
            </w:rPr>
            <w:fldChar w:fldCharType="end"/>
          </w:r>
        </w:p>
      </w:sdtContent>
    </w:sdt>
    <w:p w14:paraId="451DE39E" w14:textId="77777777" w:rsidR="00385B97" w:rsidRDefault="00385B97">
      <w:pPr>
        <w:rPr>
          <w:rFonts w:eastAsiaTheme="majorEastAsia" w:cstheme="majorBidi"/>
          <w:b/>
          <w:bCs/>
          <w:sz w:val="24"/>
          <w:szCs w:val="28"/>
          <w:lang w:val="lt-LT"/>
        </w:rPr>
      </w:pPr>
      <w:r>
        <w:rPr>
          <w:lang w:val="lt-LT"/>
        </w:rPr>
        <w:br w:type="page"/>
      </w:r>
    </w:p>
    <w:p w14:paraId="0BEB6B0B" w14:textId="691426B5" w:rsidR="00CE4959" w:rsidRPr="00914C75" w:rsidRDefault="0055099F" w:rsidP="00FE3C4F">
      <w:pPr>
        <w:pStyle w:val="Heading1"/>
        <w:numPr>
          <w:ilvl w:val="0"/>
          <w:numId w:val="1"/>
        </w:numPr>
        <w:ind w:left="426" w:hanging="426"/>
        <w:rPr>
          <w:lang w:val="lt-LT"/>
        </w:rPr>
      </w:pPr>
      <w:bookmarkStart w:id="0" w:name="_Toc85615129"/>
      <w:r w:rsidRPr="00914C75">
        <w:rPr>
          <w:lang w:val="lt-LT"/>
        </w:rPr>
        <w:lastRenderedPageBreak/>
        <w:t>Strateginis planavimas</w:t>
      </w:r>
      <w:bookmarkEnd w:id="0"/>
    </w:p>
    <w:p w14:paraId="617636D2" w14:textId="2F485A85" w:rsidR="0089758A" w:rsidRPr="00914C75" w:rsidRDefault="0089758A" w:rsidP="00FE3C4F">
      <w:pPr>
        <w:shd w:val="clear" w:color="auto" w:fill="FFFFFF"/>
        <w:spacing w:after="0"/>
        <w:ind w:firstLine="567"/>
        <w:jc w:val="both"/>
        <w:rPr>
          <w:color w:val="000000"/>
          <w:szCs w:val="18"/>
          <w:lang w:val="lt-LT"/>
        </w:rPr>
      </w:pPr>
      <w:r w:rsidRPr="00914C75">
        <w:rPr>
          <w:color w:val="000000"/>
          <w:szCs w:val="18"/>
          <w:lang w:val="lt-LT"/>
        </w:rPr>
        <w:t xml:space="preserve">2012 m. birželio 6 d. Vyriausybės nutarimu Nr. 665 </w:t>
      </w:r>
      <w:r w:rsidR="001B109C" w:rsidRPr="00914C75">
        <w:rPr>
          <w:color w:val="000000"/>
          <w:szCs w:val="18"/>
          <w:lang w:val="lt-LT"/>
        </w:rPr>
        <w:t xml:space="preserve">patvirtintas </w:t>
      </w:r>
      <w:r w:rsidRPr="00914C75">
        <w:rPr>
          <w:color w:val="000000"/>
          <w:szCs w:val="18"/>
          <w:lang w:val="lt-LT"/>
        </w:rPr>
        <w:t>Valstybės turtinių ir neturtinių teisių įgyvendinimo valstybės valdomose įmonėse tvarkos aprašas (toliau – Nuosavybės gairės) nustato valstybės valdomų įmonių (</w:t>
      </w:r>
      <w:r w:rsidR="009A17C0">
        <w:rPr>
          <w:color w:val="000000"/>
          <w:szCs w:val="18"/>
          <w:lang w:val="lt-LT"/>
        </w:rPr>
        <w:t xml:space="preserve">toliau – </w:t>
      </w:r>
      <w:r w:rsidRPr="00914C75">
        <w:rPr>
          <w:color w:val="000000"/>
          <w:szCs w:val="18"/>
          <w:lang w:val="lt-LT"/>
        </w:rPr>
        <w:t>VVĮ</w:t>
      </w:r>
      <w:r w:rsidR="009A17C0">
        <w:rPr>
          <w:color w:val="000000"/>
          <w:szCs w:val="18"/>
          <w:lang w:val="lt-LT"/>
        </w:rPr>
        <w:t>)</w:t>
      </w:r>
      <w:r w:rsidRPr="00914C75">
        <w:rPr>
          <w:color w:val="000000"/>
          <w:szCs w:val="18"/>
          <w:lang w:val="lt-LT"/>
        </w:rPr>
        <w:t xml:space="preserve"> strategijų </w:t>
      </w:r>
      <w:r w:rsidR="00D24C78" w:rsidRPr="00914C75">
        <w:rPr>
          <w:color w:val="000000"/>
          <w:szCs w:val="18"/>
          <w:lang w:val="lt-LT"/>
        </w:rPr>
        <w:t xml:space="preserve">rengimo </w:t>
      </w:r>
      <w:r w:rsidRPr="00914C75">
        <w:rPr>
          <w:color w:val="000000"/>
          <w:szCs w:val="18"/>
          <w:lang w:val="lt-LT"/>
        </w:rPr>
        <w:t xml:space="preserve">tvarką, terminus bei įgyvendinimo priežiūrą (Nuosavybės gairių VIII ir IX skyriai). Nustatyta, kad strategija turėtų apimti aplinkos, kurioje veikia valstybės valdoma įmonė, analizę, misiją, viziją, ilgalaikius (strateginius) tikslus, uždavinius ir išteklius, kurių reikia jiems pasiekti, taip pat veiklos planus. Savininko teises įgyvendinančios institucijos (toliau – </w:t>
      </w:r>
      <w:r w:rsidR="00085AF8">
        <w:rPr>
          <w:color w:val="000000"/>
          <w:szCs w:val="18"/>
          <w:lang w:val="lt-LT"/>
        </w:rPr>
        <w:t>VAI</w:t>
      </w:r>
      <w:r w:rsidRPr="00914C75">
        <w:rPr>
          <w:color w:val="000000"/>
          <w:szCs w:val="18"/>
          <w:lang w:val="lt-LT"/>
        </w:rPr>
        <w:t>) reguliariai prižiūri strategijų rengimą ir įgyvendinimą bei</w:t>
      </w:r>
      <w:r w:rsidR="001928C1">
        <w:rPr>
          <w:color w:val="000000"/>
          <w:szCs w:val="18"/>
          <w:lang w:val="lt-LT"/>
        </w:rPr>
        <w:t xml:space="preserve"> užtikrina, kad VVĮ</w:t>
      </w:r>
      <w:r w:rsidRPr="00914C75">
        <w:rPr>
          <w:color w:val="000000"/>
          <w:szCs w:val="18"/>
          <w:lang w:val="lt-LT"/>
        </w:rPr>
        <w:t xml:space="preserve"> </w:t>
      </w:r>
      <w:r w:rsidR="001928C1">
        <w:rPr>
          <w:color w:val="000000"/>
          <w:szCs w:val="18"/>
          <w:lang w:val="lt-LT"/>
        </w:rPr>
        <w:t>rengtų</w:t>
      </w:r>
      <w:r w:rsidRPr="00914C75">
        <w:rPr>
          <w:color w:val="000000"/>
          <w:szCs w:val="18"/>
          <w:lang w:val="lt-LT"/>
        </w:rPr>
        <w:t xml:space="preserve"> strategijų įgyvendinimo metines ataskaitas.</w:t>
      </w:r>
    </w:p>
    <w:p w14:paraId="0F220E7A" w14:textId="65CDA697" w:rsidR="0089758A" w:rsidRPr="00085AF8" w:rsidRDefault="00715CE6" w:rsidP="00FE3C4F">
      <w:pPr>
        <w:shd w:val="clear" w:color="auto" w:fill="FFFFFF"/>
        <w:spacing w:after="0"/>
        <w:ind w:firstLine="567"/>
        <w:jc w:val="both"/>
        <w:rPr>
          <w:lang w:val="lt-LT"/>
        </w:rPr>
      </w:pPr>
      <w:r w:rsidRPr="00572B64">
        <w:rPr>
          <w:lang w:val="lt-LT"/>
        </w:rPr>
        <w:t>Vadovaujantis Lietuvos Respublikos</w:t>
      </w:r>
      <w:r w:rsidR="00085AF8">
        <w:rPr>
          <w:lang w:val="lt-LT"/>
        </w:rPr>
        <w:t xml:space="preserve"> V</w:t>
      </w:r>
      <w:r w:rsidR="00085AF8" w:rsidRPr="00085AF8">
        <w:rPr>
          <w:lang w:val="lt-LT"/>
        </w:rPr>
        <w:t>alstybės ir savivaldybių turto valdymo, naudojimo ir disponavimo juo</w:t>
      </w:r>
      <w:r w:rsidRPr="00572B64">
        <w:rPr>
          <w:lang w:val="lt-LT"/>
        </w:rPr>
        <w:t xml:space="preserve"> įstatymo </w:t>
      </w:r>
      <w:r w:rsidR="00572B64" w:rsidRPr="00572B64">
        <w:rPr>
          <w:lang w:val="lt-LT"/>
        </w:rPr>
        <w:t>23</w:t>
      </w:r>
      <w:r w:rsidRPr="00572B64">
        <w:rPr>
          <w:lang w:val="lt-LT"/>
        </w:rPr>
        <w:t xml:space="preserve"> straipsniu </w:t>
      </w:r>
      <w:r w:rsidRPr="00572B64">
        <w:rPr>
          <w:bCs/>
          <w:kern w:val="24"/>
          <w:lang w:val="lt-LT"/>
        </w:rPr>
        <w:t>v</w:t>
      </w:r>
      <w:r w:rsidRPr="00572B64">
        <w:rPr>
          <w:kern w:val="24"/>
          <w:lang w:val="lt-LT"/>
        </w:rPr>
        <w:t xml:space="preserve">iešoji įstaiga </w:t>
      </w:r>
      <w:r w:rsidR="00731D9C">
        <w:rPr>
          <w:kern w:val="24"/>
          <w:lang w:val="lt-LT"/>
        </w:rPr>
        <w:t>Valdymo koordinavimo centras</w:t>
      </w:r>
      <w:r w:rsidRPr="00572B64">
        <w:rPr>
          <w:kern w:val="24"/>
          <w:lang w:val="lt-LT"/>
        </w:rPr>
        <w:t xml:space="preserve"> (toliau</w:t>
      </w:r>
      <w:r w:rsidR="00572B64" w:rsidRPr="00572B64">
        <w:rPr>
          <w:kern w:val="24"/>
          <w:lang w:val="lt-LT"/>
        </w:rPr>
        <w:t xml:space="preserve"> – </w:t>
      </w:r>
      <w:r w:rsidR="00731D9C">
        <w:rPr>
          <w:kern w:val="24"/>
          <w:lang w:val="lt-LT"/>
        </w:rPr>
        <w:t>VKC</w:t>
      </w:r>
      <w:r w:rsidR="00572B64" w:rsidRPr="00572B64">
        <w:rPr>
          <w:kern w:val="24"/>
          <w:lang w:val="lt-LT"/>
        </w:rPr>
        <w:t xml:space="preserve">), </w:t>
      </w:r>
      <w:r w:rsidR="0089758A" w:rsidRPr="00572B64">
        <w:rPr>
          <w:color w:val="000000"/>
          <w:szCs w:val="18"/>
          <w:lang w:val="lt-LT"/>
        </w:rPr>
        <w:t xml:space="preserve">kartą per metus </w:t>
      </w:r>
      <w:r w:rsidR="00572B64">
        <w:rPr>
          <w:color w:val="000000"/>
          <w:szCs w:val="18"/>
          <w:lang w:val="lt-LT"/>
        </w:rPr>
        <w:t>rengia</w:t>
      </w:r>
      <w:r w:rsidR="0089758A" w:rsidRPr="00572B64">
        <w:rPr>
          <w:color w:val="000000"/>
          <w:szCs w:val="18"/>
          <w:lang w:val="lt-LT"/>
        </w:rPr>
        <w:t xml:space="preserve"> ir </w:t>
      </w:r>
      <w:r w:rsidR="00572B64">
        <w:rPr>
          <w:color w:val="000000"/>
          <w:szCs w:val="18"/>
          <w:lang w:val="lt-LT"/>
        </w:rPr>
        <w:t>teikia</w:t>
      </w:r>
      <w:r w:rsidR="0089758A" w:rsidRPr="00572B64">
        <w:rPr>
          <w:color w:val="000000"/>
          <w:szCs w:val="18"/>
          <w:lang w:val="lt-LT"/>
        </w:rPr>
        <w:t xml:space="preserve"> </w:t>
      </w:r>
      <w:r w:rsidR="00572B64">
        <w:rPr>
          <w:color w:val="000000"/>
          <w:szCs w:val="18"/>
          <w:lang w:val="lt-LT"/>
        </w:rPr>
        <w:t>Lietuvos Respublikos ekonomikos ir inovacijų ministerijai</w:t>
      </w:r>
      <w:r w:rsidR="0089758A" w:rsidRPr="00572B64">
        <w:rPr>
          <w:color w:val="000000"/>
          <w:szCs w:val="18"/>
          <w:lang w:val="lt-LT"/>
        </w:rPr>
        <w:t xml:space="preserve"> apibendrintą valstybės valdomų įmonių strategijų įgyvendinimo ataskaitą (toliau – Ataskaitą). </w:t>
      </w:r>
      <w:r w:rsidR="000D2DC4" w:rsidRPr="00572B64">
        <w:rPr>
          <w:color w:val="000000"/>
          <w:szCs w:val="18"/>
          <w:lang w:val="lt-LT"/>
        </w:rPr>
        <w:t xml:space="preserve">Siekiant palengvinti </w:t>
      </w:r>
      <w:r w:rsidR="00085AF8">
        <w:rPr>
          <w:color w:val="000000"/>
          <w:szCs w:val="18"/>
          <w:lang w:val="lt-LT"/>
        </w:rPr>
        <w:t>VAI</w:t>
      </w:r>
      <w:r w:rsidR="005708FC" w:rsidRPr="00572B64">
        <w:rPr>
          <w:color w:val="000000"/>
          <w:szCs w:val="18"/>
          <w:lang w:val="lt-LT"/>
        </w:rPr>
        <w:t xml:space="preserve"> ataskaitų rengimą bei standartizuoti procesą, VKC </w:t>
      </w:r>
      <w:r w:rsidR="00211AD5">
        <w:rPr>
          <w:color w:val="000000"/>
          <w:szCs w:val="18"/>
          <w:lang w:val="lt-LT"/>
        </w:rPr>
        <w:t>rengia ir nuolatos tobulina</w:t>
      </w:r>
      <w:r w:rsidR="005708FC" w:rsidRPr="00572B64">
        <w:rPr>
          <w:color w:val="000000"/>
          <w:szCs w:val="18"/>
          <w:lang w:val="lt-LT"/>
        </w:rPr>
        <w:t xml:space="preserve"> Strategijų įgyvendinimo metinės ataskaitos formą, </w:t>
      </w:r>
      <w:r w:rsidR="00642B91" w:rsidRPr="00572B64">
        <w:rPr>
          <w:color w:val="000000"/>
          <w:szCs w:val="18"/>
          <w:lang w:val="lt-LT"/>
        </w:rPr>
        <w:t xml:space="preserve">kurią </w:t>
      </w:r>
      <w:r w:rsidR="0057365D">
        <w:rPr>
          <w:color w:val="000000"/>
          <w:szCs w:val="18"/>
          <w:lang w:val="lt-LT"/>
        </w:rPr>
        <w:t>VVĮ</w:t>
      </w:r>
      <w:r w:rsidR="00642B91" w:rsidRPr="00572B64">
        <w:rPr>
          <w:color w:val="000000"/>
          <w:szCs w:val="18"/>
          <w:lang w:val="lt-LT"/>
        </w:rPr>
        <w:t xml:space="preserve"> rekomenduojama naudoti rengiant stra</w:t>
      </w:r>
      <w:r w:rsidR="007B6FA0" w:rsidRPr="00572B64">
        <w:rPr>
          <w:color w:val="000000"/>
          <w:szCs w:val="18"/>
          <w:lang w:val="lt-LT"/>
        </w:rPr>
        <w:t>tegijų įgyvendinimo ataskaitas.</w:t>
      </w:r>
    </w:p>
    <w:p w14:paraId="28921F49" w14:textId="3C6B3B9F" w:rsidR="000A0A2E" w:rsidRPr="00914C75" w:rsidRDefault="00B85D1A" w:rsidP="00FE3C4F">
      <w:pPr>
        <w:shd w:val="clear" w:color="auto" w:fill="FFFFFF"/>
        <w:spacing w:after="0"/>
        <w:ind w:firstLine="567"/>
        <w:jc w:val="both"/>
        <w:rPr>
          <w:color w:val="000000"/>
          <w:szCs w:val="18"/>
          <w:lang w:val="lt-LT"/>
        </w:rPr>
      </w:pPr>
      <w:r w:rsidRPr="00572B64">
        <w:rPr>
          <w:color w:val="000000"/>
          <w:szCs w:val="18"/>
          <w:lang w:val="lt-LT"/>
        </w:rPr>
        <w:t xml:space="preserve">Įmonės strateginis planas – tai įrankis, padedantis įmonei suprasti, kokioje aplinkoje ir kokia kryptimi ji veikia, nustatyti veiklos prioritetus ir efektyviau pasiekti užsibrėžtus tikslus. </w:t>
      </w:r>
      <w:r w:rsidR="00211AD5">
        <w:rPr>
          <w:color w:val="000000"/>
          <w:szCs w:val="18"/>
          <w:lang w:val="lt-LT"/>
        </w:rPr>
        <w:t xml:space="preserve">Strategijoje yra </w:t>
      </w:r>
      <w:r w:rsidRPr="00572B64">
        <w:rPr>
          <w:color w:val="000000"/>
          <w:szCs w:val="18"/>
          <w:lang w:val="lt-LT"/>
        </w:rPr>
        <w:t>įvardijami valstybės kaip akcininko ir savininko lūkesčiai VVĮ strateginiams planams bei apibendrin</w:t>
      </w:r>
      <w:r w:rsidR="00211AD5">
        <w:rPr>
          <w:color w:val="000000"/>
          <w:szCs w:val="18"/>
          <w:lang w:val="lt-LT"/>
        </w:rPr>
        <w:t>ama</w:t>
      </w:r>
      <w:r w:rsidRPr="00572B64">
        <w:rPr>
          <w:color w:val="000000"/>
          <w:szCs w:val="18"/>
          <w:lang w:val="lt-LT"/>
        </w:rPr>
        <w:t xml:space="preserve">s visas strateginio planavimo ir strategijos įgyvendinimo priežiūros procesas.  </w:t>
      </w:r>
      <w:r w:rsidR="00211AD5">
        <w:rPr>
          <w:color w:val="000000"/>
          <w:szCs w:val="18"/>
          <w:lang w:val="lt-LT"/>
        </w:rPr>
        <w:t>R</w:t>
      </w:r>
      <w:r w:rsidRPr="00572B64">
        <w:rPr>
          <w:color w:val="000000"/>
          <w:szCs w:val="18"/>
          <w:lang w:val="lt-LT"/>
        </w:rPr>
        <w:t xml:space="preserve">ekomenduojama, jog metinį planavimą apimtų </w:t>
      </w:r>
      <w:r w:rsidR="00085AF8">
        <w:rPr>
          <w:color w:val="000000"/>
          <w:szCs w:val="18"/>
          <w:lang w:val="lt-LT"/>
        </w:rPr>
        <w:t>nuoseklus</w:t>
      </w:r>
      <w:r w:rsidRPr="00572B64">
        <w:rPr>
          <w:color w:val="000000"/>
          <w:szCs w:val="18"/>
          <w:lang w:val="lt-LT"/>
        </w:rPr>
        <w:t xml:space="preserve"> veiksmų planas kiekvienam uždaviniui įgyvendinti su konkrečiais </w:t>
      </w:r>
      <w:r w:rsidR="009A17C0">
        <w:rPr>
          <w:color w:val="000000"/>
          <w:szCs w:val="18"/>
          <w:lang w:val="lt-LT"/>
        </w:rPr>
        <w:t>siektinais rodikliais</w:t>
      </w:r>
      <w:r w:rsidRPr="00572B64">
        <w:rPr>
          <w:color w:val="000000"/>
          <w:szCs w:val="18"/>
          <w:lang w:val="lt-LT"/>
        </w:rPr>
        <w:t>, priskirtais atsakingiems asmenims ir numatytais ištekliais</w:t>
      </w:r>
      <w:r w:rsidR="00211AD5">
        <w:rPr>
          <w:color w:val="000000"/>
          <w:szCs w:val="18"/>
          <w:lang w:val="lt-LT"/>
        </w:rPr>
        <w:t>. S</w:t>
      </w:r>
      <w:r w:rsidR="000A0A2E" w:rsidRPr="00572B64">
        <w:rPr>
          <w:color w:val="000000"/>
          <w:szCs w:val="18"/>
          <w:lang w:val="lt-LT"/>
        </w:rPr>
        <w:t>trategijos vykdymo stebėjimo ir vertinimo tikslas – nuolatos kontroliuoti strateginių tikslų ir jų įgyvendinimui naudojamų veiksmų bei uždavinių pažangą ir užtikrinti, kad jų įgyvendinimui reikalingi sprendimai būtų priimami vietoje ir laiku. Ši</w:t>
      </w:r>
      <w:r w:rsidR="009A17C0">
        <w:rPr>
          <w:color w:val="000000"/>
          <w:szCs w:val="18"/>
          <w:lang w:val="lt-LT"/>
        </w:rPr>
        <w:t>uo</w:t>
      </w:r>
      <w:r w:rsidR="000A0A2E" w:rsidRPr="00572B64">
        <w:rPr>
          <w:color w:val="000000"/>
          <w:szCs w:val="18"/>
          <w:lang w:val="lt-LT"/>
        </w:rPr>
        <w:t xml:space="preserve"> tikslu </w:t>
      </w:r>
      <w:r w:rsidR="009A17C0">
        <w:rPr>
          <w:color w:val="000000"/>
          <w:szCs w:val="18"/>
          <w:lang w:val="lt-LT"/>
        </w:rPr>
        <w:t>pasibaigus</w:t>
      </w:r>
      <w:r w:rsidR="000A0A2E" w:rsidRPr="00572B64">
        <w:rPr>
          <w:color w:val="000000"/>
          <w:szCs w:val="18"/>
          <w:lang w:val="lt-LT"/>
        </w:rPr>
        <w:t xml:space="preserve"> kiekvien</w:t>
      </w:r>
      <w:r w:rsidR="009A17C0">
        <w:rPr>
          <w:color w:val="000000"/>
          <w:szCs w:val="18"/>
          <w:lang w:val="lt-LT"/>
        </w:rPr>
        <w:t>am</w:t>
      </w:r>
      <w:r w:rsidR="000A0A2E" w:rsidRPr="00572B64">
        <w:rPr>
          <w:color w:val="000000"/>
          <w:szCs w:val="18"/>
          <w:lang w:val="lt-LT"/>
        </w:rPr>
        <w:t xml:space="preserve"> </w:t>
      </w:r>
      <w:r w:rsidR="009A17C0">
        <w:rPr>
          <w:color w:val="000000"/>
          <w:szCs w:val="18"/>
          <w:lang w:val="lt-LT"/>
        </w:rPr>
        <w:t>ketvirčiui</w:t>
      </w:r>
      <w:r w:rsidR="000A0A2E" w:rsidRPr="00572B64">
        <w:rPr>
          <w:color w:val="000000"/>
          <w:szCs w:val="18"/>
          <w:lang w:val="lt-LT"/>
        </w:rPr>
        <w:t xml:space="preserve"> įmonių vadovai ir jų deleguoti darbuotojai turėtų informuoti valdybas ir/ar </w:t>
      </w:r>
      <w:r w:rsidR="00E141A9">
        <w:rPr>
          <w:color w:val="000000"/>
          <w:szCs w:val="18"/>
          <w:lang w:val="lt-LT"/>
        </w:rPr>
        <w:t>VAI</w:t>
      </w:r>
      <w:r w:rsidR="000A0A2E" w:rsidRPr="00572B64">
        <w:rPr>
          <w:color w:val="000000"/>
          <w:szCs w:val="18"/>
          <w:lang w:val="lt-LT"/>
        </w:rPr>
        <w:t xml:space="preserve"> apie tikslų ir uždavinių įgyvendinimą bei neįgyvendinimo</w:t>
      </w:r>
      <w:r w:rsidR="000A0A2E" w:rsidRPr="00914C75">
        <w:rPr>
          <w:color w:val="000000"/>
          <w:szCs w:val="18"/>
          <w:lang w:val="lt-LT"/>
        </w:rPr>
        <w:t xml:space="preserve"> priežastis. Pasibaigus metams, įmonių vadovai turėtų parengti išsam</w:t>
      </w:r>
      <w:r w:rsidR="008F00B4">
        <w:rPr>
          <w:color w:val="000000"/>
          <w:szCs w:val="18"/>
          <w:lang w:val="lt-LT"/>
        </w:rPr>
        <w:t>ias</w:t>
      </w:r>
      <w:r w:rsidR="000A0A2E" w:rsidRPr="00914C75">
        <w:rPr>
          <w:color w:val="000000"/>
          <w:szCs w:val="18"/>
          <w:lang w:val="lt-LT"/>
        </w:rPr>
        <w:t xml:space="preserve"> strategijų įgyvendinimo ataskaitas, leisiančias įmonei, valdybai</w:t>
      </w:r>
      <w:r w:rsidR="00B67B7F">
        <w:rPr>
          <w:color w:val="000000"/>
          <w:szCs w:val="18"/>
          <w:lang w:val="lt-LT"/>
        </w:rPr>
        <w:t xml:space="preserve"> (KO)</w:t>
      </w:r>
      <w:r w:rsidR="000A0A2E" w:rsidRPr="00914C75">
        <w:rPr>
          <w:color w:val="000000"/>
          <w:szCs w:val="18"/>
          <w:lang w:val="lt-LT"/>
        </w:rPr>
        <w:t xml:space="preserve"> bei akcininkui </w:t>
      </w:r>
      <w:r w:rsidR="00B67B7F">
        <w:rPr>
          <w:color w:val="000000"/>
          <w:szCs w:val="18"/>
          <w:lang w:val="lt-LT"/>
        </w:rPr>
        <w:t xml:space="preserve">(VAI) </w:t>
      </w:r>
      <w:r w:rsidR="000A0A2E" w:rsidRPr="00914C75">
        <w:rPr>
          <w:color w:val="000000"/>
          <w:szCs w:val="18"/>
          <w:lang w:val="lt-LT"/>
        </w:rPr>
        <w:t xml:space="preserve">įvertinti, kaip vykdoma įmonės strategija bei, esant reikalui, ją koreguoti. Visi šie veiksmai leis užtikrinti, jog įmonės strategija išliktų aktuali bei naudinga, o strateginiai tikslai </w:t>
      </w:r>
      <w:r w:rsidR="008F00B4">
        <w:rPr>
          <w:color w:val="000000"/>
          <w:szCs w:val="18"/>
          <w:lang w:val="lt-LT"/>
        </w:rPr>
        <w:t xml:space="preserve">bei uždaviniai </w:t>
      </w:r>
      <w:r w:rsidR="000A0A2E" w:rsidRPr="00914C75">
        <w:rPr>
          <w:color w:val="000000"/>
          <w:szCs w:val="18"/>
          <w:lang w:val="lt-LT"/>
        </w:rPr>
        <w:t>vykdomi efektyviai.</w:t>
      </w:r>
    </w:p>
    <w:p w14:paraId="08C6F982" w14:textId="0ABE11DE" w:rsidR="009278BC" w:rsidRDefault="009278BC">
      <w:pPr>
        <w:rPr>
          <w:color w:val="000000"/>
          <w:szCs w:val="18"/>
          <w:lang w:val="lt-LT"/>
        </w:rPr>
      </w:pPr>
      <w:r>
        <w:rPr>
          <w:color w:val="000000"/>
          <w:szCs w:val="18"/>
          <w:lang w:val="lt-LT"/>
        </w:rPr>
        <w:br w:type="page"/>
      </w:r>
    </w:p>
    <w:p w14:paraId="545E965D" w14:textId="77777777" w:rsidR="00A33F9A" w:rsidRPr="00914C75" w:rsidRDefault="00A33F9A" w:rsidP="00FE3C4F">
      <w:pPr>
        <w:pStyle w:val="Heading1"/>
        <w:numPr>
          <w:ilvl w:val="0"/>
          <w:numId w:val="1"/>
        </w:numPr>
        <w:ind w:left="426" w:hanging="426"/>
        <w:rPr>
          <w:lang w:val="lt-LT"/>
        </w:rPr>
      </w:pPr>
      <w:bookmarkStart w:id="1" w:name="_Toc85615130"/>
      <w:r w:rsidRPr="00914C75">
        <w:rPr>
          <w:lang w:val="lt-LT"/>
        </w:rPr>
        <w:lastRenderedPageBreak/>
        <w:t>Ataskaitos tikslai</w:t>
      </w:r>
      <w:bookmarkEnd w:id="1"/>
    </w:p>
    <w:p w14:paraId="4BBB5915" w14:textId="1A5244F9" w:rsidR="000A0A2E" w:rsidRPr="00914C75" w:rsidRDefault="000A0A2E" w:rsidP="00FE3C4F">
      <w:pPr>
        <w:shd w:val="clear" w:color="auto" w:fill="FFFFFF"/>
        <w:spacing w:after="0"/>
        <w:ind w:firstLine="426"/>
        <w:jc w:val="both"/>
        <w:rPr>
          <w:lang w:val="lt-LT"/>
        </w:rPr>
      </w:pPr>
      <w:r w:rsidRPr="00914C75">
        <w:rPr>
          <w:lang w:val="lt-LT"/>
        </w:rPr>
        <w:t xml:space="preserve">Šia ataskaita siekiama </w:t>
      </w:r>
      <w:r w:rsidRPr="00064883">
        <w:rPr>
          <w:bCs/>
          <w:lang w:val="lt-LT"/>
        </w:rPr>
        <w:t>apibendrint</w:t>
      </w:r>
      <w:r w:rsidR="00064883">
        <w:rPr>
          <w:bCs/>
          <w:lang w:val="lt-LT"/>
        </w:rPr>
        <w:t>i V</w:t>
      </w:r>
      <w:r w:rsidR="00D82B38">
        <w:rPr>
          <w:bCs/>
          <w:lang w:val="lt-LT"/>
        </w:rPr>
        <w:t>V</w:t>
      </w:r>
      <w:r w:rsidR="00064883">
        <w:rPr>
          <w:bCs/>
          <w:lang w:val="lt-LT"/>
        </w:rPr>
        <w:t>Į</w:t>
      </w:r>
      <w:r w:rsidRPr="00064883">
        <w:rPr>
          <w:bCs/>
          <w:lang w:val="lt-LT"/>
        </w:rPr>
        <w:t xml:space="preserve"> parengtas </w:t>
      </w:r>
      <w:r w:rsidR="00C96916">
        <w:rPr>
          <w:bCs/>
          <w:lang w:val="lt-LT"/>
        </w:rPr>
        <w:t xml:space="preserve">2020 m. </w:t>
      </w:r>
      <w:r w:rsidRPr="00064883">
        <w:rPr>
          <w:bCs/>
          <w:lang w:val="lt-LT"/>
        </w:rPr>
        <w:t>strategijų įgyvendinimo metines ataskaitas</w:t>
      </w:r>
      <w:r w:rsidR="00F275CB" w:rsidRPr="00064883">
        <w:rPr>
          <w:bCs/>
          <w:lang w:val="lt-LT"/>
        </w:rPr>
        <w:t xml:space="preserve">, </w:t>
      </w:r>
      <w:r w:rsidR="00702AA9" w:rsidRPr="00064883">
        <w:rPr>
          <w:bCs/>
          <w:lang w:val="lt-LT"/>
        </w:rPr>
        <w:t>įvertinti</w:t>
      </w:r>
      <w:r w:rsidR="00C96916">
        <w:rPr>
          <w:bCs/>
          <w:lang w:val="lt-LT"/>
        </w:rPr>
        <w:t xml:space="preserve"> iškeltų</w:t>
      </w:r>
      <w:r w:rsidR="00702AA9" w:rsidRPr="00064883">
        <w:rPr>
          <w:bCs/>
          <w:lang w:val="lt-LT"/>
        </w:rPr>
        <w:t xml:space="preserve"> strateginių tikslų</w:t>
      </w:r>
      <w:r w:rsidR="00C96916">
        <w:rPr>
          <w:bCs/>
          <w:lang w:val="lt-LT"/>
        </w:rPr>
        <w:t xml:space="preserve"> bei</w:t>
      </w:r>
      <w:r w:rsidR="00702AA9" w:rsidRPr="00064883">
        <w:rPr>
          <w:bCs/>
          <w:lang w:val="lt-LT"/>
        </w:rPr>
        <w:t xml:space="preserve"> uždavinių</w:t>
      </w:r>
      <w:r w:rsidR="00C96916">
        <w:rPr>
          <w:bCs/>
          <w:lang w:val="lt-LT"/>
        </w:rPr>
        <w:t xml:space="preserve"> ambicingumą</w:t>
      </w:r>
      <w:r w:rsidR="00702AA9" w:rsidRPr="00064883">
        <w:rPr>
          <w:bCs/>
          <w:lang w:val="lt-LT"/>
        </w:rPr>
        <w:t xml:space="preserve">, pateikti susistemintą </w:t>
      </w:r>
      <w:r w:rsidR="00C96916">
        <w:rPr>
          <w:bCs/>
          <w:lang w:val="lt-LT"/>
        </w:rPr>
        <w:t>jų</w:t>
      </w:r>
      <w:r w:rsidR="00702AA9" w:rsidRPr="00064883">
        <w:rPr>
          <w:bCs/>
          <w:lang w:val="lt-LT"/>
        </w:rPr>
        <w:t xml:space="preserve"> įgyvendinimo vertinimą, taip pat rekomendacijas, kaip tikslai</w:t>
      </w:r>
      <w:r w:rsidR="00C96916">
        <w:rPr>
          <w:bCs/>
          <w:lang w:val="lt-LT"/>
        </w:rPr>
        <w:t xml:space="preserve"> bei</w:t>
      </w:r>
      <w:r w:rsidR="00702AA9" w:rsidRPr="00064883">
        <w:rPr>
          <w:bCs/>
          <w:lang w:val="lt-LT"/>
        </w:rPr>
        <w:t xml:space="preserve"> uždaviniai</w:t>
      </w:r>
      <w:r w:rsidR="00C96916">
        <w:rPr>
          <w:bCs/>
          <w:lang w:val="lt-LT"/>
        </w:rPr>
        <w:t xml:space="preserve">, juos matuojantys </w:t>
      </w:r>
      <w:r w:rsidR="00702AA9" w:rsidRPr="00064883">
        <w:rPr>
          <w:bCs/>
          <w:lang w:val="lt-LT"/>
        </w:rPr>
        <w:t>rodikliai galėtų būti ateityje tobulinami</w:t>
      </w:r>
      <w:r w:rsidR="00702AA9" w:rsidRPr="00914C75">
        <w:rPr>
          <w:lang w:val="lt-LT"/>
        </w:rPr>
        <w:t xml:space="preserve">. Tikimasi, </w:t>
      </w:r>
      <w:r w:rsidR="005C601E">
        <w:rPr>
          <w:lang w:val="lt-LT"/>
        </w:rPr>
        <w:t>kad</w:t>
      </w:r>
      <w:r w:rsidR="00702AA9" w:rsidRPr="00914C75">
        <w:rPr>
          <w:lang w:val="lt-LT"/>
        </w:rPr>
        <w:t xml:space="preserve"> ši informacija leis </w:t>
      </w:r>
      <w:r w:rsidR="009A17C0">
        <w:rPr>
          <w:lang w:val="lt-LT"/>
        </w:rPr>
        <w:t>VAI</w:t>
      </w:r>
      <w:r w:rsidR="00E141A9">
        <w:rPr>
          <w:lang w:val="lt-LT"/>
        </w:rPr>
        <w:t xml:space="preserve">, </w:t>
      </w:r>
      <w:r w:rsidR="008B130E">
        <w:rPr>
          <w:lang w:val="lt-LT"/>
        </w:rPr>
        <w:t>Ekonomikos ir inovacijų ministerijai</w:t>
      </w:r>
      <w:r w:rsidR="00702AA9" w:rsidRPr="00914C75">
        <w:rPr>
          <w:lang w:val="lt-LT"/>
        </w:rPr>
        <w:t xml:space="preserve"> </w:t>
      </w:r>
      <w:r w:rsidR="00E141A9">
        <w:rPr>
          <w:lang w:val="lt-LT"/>
        </w:rPr>
        <w:t xml:space="preserve">bei Vyriausybei </w:t>
      </w:r>
      <w:r w:rsidR="00702AA9" w:rsidRPr="00914C75">
        <w:rPr>
          <w:lang w:val="lt-LT"/>
        </w:rPr>
        <w:t>susidaryti įspūdį apie V</w:t>
      </w:r>
      <w:r w:rsidR="00CD0381">
        <w:rPr>
          <w:lang w:val="lt-LT"/>
        </w:rPr>
        <w:t>V</w:t>
      </w:r>
      <w:r w:rsidR="00702AA9" w:rsidRPr="00914C75">
        <w:rPr>
          <w:lang w:val="lt-LT"/>
        </w:rPr>
        <w:t>Į strategijų įgyvendinimo kokybę bei priimti kvalifikuotus sprendimus, užtikrinsiančius s</w:t>
      </w:r>
      <w:r w:rsidR="007B6FA0" w:rsidRPr="00914C75">
        <w:rPr>
          <w:lang w:val="lt-LT"/>
        </w:rPr>
        <w:t>klandų strategijų įgyvendinimą.</w:t>
      </w:r>
    </w:p>
    <w:p w14:paraId="6D5558A9" w14:textId="6A74E7AA" w:rsidR="00702AA9" w:rsidRPr="00914C75" w:rsidRDefault="00702AA9" w:rsidP="00FE3C4F">
      <w:pPr>
        <w:shd w:val="clear" w:color="auto" w:fill="FFFFFF"/>
        <w:spacing w:after="0"/>
        <w:ind w:firstLine="426"/>
        <w:jc w:val="both"/>
        <w:rPr>
          <w:lang w:val="lt-LT"/>
        </w:rPr>
      </w:pPr>
      <w:r w:rsidRPr="00914C75">
        <w:rPr>
          <w:lang w:val="lt-LT"/>
        </w:rPr>
        <w:t xml:space="preserve">Ataskaita parengta remiantis </w:t>
      </w:r>
      <w:r w:rsidR="009A17C0">
        <w:rPr>
          <w:lang w:val="lt-LT"/>
        </w:rPr>
        <w:t>V</w:t>
      </w:r>
      <w:r w:rsidR="00D82B38">
        <w:rPr>
          <w:lang w:val="lt-LT"/>
        </w:rPr>
        <w:t>V</w:t>
      </w:r>
      <w:r w:rsidR="009A17C0">
        <w:rPr>
          <w:lang w:val="lt-LT"/>
        </w:rPr>
        <w:t>Į</w:t>
      </w:r>
      <w:r w:rsidRPr="00914C75">
        <w:rPr>
          <w:lang w:val="lt-LT"/>
        </w:rPr>
        <w:t xml:space="preserve"> </w:t>
      </w:r>
      <w:r w:rsidR="00874B46">
        <w:rPr>
          <w:lang w:val="lt-LT"/>
        </w:rPr>
        <w:t xml:space="preserve">pateiktomis patvirtintomis strategijomis bei jų </w:t>
      </w:r>
      <w:r w:rsidRPr="00914C75">
        <w:rPr>
          <w:lang w:val="lt-LT"/>
        </w:rPr>
        <w:t>įgyvendinimo metinėmis ataskaitomis</w:t>
      </w:r>
      <w:r w:rsidR="00874B46">
        <w:rPr>
          <w:lang w:val="lt-LT"/>
        </w:rPr>
        <w:t xml:space="preserve"> 2020 m.</w:t>
      </w:r>
    </w:p>
    <w:p w14:paraId="7E374A05" w14:textId="74465FE0" w:rsidR="00CF2497" w:rsidRPr="00914C75" w:rsidRDefault="00CF2497" w:rsidP="00FE3C4F">
      <w:pPr>
        <w:shd w:val="clear" w:color="auto" w:fill="FFFFFF"/>
        <w:spacing w:after="0"/>
        <w:ind w:firstLine="426"/>
        <w:jc w:val="both"/>
        <w:rPr>
          <w:lang w:val="lt-LT"/>
        </w:rPr>
      </w:pPr>
      <w:r w:rsidRPr="00914C75">
        <w:rPr>
          <w:lang w:val="lt-LT"/>
        </w:rPr>
        <w:t xml:space="preserve">Ataskaitoje </w:t>
      </w:r>
      <w:r w:rsidR="008B6B55" w:rsidRPr="00914C75">
        <w:rPr>
          <w:lang w:val="lt-LT"/>
        </w:rPr>
        <w:t xml:space="preserve">apibendrinama </w:t>
      </w:r>
      <w:r w:rsidR="000C4EDF">
        <w:rPr>
          <w:lang w:val="lt-LT"/>
        </w:rPr>
        <w:t>VVĮ</w:t>
      </w:r>
      <w:r w:rsidR="008B6B55" w:rsidRPr="00914C75">
        <w:rPr>
          <w:lang w:val="lt-LT"/>
        </w:rPr>
        <w:t xml:space="preserve"> strateginio planavimo kokybė šiais aspektais</w:t>
      </w:r>
      <w:r w:rsidRPr="00914C75">
        <w:rPr>
          <w:lang w:val="lt-LT"/>
        </w:rPr>
        <w:t>:</w:t>
      </w:r>
    </w:p>
    <w:p w14:paraId="2A1FA11F" w14:textId="73E3F724" w:rsidR="008B6B55" w:rsidRPr="00914C75" w:rsidRDefault="00481260" w:rsidP="00FE3C4F">
      <w:pPr>
        <w:pStyle w:val="ListParagraph"/>
        <w:numPr>
          <w:ilvl w:val="0"/>
          <w:numId w:val="2"/>
        </w:numPr>
        <w:shd w:val="clear" w:color="auto" w:fill="FFFFFF"/>
        <w:spacing w:after="0"/>
        <w:ind w:left="851" w:hanging="284"/>
        <w:jc w:val="both"/>
        <w:rPr>
          <w:lang w:val="lt-LT"/>
        </w:rPr>
      </w:pPr>
      <w:r>
        <w:rPr>
          <w:lang w:val="lt-LT"/>
        </w:rPr>
        <w:t xml:space="preserve">Ar strategijos įgyvendinimo ataskaitoje </w:t>
      </w:r>
      <w:r w:rsidR="007136A2">
        <w:rPr>
          <w:lang w:val="lt-LT"/>
        </w:rPr>
        <w:t xml:space="preserve">tinkamai bei pakankamai ambicingai </w:t>
      </w:r>
      <w:r>
        <w:rPr>
          <w:lang w:val="lt-LT"/>
        </w:rPr>
        <w:t xml:space="preserve">pateikiama </w:t>
      </w:r>
      <w:r w:rsidR="007136A2">
        <w:rPr>
          <w:lang w:val="lt-LT"/>
        </w:rPr>
        <w:t xml:space="preserve">akcininko laukiamo </w:t>
      </w:r>
      <w:r>
        <w:rPr>
          <w:lang w:val="lt-LT"/>
        </w:rPr>
        <w:t>pelningumo rodiklio reikšmė</w:t>
      </w:r>
      <w:r w:rsidR="007136A2">
        <w:rPr>
          <w:lang w:val="lt-LT"/>
        </w:rPr>
        <w:t>,</w:t>
      </w:r>
      <w:r>
        <w:rPr>
          <w:lang w:val="lt-LT"/>
        </w:rPr>
        <w:t xml:space="preserve"> ar ši</w:t>
      </w:r>
      <w:r w:rsidR="007136A2">
        <w:rPr>
          <w:lang w:val="lt-LT"/>
        </w:rPr>
        <w:t xml:space="preserve">s akcininko lūkestis </w:t>
      </w:r>
      <w:r w:rsidR="009E36CB">
        <w:rPr>
          <w:lang w:val="lt-LT"/>
        </w:rPr>
        <w:t>pasiekta</w:t>
      </w:r>
      <w:r w:rsidR="007136A2">
        <w:rPr>
          <w:lang w:val="lt-LT"/>
        </w:rPr>
        <w:t>s</w:t>
      </w:r>
      <w:r w:rsidR="00751565">
        <w:rPr>
          <w:lang w:val="lt-LT"/>
        </w:rPr>
        <w:t>?</w:t>
      </w:r>
      <w:r>
        <w:rPr>
          <w:lang w:val="lt-LT"/>
        </w:rPr>
        <w:t xml:space="preserve"> Jei V</w:t>
      </w:r>
      <w:r w:rsidR="00D82B38">
        <w:rPr>
          <w:lang w:val="lt-LT"/>
        </w:rPr>
        <w:t>V</w:t>
      </w:r>
      <w:r>
        <w:rPr>
          <w:lang w:val="lt-LT"/>
        </w:rPr>
        <w:t>Į Vyriausybė nustat</w:t>
      </w:r>
      <w:r w:rsidR="005B656E">
        <w:rPr>
          <w:lang w:val="lt-LT"/>
        </w:rPr>
        <w:t>o</w:t>
      </w:r>
      <w:r>
        <w:rPr>
          <w:lang w:val="lt-LT"/>
        </w:rPr>
        <w:t xml:space="preserve"> siektin</w:t>
      </w:r>
      <w:r w:rsidR="005B656E">
        <w:rPr>
          <w:lang w:val="lt-LT"/>
        </w:rPr>
        <w:t>ą</w:t>
      </w:r>
      <w:r>
        <w:rPr>
          <w:lang w:val="lt-LT"/>
        </w:rPr>
        <w:t xml:space="preserve"> nuosavo </w:t>
      </w:r>
      <w:r w:rsidR="000C4EDF">
        <w:rPr>
          <w:lang w:val="lt-LT"/>
        </w:rPr>
        <w:t>kapitalo grąžą ROE</w:t>
      </w:r>
      <w:r>
        <w:rPr>
          <w:lang w:val="lt-LT"/>
        </w:rPr>
        <w:t>, V</w:t>
      </w:r>
      <w:r w:rsidR="00D82B38">
        <w:rPr>
          <w:lang w:val="lt-LT"/>
        </w:rPr>
        <w:t>V</w:t>
      </w:r>
      <w:r>
        <w:rPr>
          <w:lang w:val="lt-LT"/>
        </w:rPr>
        <w:t>Į</w:t>
      </w:r>
      <w:r w:rsidR="005B656E">
        <w:rPr>
          <w:lang w:val="lt-LT"/>
        </w:rPr>
        <w:t xml:space="preserve">, kaip vieną iš savo strateginių tikslų ar uždavinių, </w:t>
      </w:r>
      <w:r>
        <w:rPr>
          <w:lang w:val="lt-LT"/>
        </w:rPr>
        <w:t xml:space="preserve">turi kelti ROE rodiklį, kurio siektina vertė būtų ne mažesnė, nei Vyriausybės nustatyta </w:t>
      </w:r>
      <w:r w:rsidR="000C4EDF">
        <w:rPr>
          <w:lang w:val="lt-LT"/>
        </w:rPr>
        <w:t>ROE reikšmė</w:t>
      </w:r>
      <w:r>
        <w:rPr>
          <w:lang w:val="lt-LT"/>
        </w:rPr>
        <w:t xml:space="preserve">. </w:t>
      </w:r>
      <w:r w:rsidR="005B656E">
        <w:rPr>
          <w:lang w:val="lt-LT"/>
        </w:rPr>
        <w:t>Kitu atveju</w:t>
      </w:r>
      <w:r>
        <w:rPr>
          <w:lang w:val="lt-LT"/>
        </w:rPr>
        <w:t xml:space="preserve">, </w:t>
      </w:r>
      <w:r w:rsidR="000C4EDF">
        <w:rPr>
          <w:lang w:val="lt-LT"/>
        </w:rPr>
        <w:t xml:space="preserve">jei </w:t>
      </w:r>
      <w:r>
        <w:rPr>
          <w:lang w:val="lt-LT"/>
        </w:rPr>
        <w:t>vienas V</w:t>
      </w:r>
      <w:r w:rsidR="00D82B38">
        <w:rPr>
          <w:lang w:val="lt-LT"/>
        </w:rPr>
        <w:t>V</w:t>
      </w:r>
      <w:r>
        <w:rPr>
          <w:lang w:val="lt-LT"/>
        </w:rPr>
        <w:t xml:space="preserve">Į tikslų turėtų būti veikti nenuostolingai – t. y. turėtų būti keliamas grynojo pelno rodiklis, kurio siektina </w:t>
      </w:r>
      <w:r w:rsidR="005B656E">
        <w:rPr>
          <w:lang w:val="lt-LT"/>
        </w:rPr>
        <w:t>vertė</w:t>
      </w:r>
      <w:r>
        <w:rPr>
          <w:lang w:val="lt-LT"/>
        </w:rPr>
        <w:t xml:space="preserve"> būtų teigiama</w:t>
      </w:r>
      <w:r w:rsidR="000C4EDF">
        <w:rPr>
          <w:lang w:val="lt-LT"/>
        </w:rPr>
        <w:t xml:space="preserve"> ir pan.</w:t>
      </w:r>
    </w:p>
    <w:p w14:paraId="1A74ED1E" w14:textId="0B8D1C63" w:rsidR="008B6B55" w:rsidRPr="00914C75" w:rsidRDefault="009E36CB" w:rsidP="00FE3C4F">
      <w:pPr>
        <w:pStyle w:val="ListParagraph"/>
        <w:numPr>
          <w:ilvl w:val="0"/>
          <w:numId w:val="2"/>
        </w:numPr>
        <w:shd w:val="clear" w:color="auto" w:fill="FFFFFF"/>
        <w:spacing w:after="0"/>
        <w:ind w:left="851" w:hanging="284"/>
        <w:jc w:val="both"/>
        <w:rPr>
          <w:lang w:val="lt-LT"/>
        </w:rPr>
      </w:pPr>
      <w:r>
        <w:rPr>
          <w:lang w:val="lt-LT"/>
        </w:rPr>
        <w:t xml:space="preserve">Ar strategijos įgyvendinimo ataskaitoje pateikiami kiti finansiniai rodikliai, ar </w:t>
      </w:r>
      <w:r w:rsidR="000C4EDF">
        <w:rPr>
          <w:lang w:val="lt-LT"/>
        </w:rPr>
        <w:t>jų kiekis optimalus konkrečiai VVĮ, ar ų matav</w:t>
      </w:r>
      <w:r w:rsidR="00751565">
        <w:rPr>
          <w:lang w:val="lt-LT"/>
        </w:rPr>
        <w:t>i</w:t>
      </w:r>
      <w:r w:rsidR="000C4EDF">
        <w:rPr>
          <w:lang w:val="lt-LT"/>
        </w:rPr>
        <w:t>mo rodikliai kokybiški bei p</w:t>
      </w:r>
      <w:r>
        <w:rPr>
          <w:lang w:val="lt-LT"/>
        </w:rPr>
        <w:t>akankamai ambicingi</w:t>
      </w:r>
      <w:r w:rsidR="000C4EDF">
        <w:rPr>
          <w:lang w:val="lt-LT"/>
        </w:rPr>
        <w:t>, ar jie tinkamai įgyvendinti</w:t>
      </w:r>
      <w:r w:rsidR="003370D0">
        <w:rPr>
          <w:lang w:val="lt-LT"/>
        </w:rPr>
        <w:t>?</w:t>
      </w:r>
    </w:p>
    <w:p w14:paraId="6C7F167E" w14:textId="3F86C2A1" w:rsidR="009E36CB" w:rsidRPr="00914C75" w:rsidRDefault="009E36CB" w:rsidP="00FE3C4F">
      <w:pPr>
        <w:pStyle w:val="ListParagraph"/>
        <w:numPr>
          <w:ilvl w:val="0"/>
          <w:numId w:val="2"/>
        </w:numPr>
        <w:shd w:val="clear" w:color="auto" w:fill="FFFFFF"/>
        <w:spacing w:after="0"/>
        <w:ind w:left="851" w:hanging="284"/>
        <w:jc w:val="both"/>
        <w:rPr>
          <w:lang w:val="lt-LT"/>
        </w:rPr>
      </w:pPr>
      <w:r>
        <w:rPr>
          <w:lang w:val="lt-LT"/>
        </w:rPr>
        <w:t>Ar strategijos įgyvendinimo ataskaitoje pateikiami nefinansiniai rodikliai,</w:t>
      </w:r>
      <w:r w:rsidR="000C4EDF" w:rsidRPr="000C4EDF">
        <w:rPr>
          <w:lang w:val="lt-LT"/>
        </w:rPr>
        <w:t xml:space="preserve"> </w:t>
      </w:r>
      <w:r w:rsidR="000C4EDF">
        <w:rPr>
          <w:lang w:val="lt-LT"/>
        </w:rPr>
        <w:t>ar jų kiekis optimalus konkrečiai VVĮ, ar jų matav</w:t>
      </w:r>
      <w:r w:rsidR="00751565">
        <w:rPr>
          <w:lang w:val="lt-LT"/>
        </w:rPr>
        <w:t>i</w:t>
      </w:r>
      <w:r w:rsidR="000C4EDF">
        <w:rPr>
          <w:lang w:val="lt-LT"/>
        </w:rPr>
        <w:t>mo rodikliai kokybiški bei pakankamai ambicingi, ar jie tinkamai įgyvendinti</w:t>
      </w:r>
      <w:r w:rsidR="003370D0">
        <w:rPr>
          <w:lang w:val="lt-LT"/>
        </w:rPr>
        <w:t>?</w:t>
      </w:r>
    </w:p>
    <w:p w14:paraId="2D39CF8E" w14:textId="6EB55FBC" w:rsidR="00CF2497" w:rsidRDefault="00B977D9" w:rsidP="00FE3C4F">
      <w:pPr>
        <w:pStyle w:val="ListParagraph"/>
        <w:numPr>
          <w:ilvl w:val="0"/>
          <w:numId w:val="2"/>
        </w:numPr>
        <w:shd w:val="clear" w:color="auto" w:fill="FFFFFF"/>
        <w:spacing w:after="0"/>
        <w:ind w:left="851" w:hanging="284"/>
        <w:jc w:val="both"/>
        <w:rPr>
          <w:lang w:val="lt-LT"/>
        </w:rPr>
      </w:pPr>
      <w:r>
        <w:rPr>
          <w:lang w:val="lt-LT"/>
        </w:rPr>
        <w:t xml:space="preserve">Ar strategijos įgyvendinimo ataskaitoje pateikiami: aplinkos veiksniai, turėję </w:t>
      </w:r>
      <w:r w:rsidR="0001404A">
        <w:rPr>
          <w:lang w:val="lt-LT"/>
        </w:rPr>
        <w:t>reikšmingos</w:t>
      </w:r>
      <w:r w:rsidR="000C4EDF">
        <w:rPr>
          <w:lang w:val="lt-LT"/>
        </w:rPr>
        <w:t xml:space="preserve"> </w:t>
      </w:r>
      <w:r>
        <w:rPr>
          <w:lang w:val="lt-LT"/>
        </w:rPr>
        <w:t>įtakos VVĮ veiklai; aiški strateginių tikslų ir uždavinių hierarchija ir struktūra; rodiklių neįgyvendinimo priežastys</w:t>
      </w:r>
      <w:r w:rsidR="003370D0">
        <w:rPr>
          <w:lang w:val="lt-LT"/>
        </w:rPr>
        <w:t>?</w:t>
      </w:r>
    </w:p>
    <w:p w14:paraId="56FCF899" w14:textId="55B58BFD" w:rsidR="009278BC" w:rsidRDefault="009278BC">
      <w:pPr>
        <w:rPr>
          <w:lang w:val="lt-LT"/>
        </w:rPr>
      </w:pPr>
      <w:r>
        <w:rPr>
          <w:lang w:val="lt-LT"/>
        </w:rPr>
        <w:br w:type="page"/>
      </w:r>
    </w:p>
    <w:p w14:paraId="1DDC5421" w14:textId="77777777" w:rsidR="00CF2497" w:rsidRPr="00914C75" w:rsidRDefault="00CF2497" w:rsidP="00FE3C4F">
      <w:pPr>
        <w:pStyle w:val="Heading1"/>
        <w:numPr>
          <w:ilvl w:val="0"/>
          <w:numId w:val="1"/>
        </w:numPr>
        <w:ind w:left="426" w:hanging="426"/>
        <w:rPr>
          <w:lang w:val="lt-LT"/>
        </w:rPr>
      </w:pPr>
      <w:bookmarkStart w:id="2" w:name="_Toc85615131"/>
      <w:r w:rsidRPr="00914C75">
        <w:rPr>
          <w:lang w:val="lt-LT"/>
        </w:rPr>
        <w:lastRenderedPageBreak/>
        <w:t>Vertinimo metodika</w:t>
      </w:r>
      <w:bookmarkEnd w:id="2"/>
    </w:p>
    <w:p w14:paraId="6A4D43A5" w14:textId="2E834588" w:rsidR="009754EE" w:rsidRDefault="00344195" w:rsidP="00FE3C4F">
      <w:pPr>
        <w:shd w:val="clear" w:color="auto" w:fill="FFFFFF"/>
        <w:spacing w:after="0"/>
        <w:ind w:firstLine="426"/>
        <w:jc w:val="both"/>
        <w:rPr>
          <w:rFonts w:cs="Segoe UI"/>
          <w:bCs/>
          <w:color w:val="000000"/>
          <w:szCs w:val="18"/>
          <w:lang w:val="lt-LT"/>
        </w:rPr>
      </w:pPr>
      <w:r>
        <w:rPr>
          <w:rFonts w:cs="Segoe UI"/>
          <w:bCs/>
          <w:color w:val="000000"/>
          <w:szCs w:val="18"/>
          <w:lang w:val="lt-LT"/>
        </w:rPr>
        <w:t xml:space="preserve">2020 m. strategijų įgyvendinimas buvo vertinamas, vadovaujantis </w:t>
      </w:r>
      <w:r w:rsidR="00A66BED">
        <w:rPr>
          <w:rFonts w:cs="Segoe UI"/>
          <w:bCs/>
          <w:color w:val="000000"/>
          <w:szCs w:val="18"/>
          <w:lang w:val="lt-LT"/>
        </w:rPr>
        <w:t xml:space="preserve">VKC </w:t>
      </w:r>
      <w:r>
        <w:rPr>
          <w:rFonts w:cs="Segoe UI"/>
          <w:bCs/>
          <w:color w:val="000000"/>
          <w:szCs w:val="18"/>
          <w:lang w:val="lt-LT"/>
        </w:rPr>
        <w:t xml:space="preserve">atnaujinta bei patobulinta vertinimo metodologija, todėl galimybė galutinius vertinimo </w:t>
      </w:r>
      <w:r w:rsidR="0001404A">
        <w:rPr>
          <w:rFonts w:cs="Segoe UI"/>
          <w:bCs/>
          <w:color w:val="000000"/>
          <w:szCs w:val="18"/>
          <w:lang w:val="lt-LT"/>
        </w:rPr>
        <w:t>rezultatus</w:t>
      </w:r>
      <w:r>
        <w:rPr>
          <w:rFonts w:cs="Segoe UI"/>
          <w:bCs/>
          <w:color w:val="000000"/>
          <w:szCs w:val="18"/>
          <w:lang w:val="lt-LT"/>
        </w:rPr>
        <w:t xml:space="preserve"> palyginti su pereitų metų vertinimais yra ribota.</w:t>
      </w:r>
      <w:r w:rsidR="00A66BED">
        <w:rPr>
          <w:rFonts w:cs="Segoe UI"/>
          <w:bCs/>
          <w:color w:val="000000"/>
          <w:szCs w:val="18"/>
          <w:lang w:val="lt-LT"/>
        </w:rPr>
        <w:t xml:space="preserve"> </w:t>
      </w:r>
    </w:p>
    <w:p w14:paraId="618792D0" w14:textId="01C64D9A" w:rsidR="00E10272" w:rsidRPr="00971F42" w:rsidRDefault="008F09B0" w:rsidP="008558D2">
      <w:pPr>
        <w:shd w:val="clear" w:color="auto" w:fill="FFFFFF"/>
        <w:spacing w:after="0"/>
        <w:ind w:firstLine="426"/>
        <w:jc w:val="both"/>
        <w:rPr>
          <w:rFonts w:cs="Segoe UI"/>
          <w:bCs/>
          <w:color w:val="000000"/>
          <w:szCs w:val="18"/>
          <w:lang w:val="lt-LT"/>
        </w:rPr>
      </w:pPr>
      <w:r>
        <w:rPr>
          <w:rFonts w:cs="Segoe UI"/>
          <w:bCs/>
          <w:color w:val="000000"/>
          <w:szCs w:val="18"/>
          <w:lang w:val="lt-LT"/>
        </w:rPr>
        <w:t>Viso</w:t>
      </w:r>
      <w:r w:rsidR="00971F42">
        <w:rPr>
          <w:rFonts w:cs="Segoe UI"/>
          <w:bCs/>
          <w:color w:val="000000"/>
          <w:szCs w:val="18"/>
          <w:lang w:val="lt-LT"/>
        </w:rPr>
        <w:t xml:space="preserve"> 14 </w:t>
      </w:r>
      <w:r w:rsidR="008152EC" w:rsidRPr="00971F42">
        <w:rPr>
          <w:rFonts w:cs="Segoe UI"/>
          <w:bCs/>
          <w:color w:val="000000"/>
          <w:szCs w:val="18"/>
          <w:lang w:val="lt-LT"/>
        </w:rPr>
        <w:t>vertinimo kriterijų</w:t>
      </w:r>
      <w:r w:rsidR="00A90AA4" w:rsidRPr="00971F42">
        <w:rPr>
          <w:rFonts w:cs="Segoe UI"/>
          <w:bCs/>
          <w:color w:val="000000"/>
          <w:szCs w:val="18"/>
          <w:lang w:val="lt-LT"/>
        </w:rPr>
        <w:t>, pagal kuriuos vertintas k</w:t>
      </w:r>
      <w:r w:rsidR="00C0240D" w:rsidRPr="00971F42">
        <w:rPr>
          <w:rFonts w:cs="Segoe UI"/>
          <w:bCs/>
          <w:color w:val="000000"/>
          <w:szCs w:val="18"/>
          <w:lang w:val="lt-LT"/>
        </w:rPr>
        <w:t xml:space="preserve">iekvienos </w:t>
      </w:r>
      <w:r w:rsidR="00D4063B" w:rsidRPr="00971F42">
        <w:rPr>
          <w:rFonts w:cs="Segoe UI"/>
          <w:bCs/>
          <w:color w:val="000000"/>
          <w:szCs w:val="18"/>
          <w:lang w:val="lt-LT"/>
        </w:rPr>
        <w:t>V</w:t>
      </w:r>
      <w:r w:rsidR="00C0240D" w:rsidRPr="00971F42">
        <w:rPr>
          <w:rFonts w:cs="Segoe UI"/>
          <w:bCs/>
          <w:color w:val="000000"/>
          <w:szCs w:val="18"/>
          <w:lang w:val="lt-LT"/>
        </w:rPr>
        <w:t>VĮ strategijos</w:t>
      </w:r>
      <w:r w:rsidR="00A90AA4" w:rsidRPr="00971F42">
        <w:rPr>
          <w:rFonts w:cs="Segoe UI"/>
          <w:bCs/>
          <w:color w:val="000000"/>
          <w:szCs w:val="18"/>
          <w:lang w:val="lt-LT"/>
        </w:rPr>
        <w:t xml:space="preserve"> įgyvendinima</w:t>
      </w:r>
      <w:r w:rsidR="009D2614" w:rsidRPr="00971F42">
        <w:rPr>
          <w:rFonts w:cs="Segoe UI"/>
          <w:bCs/>
          <w:color w:val="000000"/>
          <w:szCs w:val="18"/>
          <w:lang w:val="lt-LT"/>
        </w:rPr>
        <w:t>s</w:t>
      </w:r>
      <w:r w:rsidR="00344195" w:rsidRPr="00971F42">
        <w:rPr>
          <w:rFonts w:cs="Segoe UI"/>
          <w:bCs/>
          <w:color w:val="000000"/>
          <w:szCs w:val="18"/>
          <w:lang w:val="lt-LT"/>
        </w:rPr>
        <w:t>,</w:t>
      </w:r>
      <w:r w:rsidR="008152EC" w:rsidRPr="00971F42">
        <w:rPr>
          <w:rFonts w:cs="Segoe UI"/>
          <w:bCs/>
          <w:color w:val="000000"/>
          <w:szCs w:val="18"/>
          <w:lang w:val="lt-LT"/>
        </w:rPr>
        <w:t xml:space="preserve"> buvo </w:t>
      </w:r>
      <w:r w:rsidR="009D2614" w:rsidRPr="00971F42">
        <w:rPr>
          <w:rFonts w:cs="Segoe UI"/>
          <w:bCs/>
          <w:color w:val="000000"/>
          <w:szCs w:val="18"/>
          <w:lang w:val="lt-LT"/>
        </w:rPr>
        <w:t>suskirstyt</w:t>
      </w:r>
      <w:r w:rsidR="00865BFE">
        <w:rPr>
          <w:rFonts w:cs="Segoe UI"/>
          <w:bCs/>
          <w:color w:val="000000"/>
          <w:szCs w:val="18"/>
          <w:lang w:val="lt-LT"/>
        </w:rPr>
        <w:t>a</w:t>
      </w:r>
      <w:r w:rsidR="009D2614" w:rsidRPr="00971F42">
        <w:rPr>
          <w:rFonts w:cs="Segoe UI"/>
          <w:bCs/>
          <w:color w:val="000000"/>
          <w:szCs w:val="18"/>
          <w:lang w:val="lt-LT"/>
        </w:rPr>
        <w:t xml:space="preserve"> </w:t>
      </w:r>
      <w:r w:rsidR="00A90AA4" w:rsidRPr="00971F42">
        <w:rPr>
          <w:rFonts w:cs="Segoe UI"/>
          <w:bCs/>
          <w:color w:val="000000"/>
          <w:szCs w:val="18"/>
          <w:lang w:val="lt-LT"/>
        </w:rPr>
        <w:t>į keturias dimensijas</w:t>
      </w:r>
      <w:r w:rsidR="00FB14C7" w:rsidRPr="00971F42">
        <w:rPr>
          <w:rFonts w:cs="Segoe UI"/>
          <w:bCs/>
          <w:color w:val="000000"/>
          <w:szCs w:val="18"/>
          <w:lang w:val="lt-LT"/>
        </w:rPr>
        <w:t>, kurioms priskirti skirtingi lyginamieji svoriai galutiniame įvertyje</w:t>
      </w:r>
      <w:r w:rsidR="00A90AA4" w:rsidRPr="00971F42">
        <w:rPr>
          <w:rFonts w:cs="Segoe UI"/>
          <w:bCs/>
          <w:color w:val="000000"/>
          <w:szCs w:val="18"/>
          <w:lang w:val="lt-LT"/>
        </w:rPr>
        <w:t xml:space="preserve">: </w:t>
      </w:r>
    </w:p>
    <w:p w14:paraId="43DA9017" w14:textId="7027E7F8" w:rsidR="00E10272" w:rsidRPr="001A58FC" w:rsidRDefault="00E10272" w:rsidP="001A58FC">
      <w:pPr>
        <w:pStyle w:val="ListParagraph"/>
        <w:numPr>
          <w:ilvl w:val="0"/>
          <w:numId w:val="29"/>
        </w:numPr>
        <w:shd w:val="clear" w:color="auto" w:fill="FFFFFF"/>
        <w:spacing w:after="0"/>
        <w:jc w:val="both"/>
        <w:rPr>
          <w:rFonts w:cs="Segoe UI"/>
          <w:bCs/>
          <w:color w:val="000000"/>
          <w:szCs w:val="18"/>
          <w:lang w:val="lt-LT"/>
        </w:rPr>
      </w:pPr>
      <w:r w:rsidRPr="001A58FC">
        <w:rPr>
          <w:rFonts w:cs="Segoe UI"/>
          <w:bCs/>
          <w:color w:val="000000"/>
          <w:szCs w:val="18"/>
          <w:lang w:val="lt-LT"/>
        </w:rPr>
        <w:t>Strategijų įgyvendinimo ataskaitos kokybės</w:t>
      </w:r>
      <w:r w:rsidR="002A2A34">
        <w:rPr>
          <w:rFonts w:cs="Segoe UI"/>
          <w:bCs/>
          <w:color w:val="000000"/>
          <w:szCs w:val="18"/>
          <w:lang w:val="lt-LT"/>
        </w:rPr>
        <w:t xml:space="preserve"> – 0,05 dalis;</w:t>
      </w:r>
    </w:p>
    <w:p w14:paraId="1837E209" w14:textId="35593A1A" w:rsidR="00E10272" w:rsidRDefault="00E10272" w:rsidP="00E10272">
      <w:pPr>
        <w:pStyle w:val="ListParagraph"/>
        <w:numPr>
          <w:ilvl w:val="0"/>
          <w:numId w:val="29"/>
        </w:numPr>
        <w:shd w:val="clear" w:color="auto" w:fill="FFFFFF"/>
        <w:spacing w:after="0"/>
        <w:jc w:val="both"/>
        <w:rPr>
          <w:rFonts w:cs="Segoe UI"/>
          <w:bCs/>
          <w:color w:val="000000"/>
          <w:szCs w:val="18"/>
          <w:lang w:val="lt-LT"/>
        </w:rPr>
      </w:pPr>
      <w:r>
        <w:rPr>
          <w:rFonts w:cs="Segoe UI"/>
          <w:bCs/>
          <w:color w:val="000000"/>
          <w:szCs w:val="18"/>
          <w:lang w:val="lt-LT"/>
        </w:rPr>
        <w:t>Tinkamo</w:t>
      </w:r>
      <w:r w:rsidR="00865BFE">
        <w:rPr>
          <w:rFonts w:cs="Segoe UI"/>
          <w:bCs/>
          <w:color w:val="000000"/>
          <w:szCs w:val="18"/>
          <w:lang w:val="lt-LT"/>
        </w:rPr>
        <w:t xml:space="preserve"> finansinio</w:t>
      </w:r>
      <w:r>
        <w:rPr>
          <w:rFonts w:cs="Segoe UI"/>
          <w:bCs/>
          <w:color w:val="000000"/>
          <w:szCs w:val="18"/>
          <w:lang w:val="lt-LT"/>
        </w:rPr>
        <w:t xml:space="preserve"> akcininko lūkesčio pelningumui atspindėjimo bei įgyvendinimo</w:t>
      </w:r>
      <w:r w:rsidR="002A2A34">
        <w:rPr>
          <w:rFonts w:cs="Segoe UI"/>
          <w:bCs/>
          <w:color w:val="000000"/>
          <w:szCs w:val="18"/>
          <w:lang w:val="lt-LT"/>
        </w:rPr>
        <w:t xml:space="preserve"> – 0,35 dalis</w:t>
      </w:r>
      <w:r w:rsidR="008A13AB">
        <w:rPr>
          <w:rFonts w:cs="Segoe UI"/>
          <w:bCs/>
          <w:color w:val="000000"/>
          <w:szCs w:val="18"/>
          <w:lang w:val="lt-LT"/>
        </w:rPr>
        <w:t>;</w:t>
      </w:r>
    </w:p>
    <w:p w14:paraId="3613F1FA" w14:textId="05619DB0" w:rsidR="00E10272" w:rsidRDefault="00E10272" w:rsidP="00E10272">
      <w:pPr>
        <w:pStyle w:val="ListParagraph"/>
        <w:numPr>
          <w:ilvl w:val="0"/>
          <w:numId w:val="29"/>
        </w:numPr>
        <w:shd w:val="clear" w:color="auto" w:fill="FFFFFF"/>
        <w:spacing w:after="0"/>
        <w:jc w:val="both"/>
        <w:rPr>
          <w:rFonts w:cs="Segoe UI"/>
          <w:bCs/>
          <w:color w:val="000000"/>
          <w:szCs w:val="18"/>
          <w:lang w:val="lt-LT"/>
        </w:rPr>
      </w:pPr>
      <w:r>
        <w:rPr>
          <w:rFonts w:cs="Segoe UI"/>
          <w:bCs/>
          <w:color w:val="000000"/>
          <w:szCs w:val="18"/>
          <w:lang w:val="lt-LT"/>
        </w:rPr>
        <w:t>Kitų finansinių tikslų bei uždavinių įgyvendinimo</w:t>
      </w:r>
      <w:r w:rsidR="002A2A34">
        <w:rPr>
          <w:rFonts w:cs="Segoe UI"/>
          <w:bCs/>
          <w:color w:val="000000"/>
          <w:szCs w:val="18"/>
          <w:lang w:val="lt-LT"/>
        </w:rPr>
        <w:t xml:space="preserve"> – 0,3 dalis</w:t>
      </w:r>
      <w:r w:rsidR="008A13AB">
        <w:rPr>
          <w:rFonts w:cs="Segoe UI"/>
          <w:bCs/>
          <w:color w:val="000000"/>
          <w:szCs w:val="18"/>
          <w:lang w:val="lt-LT"/>
        </w:rPr>
        <w:t>;</w:t>
      </w:r>
    </w:p>
    <w:p w14:paraId="28942BCA" w14:textId="3910DBC8" w:rsidR="002224D0" w:rsidRPr="00E10272" w:rsidRDefault="00E10272" w:rsidP="00E10272">
      <w:pPr>
        <w:pStyle w:val="ListParagraph"/>
        <w:numPr>
          <w:ilvl w:val="0"/>
          <w:numId w:val="29"/>
        </w:numPr>
        <w:shd w:val="clear" w:color="auto" w:fill="FFFFFF"/>
        <w:spacing w:after="0"/>
        <w:jc w:val="both"/>
        <w:rPr>
          <w:rFonts w:cs="Segoe UI"/>
          <w:bCs/>
          <w:color w:val="000000"/>
          <w:szCs w:val="18"/>
          <w:lang w:val="lt-LT"/>
        </w:rPr>
      </w:pPr>
      <w:r>
        <w:rPr>
          <w:rFonts w:cs="Segoe UI"/>
          <w:bCs/>
          <w:color w:val="000000"/>
          <w:szCs w:val="18"/>
          <w:lang w:val="lt-LT"/>
        </w:rPr>
        <w:t>Nefinansin</w:t>
      </w:r>
      <w:r w:rsidR="0001404A">
        <w:rPr>
          <w:rFonts w:cs="Segoe UI"/>
          <w:bCs/>
          <w:color w:val="000000"/>
          <w:szCs w:val="18"/>
          <w:lang w:val="lt-LT"/>
        </w:rPr>
        <w:t>i</w:t>
      </w:r>
      <w:r>
        <w:rPr>
          <w:rFonts w:cs="Segoe UI"/>
          <w:bCs/>
          <w:color w:val="000000"/>
          <w:szCs w:val="18"/>
          <w:lang w:val="lt-LT"/>
        </w:rPr>
        <w:t xml:space="preserve">ų tikslų bei uždavinių </w:t>
      </w:r>
      <w:r w:rsidR="0001404A">
        <w:rPr>
          <w:rFonts w:cs="Segoe UI"/>
          <w:bCs/>
          <w:color w:val="000000"/>
          <w:szCs w:val="18"/>
          <w:lang w:val="lt-LT"/>
        </w:rPr>
        <w:t>įgyvendinimo</w:t>
      </w:r>
      <w:r w:rsidR="002A2A34">
        <w:rPr>
          <w:rFonts w:cs="Segoe UI"/>
          <w:bCs/>
          <w:color w:val="000000"/>
          <w:szCs w:val="18"/>
          <w:lang w:val="lt-LT"/>
        </w:rPr>
        <w:t xml:space="preserve"> – 0,3 dalis.</w:t>
      </w:r>
    </w:p>
    <w:p w14:paraId="020F2848" w14:textId="55D43215" w:rsidR="002A2A34" w:rsidRDefault="002A2A34" w:rsidP="00EB094F">
      <w:pPr>
        <w:shd w:val="clear" w:color="auto" w:fill="FFFFFF"/>
        <w:spacing w:after="0"/>
        <w:ind w:firstLine="426"/>
        <w:jc w:val="both"/>
        <w:rPr>
          <w:rFonts w:cs="Segoe UI"/>
          <w:bCs/>
          <w:color w:val="000000"/>
          <w:szCs w:val="18"/>
          <w:lang w:val="lt-LT"/>
        </w:rPr>
      </w:pPr>
      <w:r>
        <w:rPr>
          <w:rFonts w:cs="Segoe UI"/>
          <w:bCs/>
          <w:color w:val="000000"/>
          <w:szCs w:val="18"/>
          <w:lang w:val="lt-LT"/>
        </w:rPr>
        <w:t>Kaip matoma, tinkamas akcininko lūkesčio pelningumui atspindėjimas bei įgyvendinimas turi didžiausią įtaką bendrame įvertinime. VVĮ, kurioms akcininkas nebuvo iškėlęs lūkesčio pelningumui, buvo vertinamos eliminuojant akcininko lūkesčio dimensiją bei atitinkamai padidinant kitų dimensijų lyginamuosius svorius.</w:t>
      </w:r>
      <w:r w:rsidR="00D239F1">
        <w:rPr>
          <w:rFonts w:cs="Segoe UI"/>
          <w:bCs/>
          <w:color w:val="000000"/>
          <w:szCs w:val="18"/>
          <w:lang w:val="lt-LT"/>
        </w:rPr>
        <w:t xml:space="preserve"> Jei VVĮ buvo išsikėlusi mažesnę nei Vyriausybės patvirtinta siektinos vidutinės metinės nuosavo kapitalo grąžos 2019-2021 m. ROE vertę</w:t>
      </w:r>
      <w:r w:rsidR="00976755">
        <w:rPr>
          <w:rFonts w:cs="Segoe UI"/>
          <w:bCs/>
          <w:color w:val="000000"/>
          <w:szCs w:val="18"/>
          <w:lang w:val="lt-LT"/>
        </w:rPr>
        <w:t xml:space="preserve"> iš ūkinės komercinės veiklos</w:t>
      </w:r>
      <w:r w:rsidR="00D239F1">
        <w:rPr>
          <w:rFonts w:cs="Segoe UI"/>
          <w:bCs/>
          <w:color w:val="000000"/>
          <w:szCs w:val="18"/>
          <w:lang w:val="lt-LT"/>
        </w:rPr>
        <w:t>, VKC faktinį įvykdymą vertino vadovau</w:t>
      </w:r>
      <w:r w:rsidR="008558D2">
        <w:rPr>
          <w:rFonts w:cs="Segoe UI"/>
          <w:bCs/>
          <w:color w:val="000000"/>
          <w:szCs w:val="18"/>
          <w:lang w:val="lt-LT"/>
        </w:rPr>
        <w:t>jantis</w:t>
      </w:r>
      <w:r w:rsidR="00D239F1">
        <w:rPr>
          <w:rFonts w:cs="Segoe UI"/>
          <w:bCs/>
          <w:color w:val="000000"/>
          <w:szCs w:val="18"/>
          <w:lang w:val="lt-LT"/>
        </w:rPr>
        <w:t xml:space="preserve"> būtent Vyriausybės </w:t>
      </w:r>
      <w:r w:rsidR="008558D2">
        <w:rPr>
          <w:rFonts w:cs="Segoe UI"/>
          <w:bCs/>
          <w:color w:val="000000"/>
          <w:szCs w:val="18"/>
          <w:lang w:val="lt-LT"/>
        </w:rPr>
        <w:t>patvirtintais</w:t>
      </w:r>
      <w:r w:rsidR="00D239F1">
        <w:rPr>
          <w:rFonts w:cs="Segoe UI"/>
          <w:bCs/>
          <w:color w:val="000000"/>
          <w:szCs w:val="18"/>
          <w:lang w:val="lt-LT"/>
        </w:rPr>
        <w:t xml:space="preserve"> dydžiais, </w:t>
      </w:r>
      <w:proofErr w:type="spellStart"/>
      <w:r w:rsidR="00D239F1">
        <w:rPr>
          <w:rFonts w:cs="Segoe UI"/>
          <w:bCs/>
          <w:color w:val="000000"/>
          <w:szCs w:val="18"/>
          <w:lang w:val="lt-LT"/>
        </w:rPr>
        <w:t>t.y</w:t>
      </w:r>
      <w:proofErr w:type="spellEnd"/>
      <w:r w:rsidR="00D239F1">
        <w:rPr>
          <w:rFonts w:cs="Segoe UI"/>
          <w:bCs/>
          <w:color w:val="000000"/>
          <w:szCs w:val="18"/>
          <w:lang w:val="lt-LT"/>
        </w:rPr>
        <w:t>. apskaičiavo vidutinę metinę ROE 2019-2020 m.</w:t>
      </w:r>
      <w:r w:rsidR="00827FEA">
        <w:rPr>
          <w:rFonts w:cs="Segoe UI"/>
          <w:bCs/>
          <w:color w:val="000000"/>
          <w:szCs w:val="18"/>
          <w:lang w:val="lt-LT"/>
        </w:rPr>
        <w:t xml:space="preserve"> iš ūkinės komercinės veiklos (eliminuojant specialiųjų įpareigojimų įtaką)</w:t>
      </w:r>
      <w:r w:rsidR="008558D2">
        <w:rPr>
          <w:rFonts w:cs="Segoe UI"/>
          <w:bCs/>
          <w:color w:val="000000"/>
          <w:szCs w:val="18"/>
          <w:lang w:val="lt-LT"/>
        </w:rPr>
        <w:t xml:space="preserve"> ir lygino su Lietuvos Respublikos Vyriausybės 2019 m. sausio 9 d. nutarimu Nr. 12.</w:t>
      </w:r>
      <w:r w:rsidR="00976755">
        <w:rPr>
          <w:rFonts w:cs="Segoe UI"/>
          <w:bCs/>
          <w:color w:val="000000"/>
          <w:szCs w:val="18"/>
          <w:lang w:val="lt-LT"/>
        </w:rPr>
        <w:t xml:space="preserve"> </w:t>
      </w:r>
    </w:p>
    <w:p w14:paraId="1239676A" w14:textId="64368478" w:rsidR="001A58FC" w:rsidRDefault="008A13AB" w:rsidP="00971F42">
      <w:pPr>
        <w:shd w:val="clear" w:color="auto" w:fill="FFFFFF"/>
        <w:spacing w:after="0"/>
        <w:ind w:firstLine="426"/>
        <w:jc w:val="both"/>
        <w:rPr>
          <w:rFonts w:cs="Segoe UI"/>
          <w:bCs/>
          <w:color w:val="000000"/>
          <w:szCs w:val="18"/>
          <w:lang w:val="lt-LT"/>
        </w:rPr>
      </w:pPr>
      <w:r>
        <w:rPr>
          <w:rFonts w:cs="Segoe UI"/>
          <w:bCs/>
          <w:color w:val="000000"/>
          <w:szCs w:val="18"/>
          <w:lang w:val="lt-LT"/>
        </w:rPr>
        <w:t>Kiekvienas dimensijos kriterijus vertinamas 0-2 balų skalėje, vadovaujantis vertinimo metodologijos priedu – detalia instrukcija, siekiant išvengti subjektyvumo arba laisvo interpretavimo.</w:t>
      </w:r>
      <w:r w:rsidR="001A58FC">
        <w:rPr>
          <w:rFonts w:cs="Segoe UI"/>
          <w:bCs/>
          <w:color w:val="000000"/>
          <w:szCs w:val="18"/>
          <w:lang w:val="lt-LT"/>
        </w:rPr>
        <w:t xml:space="preserve"> </w:t>
      </w:r>
    </w:p>
    <w:p w14:paraId="08C9B937" w14:textId="73580FAD" w:rsidR="00211FD7" w:rsidRDefault="00211FD7" w:rsidP="008F09B0">
      <w:pPr>
        <w:shd w:val="clear" w:color="auto" w:fill="FFFFFF"/>
        <w:spacing w:after="0"/>
        <w:jc w:val="both"/>
        <w:rPr>
          <w:lang w:val="lt-LT"/>
        </w:rPr>
      </w:pPr>
    </w:p>
    <w:tbl>
      <w:tblPr>
        <w:tblW w:w="10620" w:type="dxa"/>
        <w:tblLook w:val="04A0" w:firstRow="1" w:lastRow="0" w:firstColumn="1" w:lastColumn="0" w:noHBand="0" w:noVBand="1"/>
      </w:tblPr>
      <w:tblGrid>
        <w:gridCol w:w="2620"/>
        <w:gridCol w:w="3040"/>
        <w:gridCol w:w="4960"/>
      </w:tblGrid>
      <w:tr w:rsidR="0088211E" w:rsidRPr="0088211E" w14:paraId="51EBE1EF" w14:textId="77777777" w:rsidTr="0088211E">
        <w:trPr>
          <w:trHeight w:val="408"/>
        </w:trPr>
        <w:tc>
          <w:tcPr>
            <w:tcW w:w="2620" w:type="dxa"/>
            <w:tcBorders>
              <w:top w:val="nil"/>
              <w:left w:val="nil"/>
              <w:bottom w:val="nil"/>
              <w:right w:val="nil"/>
            </w:tcBorders>
            <w:shd w:val="clear" w:color="auto" w:fill="DDD9C3" w:themeFill="background2" w:themeFillShade="E6"/>
            <w:vAlign w:val="center"/>
            <w:hideMark/>
          </w:tcPr>
          <w:p w14:paraId="299CA98E" w14:textId="77777777" w:rsidR="0088211E" w:rsidRPr="0088211E" w:rsidRDefault="0088211E" w:rsidP="0088211E">
            <w:pPr>
              <w:spacing w:after="0" w:line="240" w:lineRule="auto"/>
              <w:jc w:val="center"/>
              <w:rPr>
                <w:rFonts w:ascii="Segoe Ul" w:eastAsia="Times New Roman" w:hAnsi="Segoe Ul" w:cs="Calibri"/>
                <w:b/>
                <w:bCs/>
                <w:color w:val="000000"/>
                <w:sz w:val="16"/>
                <w:szCs w:val="16"/>
                <w:lang w:val="lt-LT" w:eastAsia="lt-LT"/>
              </w:rPr>
            </w:pPr>
            <w:r w:rsidRPr="0088211E">
              <w:rPr>
                <w:rFonts w:ascii="Segoe Ul" w:eastAsia="Times New Roman" w:hAnsi="Segoe Ul" w:cs="Calibri"/>
                <w:b/>
                <w:bCs/>
                <w:color w:val="000000"/>
                <w:sz w:val="16"/>
                <w:szCs w:val="16"/>
                <w:lang w:val="lt-LT" w:eastAsia="lt-LT"/>
              </w:rPr>
              <w:t>Vertinimo dimensijos ir kriterijai</w:t>
            </w:r>
          </w:p>
        </w:tc>
        <w:tc>
          <w:tcPr>
            <w:tcW w:w="3040" w:type="dxa"/>
            <w:tcBorders>
              <w:top w:val="nil"/>
              <w:left w:val="nil"/>
              <w:bottom w:val="nil"/>
              <w:right w:val="nil"/>
            </w:tcBorders>
            <w:shd w:val="clear" w:color="auto" w:fill="DDD9C3" w:themeFill="background2" w:themeFillShade="E6"/>
            <w:vAlign w:val="center"/>
            <w:hideMark/>
          </w:tcPr>
          <w:p w14:paraId="7A2163E1" w14:textId="77777777" w:rsidR="0088211E" w:rsidRPr="0088211E" w:rsidRDefault="0088211E" w:rsidP="0088211E">
            <w:pPr>
              <w:spacing w:after="0" w:line="240" w:lineRule="auto"/>
              <w:jc w:val="center"/>
              <w:rPr>
                <w:rFonts w:ascii="Segoe Ul" w:eastAsia="Times New Roman" w:hAnsi="Segoe Ul" w:cs="Calibri"/>
                <w:b/>
                <w:bCs/>
                <w:color w:val="000000"/>
                <w:sz w:val="16"/>
                <w:szCs w:val="16"/>
                <w:lang w:val="lt-LT" w:eastAsia="lt-LT"/>
              </w:rPr>
            </w:pPr>
            <w:r w:rsidRPr="0088211E">
              <w:rPr>
                <w:rFonts w:ascii="Segoe Ul" w:eastAsia="Times New Roman" w:hAnsi="Segoe Ul" w:cs="Calibri"/>
                <w:b/>
                <w:bCs/>
                <w:color w:val="000000"/>
                <w:sz w:val="16"/>
                <w:szCs w:val="16"/>
                <w:lang w:val="lt-LT" w:eastAsia="lt-LT"/>
              </w:rPr>
              <w:t>Vertinimo metodika</w:t>
            </w:r>
          </w:p>
        </w:tc>
        <w:tc>
          <w:tcPr>
            <w:tcW w:w="4960" w:type="dxa"/>
            <w:tcBorders>
              <w:top w:val="nil"/>
              <w:left w:val="nil"/>
              <w:bottom w:val="nil"/>
              <w:right w:val="nil"/>
            </w:tcBorders>
            <w:shd w:val="clear" w:color="auto" w:fill="DDD9C3" w:themeFill="background2" w:themeFillShade="E6"/>
            <w:vAlign w:val="center"/>
            <w:hideMark/>
          </w:tcPr>
          <w:p w14:paraId="6E01B0E3" w14:textId="77777777" w:rsidR="0088211E" w:rsidRPr="0088211E" w:rsidRDefault="0088211E" w:rsidP="0088211E">
            <w:pPr>
              <w:spacing w:after="0" w:line="240" w:lineRule="auto"/>
              <w:jc w:val="center"/>
              <w:rPr>
                <w:rFonts w:ascii="Segoe Ul" w:eastAsia="Times New Roman" w:hAnsi="Segoe Ul" w:cs="Calibri"/>
                <w:b/>
                <w:bCs/>
                <w:color w:val="000000"/>
                <w:sz w:val="16"/>
                <w:szCs w:val="16"/>
                <w:lang w:val="lt-LT" w:eastAsia="lt-LT"/>
              </w:rPr>
            </w:pPr>
            <w:r w:rsidRPr="0088211E">
              <w:rPr>
                <w:rFonts w:ascii="Segoe Ul" w:eastAsia="Times New Roman" w:hAnsi="Segoe Ul" w:cs="Calibri"/>
                <w:b/>
                <w:bCs/>
                <w:color w:val="000000"/>
                <w:sz w:val="16"/>
                <w:szCs w:val="16"/>
                <w:lang w:val="lt-LT" w:eastAsia="lt-LT"/>
              </w:rPr>
              <w:t>Vertinimo instrukcija</w:t>
            </w:r>
          </w:p>
        </w:tc>
      </w:tr>
      <w:tr w:rsidR="0088211E" w:rsidRPr="0088211E" w14:paraId="6E81D941" w14:textId="77777777" w:rsidTr="0088211E">
        <w:trPr>
          <w:trHeight w:val="204"/>
        </w:trPr>
        <w:tc>
          <w:tcPr>
            <w:tcW w:w="2620" w:type="dxa"/>
            <w:tcBorders>
              <w:top w:val="nil"/>
              <w:left w:val="nil"/>
              <w:right w:val="nil"/>
            </w:tcBorders>
            <w:shd w:val="clear" w:color="auto" w:fill="auto"/>
            <w:vAlign w:val="center"/>
            <w:hideMark/>
          </w:tcPr>
          <w:p w14:paraId="61477633" w14:textId="77777777" w:rsidR="0088211E" w:rsidRPr="0088211E" w:rsidRDefault="0088211E" w:rsidP="0088211E">
            <w:pPr>
              <w:spacing w:after="0" w:line="240" w:lineRule="auto"/>
              <w:jc w:val="center"/>
              <w:rPr>
                <w:rFonts w:ascii="Segoe Ul" w:eastAsia="Times New Roman" w:hAnsi="Segoe Ul" w:cs="Calibri"/>
                <w:b/>
                <w:bCs/>
                <w:color w:val="000000"/>
                <w:sz w:val="16"/>
                <w:szCs w:val="16"/>
                <w:lang w:val="lt-LT" w:eastAsia="lt-LT"/>
              </w:rPr>
            </w:pPr>
          </w:p>
        </w:tc>
        <w:tc>
          <w:tcPr>
            <w:tcW w:w="3040" w:type="dxa"/>
            <w:tcBorders>
              <w:top w:val="nil"/>
              <w:left w:val="nil"/>
              <w:right w:val="nil"/>
            </w:tcBorders>
            <w:shd w:val="clear" w:color="auto" w:fill="auto"/>
            <w:vAlign w:val="center"/>
            <w:hideMark/>
          </w:tcPr>
          <w:p w14:paraId="0D8E5D58" w14:textId="77777777" w:rsidR="0088211E" w:rsidRPr="0088211E" w:rsidRDefault="0088211E" w:rsidP="0088211E">
            <w:pPr>
              <w:spacing w:after="0" w:line="240" w:lineRule="auto"/>
              <w:rPr>
                <w:rFonts w:ascii="Times New Roman" w:eastAsia="Times New Roman" w:hAnsi="Times New Roman" w:cs="Times New Roman"/>
                <w:sz w:val="20"/>
                <w:szCs w:val="20"/>
                <w:lang w:val="lt-LT" w:eastAsia="lt-LT"/>
              </w:rPr>
            </w:pPr>
          </w:p>
        </w:tc>
        <w:tc>
          <w:tcPr>
            <w:tcW w:w="4960" w:type="dxa"/>
            <w:tcBorders>
              <w:top w:val="nil"/>
              <w:left w:val="nil"/>
              <w:right w:val="nil"/>
            </w:tcBorders>
            <w:shd w:val="clear" w:color="auto" w:fill="auto"/>
            <w:vAlign w:val="center"/>
            <w:hideMark/>
          </w:tcPr>
          <w:p w14:paraId="299FB224" w14:textId="77777777" w:rsidR="0088211E" w:rsidRPr="0088211E" w:rsidRDefault="0088211E" w:rsidP="0088211E">
            <w:pPr>
              <w:spacing w:after="0" w:line="240" w:lineRule="auto"/>
              <w:jc w:val="center"/>
              <w:rPr>
                <w:rFonts w:ascii="Times New Roman" w:eastAsia="Times New Roman" w:hAnsi="Times New Roman" w:cs="Times New Roman"/>
                <w:sz w:val="20"/>
                <w:szCs w:val="20"/>
                <w:lang w:val="lt-LT" w:eastAsia="lt-LT"/>
              </w:rPr>
            </w:pPr>
          </w:p>
        </w:tc>
      </w:tr>
      <w:tr w:rsidR="0088211E" w:rsidRPr="0088211E" w14:paraId="3CF09953" w14:textId="77777777" w:rsidTr="008821BF">
        <w:trPr>
          <w:trHeight w:val="456"/>
        </w:trPr>
        <w:tc>
          <w:tcPr>
            <w:tcW w:w="2620" w:type="dxa"/>
            <w:tcBorders>
              <w:top w:val="nil"/>
              <w:left w:val="nil"/>
              <w:bottom w:val="double" w:sz="4" w:space="0" w:color="auto"/>
              <w:right w:val="nil"/>
            </w:tcBorders>
            <w:shd w:val="clear" w:color="auto" w:fill="auto"/>
            <w:vAlign w:val="bottom"/>
            <w:hideMark/>
          </w:tcPr>
          <w:p w14:paraId="06788C13" w14:textId="77777777" w:rsidR="0088211E" w:rsidRPr="0088211E" w:rsidRDefault="0088211E" w:rsidP="0088211E">
            <w:pPr>
              <w:spacing w:after="0" w:line="240" w:lineRule="auto"/>
              <w:rPr>
                <w:rFonts w:eastAsia="Times New Roman" w:cs="Segoe UI"/>
                <w:b/>
                <w:bCs/>
                <w:color w:val="000000"/>
                <w:sz w:val="16"/>
                <w:szCs w:val="16"/>
                <w:lang w:val="lt-LT" w:eastAsia="lt-LT"/>
              </w:rPr>
            </w:pPr>
            <w:r w:rsidRPr="0088211E">
              <w:rPr>
                <w:rFonts w:eastAsia="Times New Roman" w:cs="Segoe UI"/>
                <w:b/>
                <w:bCs/>
                <w:color w:val="000000"/>
                <w:sz w:val="16"/>
                <w:szCs w:val="16"/>
                <w:lang w:val="lt-LT" w:eastAsia="lt-LT"/>
              </w:rPr>
              <w:t>1. Strategijų įgyvendinimo ataskaitos kokybė</w:t>
            </w:r>
          </w:p>
        </w:tc>
        <w:tc>
          <w:tcPr>
            <w:tcW w:w="3040" w:type="dxa"/>
            <w:tcBorders>
              <w:top w:val="nil"/>
              <w:left w:val="nil"/>
              <w:bottom w:val="double" w:sz="4" w:space="0" w:color="auto"/>
              <w:right w:val="nil"/>
            </w:tcBorders>
            <w:shd w:val="clear" w:color="auto" w:fill="auto"/>
            <w:vAlign w:val="center"/>
            <w:hideMark/>
          </w:tcPr>
          <w:p w14:paraId="59A27950" w14:textId="77777777" w:rsidR="0088211E" w:rsidRPr="0088211E" w:rsidRDefault="0088211E" w:rsidP="0088211E">
            <w:pPr>
              <w:spacing w:after="0" w:line="240" w:lineRule="auto"/>
              <w:jc w:val="center"/>
              <w:rPr>
                <w:rFonts w:ascii="Segoe Ul" w:eastAsia="Times New Roman" w:hAnsi="Segoe Ul" w:cs="Calibri"/>
                <w:b/>
                <w:bCs/>
                <w:color w:val="000000"/>
                <w:sz w:val="16"/>
                <w:szCs w:val="16"/>
                <w:lang w:val="lt-LT" w:eastAsia="lt-LT"/>
              </w:rPr>
            </w:pPr>
            <w:r w:rsidRPr="0088211E">
              <w:rPr>
                <w:rFonts w:ascii="Segoe Ul" w:eastAsia="Times New Roman" w:hAnsi="Segoe Ul" w:cs="Calibri"/>
                <w:b/>
                <w:bCs/>
                <w:color w:val="000000"/>
                <w:sz w:val="16"/>
                <w:szCs w:val="16"/>
                <w:lang w:val="lt-LT" w:eastAsia="lt-LT"/>
              </w:rPr>
              <w:t>Visų kriterijų vertinimo balo vidurkis</w:t>
            </w:r>
          </w:p>
        </w:tc>
        <w:tc>
          <w:tcPr>
            <w:tcW w:w="4960" w:type="dxa"/>
            <w:tcBorders>
              <w:top w:val="nil"/>
              <w:left w:val="nil"/>
              <w:bottom w:val="double" w:sz="4" w:space="0" w:color="auto"/>
              <w:right w:val="nil"/>
            </w:tcBorders>
            <w:shd w:val="clear" w:color="auto" w:fill="auto"/>
            <w:vAlign w:val="center"/>
            <w:hideMark/>
          </w:tcPr>
          <w:p w14:paraId="4914C5AF" w14:textId="77777777" w:rsidR="0088211E" w:rsidRPr="0088211E" w:rsidRDefault="0088211E" w:rsidP="0088211E">
            <w:pPr>
              <w:spacing w:after="0" w:line="240" w:lineRule="auto"/>
              <w:jc w:val="center"/>
              <w:rPr>
                <w:rFonts w:ascii="Segoe Ul" w:eastAsia="Times New Roman" w:hAnsi="Segoe Ul" w:cs="Calibri"/>
                <w:b/>
                <w:bCs/>
                <w:color w:val="000000"/>
                <w:sz w:val="16"/>
                <w:szCs w:val="16"/>
                <w:lang w:val="lt-LT" w:eastAsia="lt-LT"/>
              </w:rPr>
            </w:pPr>
            <w:r w:rsidRPr="0088211E">
              <w:rPr>
                <w:rFonts w:ascii="Segoe Ul" w:eastAsia="Times New Roman" w:hAnsi="Segoe Ul" w:cs="Calibri"/>
                <w:b/>
                <w:bCs/>
                <w:color w:val="000000"/>
                <w:sz w:val="16"/>
                <w:szCs w:val="16"/>
                <w:lang w:val="lt-LT" w:eastAsia="lt-LT"/>
              </w:rPr>
              <w:t>0 - 100 proc.</w:t>
            </w:r>
          </w:p>
        </w:tc>
      </w:tr>
      <w:tr w:rsidR="0088211E" w:rsidRPr="0088211E" w14:paraId="10378C80" w14:textId="77777777" w:rsidTr="008821BF">
        <w:trPr>
          <w:trHeight w:val="1596"/>
        </w:trPr>
        <w:tc>
          <w:tcPr>
            <w:tcW w:w="2620" w:type="dxa"/>
            <w:tcBorders>
              <w:top w:val="double" w:sz="4" w:space="0" w:color="auto"/>
              <w:left w:val="nil"/>
              <w:bottom w:val="single" w:sz="4" w:space="0" w:color="auto"/>
              <w:right w:val="nil"/>
            </w:tcBorders>
            <w:shd w:val="clear" w:color="auto" w:fill="auto"/>
            <w:hideMark/>
          </w:tcPr>
          <w:p w14:paraId="7536DB51"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1.1. Ar tinkamai aprašyti vidiniai bei išorės veiksniai, turėję reikšmingos įtakos veiklos rezultatams?</w:t>
            </w:r>
          </w:p>
        </w:tc>
        <w:tc>
          <w:tcPr>
            <w:tcW w:w="3040" w:type="dxa"/>
            <w:tcBorders>
              <w:top w:val="double" w:sz="4" w:space="0" w:color="auto"/>
              <w:left w:val="nil"/>
              <w:bottom w:val="single" w:sz="4" w:space="0" w:color="auto"/>
              <w:right w:val="nil"/>
            </w:tcBorders>
            <w:shd w:val="clear" w:color="auto" w:fill="auto"/>
            <w:hideMark/>
          </w:tcPr>
          <w:p w14:paraId="5488AE48" w14:textId="037CC13A" w:rsidR="0088211E" w:rsidRPr="0088211E" w:rsidRDefault="0088211E" w:rsidP="0088211E">
            <w:pPr>
              <w:spacing w:after="0" w:line="240" w:lineRule="auto"/>
              <w:jc w:val="both"/>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Vertinama, ar veiksniai, reikšmingai įtakoję VVĮ veiklos rezultatus 2020 m. yra tinkamai įvardijami bei aprašyti. Tais atvejais, kai VVĮ veiksnius aprašo ir paaiškina kaip neįgyvendinimo priežastis</w:t>
            </w:r>
            <w:r w:rsidR="003370D0">
              <w:rPr>
                <w:rFonts w:eastAsia="Times New Roman" w:cs="Segoe UI"/>
                <w:color w:val="000000"/>
                <w:sz w:val="16"/>
                <w:szCs w:val="16"/>
                <w:lang w:val="lt-LT" w:eastAsia="lt-LT"/>
              </w:rPr>
              <w:t>.</w:t>
            </w:r>
          </w:p>
        </w:tc>
        <w:tc>
          <w:tcPr>
            <w:tcW w:w="4960" w:type="dxa"/>
            <w:tcBorders>
              <w:top w:val="double" w:sz="4" w:space="0" w:color="auto"/>
              <w:left w:val="nil"/>
              <w:bottom w:val="single" w:sz="4" w:space="0" w:color="auto"/>
              <w:right w:val="nil"/>
            </w:tcBorders>
            <w:shd w:val="clear" w:color="auto" w:fill="auto"/>
            <w:hideMark/>
          </w:tcPr>
          <w:p w14:paraId="1A92E3BD" w14:textId="77777777" w:rsidR="0088211E" w:rsidRPr="0088211E" w:rsidRDefault="0088211E" w:rsidP="0088211E">
            <w:pPr>
              <w:spacing w:after="0" w:line="240" w:lineRule="auto"/>
              <w:jc w:val="center"/>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2 balai – pilnai ir tinkamai pateikta; 1 balas – pateikta nepilnai (akivaizdu, jog įtakojo ir daugiau veiksnių), arba itin lakoniškai; 0 balų – nepateikta.</w:t>
            </w:r>
          </w:p>
        </w:tc>
      </w:tr>
      <w:tr w:rsidR="0088211E" w:rsidRPr="0088211E" w14:paraId="7DA703EA" w14:textId="77777777" w:rsidTr="008821BF">
        <w:trPr>
          <w:trHeight w:val="1140"/>
        </w:trPr>
        <w:tc>
          <w:tcPr>
            <w:tcW w:w="2620" w:type="dxa"/>
            <w:tcBorders>
              <w:top w:val="single" w:sz="4" w:space="0" w:color="auto"/>
              <w:left w:val="nil"/>
              <w:bottom w:val="single" w:sz="4" w:space="0" w:color="auto"/>
              <w:right w:val="nil"/>
            </w:tcBorders>
            <w:shd w:val="clear" w:color="auto" w:fill="auto"/>
            <w:hideMark/>
          </w:tcPr>
          <w:p w14:paraId="3E15BEE0"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 xml:space="preserve">1.2. </w:t>
            </w:r>
            <w:r w:rsidRPr="0088211E">
              <w:rPr>
                <w:rFonts w:eastAsia="Times New Roman" w:cs="Segoe UI"/>
                <w:color w:val="000000"/>
                <w:szCs w:val="18"/>
                <w:lang w:val="lt-LT" w:eastAsia="lt-LT"/>
              </w:rPr>
              <w:t xml:space="preserve"> </w:t>
            </w:r>
            <w:r w:rsidRPr="0088211E">
              <w:rPr>
                <w:rFonts w:eastAsia="Times New Roman" w:cs="Segoe UI"/>
                <w:color w:val="000000"/>
                <w:sz w:val="16"/>
                <w:szCs w:val="16"/>
                <w:lang w:val="lt-LT" w:eastAsia="lt-LT"/>
              </w:rPr>
              <w:t>Ar tinkama ir aiški strateginių tikslų ir uždavinių struktūra?</w:t>
            </w:r>
          </w:p>
        </w:tc>
        <w:tc>
          <w:tcPr>
            <w:tcW w:w="3040" w:type="dxa"/>
            <w:tcBorders>
              <w:top w:val="single" w:sz="4" w:space="0" w:color="auto"/>
              <w:left w:val="nil"/>
              <w:bottom w:val="single" w:sz="4" w:space="0" w:color="auto"/>
              <w:right w:val="nil"/>
            </w:tcBorders>
            <w:shd w:val="clear" w:color="auto" w:fill="auto"/>
            <w:hideMark/>
          </w:tcPr>
          <w:p w14:paraId="63486FF0" w14:textId="77777777" w:rsidR="0088211E" w:rsidRPr="0088211E" w:rsidRDefault="0088211E" w:rsidP="0088211E">
            <w:pPr>
              <w:spacing w:after="0" w:line="240" w:lineRule="auto"/>
              <w:jc w:val="both"/>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Vertinama, ar aiški tikslų bei uždavinių žemėlapio struktūra bei tikslų/ uždavinių hierarchija.</w:t>
            </w:r>
          </w:p>
        </w:tc>
        <w:tc>
          <w:tcPr>
            <w:tcW w:w="4960" w:type="dxa"/>
            <w:tcBorders>
              <w:top w:val="single" w:sz="4" w:space="0" w:color="auto"/>
              <w:left w:val="nil"/>
              <w:bottom w:val="single" w:sz="4" w:space="0" w:color="auto"/>
              <w:right w:val="nil"/>
            </w:tcBorders>
            <w:shd w:val="clear" w:color="auto" w:fill="auto"/>
            <w:hideMark/>
          </w:tcPr>
          <w:p w14:paraId="6CFB3ED9" w14:textId="77777777" w:rsidR="0088211E" w:rsidRPr="0088211E" w:rsidRDefault="0088211E" w:rsidP="0088211E">
            <w:pPr>
              <w:spacing w:after="0" w:line="240" w:lineRule="auto"/>
              <w:jc w:val="center"/>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2 balai – aiški struktūra, absoliuti dauguma strateginių tikslų turi keliamus uždavinius; 1 balas – struktūra aiški, tačiau dalis strateginių tikslų neturi priskirtų uždavinių; 0 balų – struktūra padrika/ neaiški</w:t>
            </w:r>
          </w:p>
        </w:tc>
      </w:tr>
      <w:tr w:rsidR="0088211E" w:rsidRPr="0088211E" w14:paraId="215B6DE2" w14:textId="77777777" w:rsidTr="008821BF">
        <w:trPr>
          <w:trHeight w:val="1368"/>
        </w:trPr>
        <w:tc>
          <w:tcPr>
            <w:tcW w:w="2620" w:type="dxa"/>
            <w:tcBorders>
              <w:top w:val="single" w:sz="4" w:space="0" w:color="auto"/>
              <w:left w:val="nil"/>
              <w:bottom w:val="single" w:sz="4" w:space="0" w:color="auto"/>
              <w:right w:val="nil"/>
            </w:tcBorders>
            <w:shd w:val="clear" w:color="auto" w:fill="auto"/>
            <w:hideMark/>
          </w:tcPr>
          <w:p w14:paraId="0B4E163B"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1.3. Ar nurodyti finansiniai ir nefinansiniai tikslai bei uždaviniai sutampa su įvardijamais patvirtintoje strategijoje?</w:t>
            </w:r>
          </w:p>
        </w:tc>
        <w:tc>
          <w:tcPr>
            <w:tcW w:w="3040" w:type="dxa"/>
            <w:tcBorders>
              <w:top w:val="single" w:sz="4" w:space="0" w:color="auto"/>
              <w:left w:val="nil"/>
              <w:bottom w:val="single" w:sz="4" w:space="0" w:color="auto"/>
              <w:right w:val="nil"/>
            </w:tcBorders>
            <w:shd w:val="clear" w:color="auto" w:fill="auto"/>
            <w:hideMark/>
          </w:tcPr>
          <w:p w14:paraId="4DB79067" w14:textId="77777777" w:rsidR="0088211E" w:rsidRPr="0088211E" w:rsidRDefault="0088211E" w:rsidP="0088211E">
            <w:pPr>
              <w:spacing w:after="0" w:line="240" w:lineRule="auto"/>
              <w:jc w:val="both"/>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Tikslas įsitikinti, jog vadovaujamasi patvirtinta ir VKC pateikta strategine veiklos ataskaita, metų bėgyje nekeičiant sunkiai vykdomų rodiklių (išimtis - jei daryti pakeitimai patvirtinti ir pateikti VKC).</w:t>
            </w:r>
          </w:p>
        </w:tc>
        <w:tc>
          <w:tcPr>
            <w:tcW w:w="4960" w:type="dxa"/>
            <w:tcBorders>
              <w:top w:val="single" w:sz="4" w:space="0" w:color="auto"/>
              <w:left w:val="nil"/>
              <w:bottom w:val="single" w:sz="4" w:space="0" w:color="auto"/>
              <w:right w:val="nil"/>
            </w:tcBorders>
            <w:shd w:val="clear" w:color="auto" w:fill="auto"/>
            <w:hideMark/>
          </w:tcPr>
          <w:p w14:paraId="162B9763" w14:textId="77777777" w:rsidR="0088211E" w:rsidRPr="0088211E" w:rsidRDefault="0088211E" w:rsidP="0088211E">
            <w:pPr>
              <w:spacing w:after="0" w:line="240" w:lineRule="auto"/>
              <w:jc w:val="center"/>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2 balai - absoliučiai sutampa; 1 balas - mažiausiai 2/3 sutampa; 0 balo -  daugiau kaip 1/2 nesutampa</w:t>
            </w:r>
          </w:p>
        </w:tc>
      </w:tr>
      <w:tr w:rsidR="0088211E" w:rsidRPr="0088211E" w14:paraId="4324C698" w14:textId="77777777" w:rsidTr="008821BF">
        <w:trPr>
          <w:trHeight w:val="1596"/>
        </w:trPr>
        <w:tc>
          <w:tcPr>
            <w:tcW w:w="2620" w:type="dxa"/>
            <w:tcBorders>
              <w:top w:val="single" w:sz="4" w:space="0" w:color="auto"/>
              <w:left w:val="nil"/>
              <w:bottom w:val="single" w:sz="4" w:space="0" w:color="auto"/>
              <w:right w:val="nil"/>
            </w:tcBorders>
            <w:shd w:val="clear" w:color="auto" w:fill="auto"/>
            <w:hideMark/>
          </w:tcPr>
          <w:p w14:paraId="4B93446D"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1.4. Ar pateiktos strateginių tikslų ir uždavinių neįvykdymo priežastys?</w:t>
            </w:r>
          </w:p>
        </w:tc>
        <w:tc>
          <w:tcPr>
            <w:tcW w:w="3040" w:type="dxa"/>
            <w:tcBorders>
              <w:top w:val="single" w:sz="4" w:space="0" w:color="auto"/>
              <w:left w:val="nil"/>
              <w:bottom w:val="single" w:sz="4" w:space="0" w:color="auto"/>
              <w:right w:val="nil"/>
            </w:tcBorders>
            <w:shd w:val="clear" w:color="auto" w:fill="auto"/>
            <w:hideMark/>
          </w:tcPr>
          <w:p w14:paraId="6BB4F4D1" w14:textId="77777777" w:rsidR="0088211E" w:rsidRPr="0088211E" w:rsidRDefault="0088211E" w:rsidP="0088211E">
            <w:pPr>
              <w:spacing w:after="0" w:line="240" w:lineRule="auto"/>
              <w:jc w:val="both"/>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Vertinama, ar nesėkmės priežastys pateiktos taip, jog yra visiškai aišku kodėl nepavyko įgyvendinti vieno ar kito rodiklio.</w:t>
            </w:r>
          </w:p>
        </w:tc>
        <w:tc>
          <w:tcPr>
            <w:tcW w:w="4960" w:type="dxa"/>
            <w:tcBorders>
              <w:top w:val="single" w:sz="4" w:space="0" w:color="auto"/>
              <w:left w:val="nil"/>
              <w:bottom w:val="single" w:sz="4" w:space="0" w:color="auto"/>
              <w:right w:val="nil"/>
            </w:tcBorders>
            <w:shd w:val="clear" w:color="auto" w:fill="auto"/>
            <w:hideMark/>
          </w:tcPr>
          <w:p w14:paraId="1820F35C" w14:textId="74774C3C" w:rsidR="0088211E" w:rsidRPr="0088211E" w:rsidRDefault="0088211E" w:rsidP="0088211E">
            <w:pPr>
              <w:spacing w:after="0" w:line="240" w:lineRule="auto"/>
              <w:jc w:val="center"/>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 xml:space="preserve">2 balai - priežastys pateiktos visiems </w:t>
            </w:r>
            <w:r w:rsidR="00040B7D" w:rsidRPr="0088211E">
              <w:rPr>
                <w:rFonts w:eastAsia="Times New Roman" w:cs="Segoe UI"/>
                <w:color w:val="000000"/>
                <w:sz w:val="16"/>
                <w:szCs w:val="16"/>
                <w:lang w:val="lt-LT" w:eastAsia="lt-LT"/>
              </w:rPr>
              <w:t>neįgyvendintiems</w:t>
            </w:r>
            <w:r w:rsidRPr="0088211E">
              <w:rPr>
                <w:rFonts w:eastAsia="Times New Roman" w:cs="Segoe UI"/>
                <w:color w:val="000000"/>
                <w:sz w:val="16"/>
                <w:szCs w:val="16"/>
                <w:lang w:val="lt-LT" w:eastAsia="lt-LT"/>
              </w:rPr>
              <w:t xml:space="preserve"> rodikliams, aiškios ir logiškos; 1 balas - pateiktos, tačiau ne visiems atvejams ir/arba dalinai (ne viskas aišku); 0 balo - nepateiktos arba pateiktos netinkamai (neįmanoma suprasti tikrųjų priežasčių ir pan.); nevertinama - jei įgyvendinti visi tikslai ir uždaviniai.</w:t>
            </w:r>
          </w:p>
        </w:tc>
      </w:tr>
      <w:tr w:rsidR="0088211E" w:rsidRPr="0088211E" w14:paraId="2A8AF0A1" w14:textId="77777777" w:rsidTr="008821BF">
        <w:trPr>
          <w:trHeight w:val="684"/>
        </w:trPr>
        <w:tc>
          <w:tcPr>
            <w:tcW w:w="2620" w:type="dxa"/>
            <w:tcBorders>
              <w:top w:val="single" w:sz="4" w:space="0" w:color="auto"/>
              <w:left w:val="nil"/>
              <w:bottom w:val="double" w:sz="4" w:space="0" w:color="auto"/>
              <w:right w:val="nil"/>
            </w:tcBorders>
            <w:shd w:val="clear" w:color="auto" w:fill="auto"/>
            <w:vAlign w:val="bottom"/>
            <w:hideMark/>
          </w:tcPr>
          <w:p w14:paraId="74E39B91" w14:textId="77777777" w:rsidR="0088211E" w:rsidRPr="0088211E" w:rsidRDefault="0088211E" w:rsidP="0088211E">
            <w:pPr>
              <w:spacing w:after="0" w:line="240" w:lineRule="auto"/>
              <w:rPr>
                <w:rFonts w:eastAsia="Times New Roman" w:cs="Segoe UI"/>
                <w:b/>
                <w:bCs/>
                <w:color w:val="000000"/>
                <w:sz w:val="16"/>
                <w:szCs w:val="16"/>
                <w:lang w:val="lt-LT" w:eastAsia="lt-LT"/>
              </w:rPr>
            </w:pPr>
            <w:r w:rsidRPr="0088211E">
              <w:rPr>
                <w:rFonts w:eastAsia="Times New Roman" w:cs="Segoe UI"/>
                <w:b/>
                <w:bCs/>
                <w:color w:val="000000"/>
                <w:sz w:val="16"/>
                <w:szCs w:val="16"/>
                <w:lang w:val="lt-LT" w:eastAsia="lt-LT"/>
              </w:rPr>
              <w:t>2. Tinkamas finansinio akcininko lūkesčio pelningumui atspindėjimas ir įgyvendinimas</w:t>
            </w:r>
          </w:p>
        </w:tc>
        <w:tc>
          <w:tcPr>
            <w:tcW w:w="3040" w:type="dxa"/>
            <w:tcBorders>
              <w:top w:val="single" w:sz="4" w:space="0" w:color="auto"/>
              <w:left w:val="nil"/>
              <w:bottom w:val="double" w:sz="4" w:space="0" w:color="auto"/>
              <w:right w:val="nil"/>
            </w:tcBorders>
            <w:shd w:val="clear" w:color="auto" w:fill="auto"/>
            <w:vAlign w:val="center"/>
            <w:hideMark/>
          </w:tcPr>
          <w:p w14:paraId="5AD40E86" w14:textId="77777777" w:rsidR="0088211E" w:rsidRPr="0088211E" w:rsidRDefault="0088211E" w:rsidP="0088211E">
            <w:pPr>
              <w:spacing w:after="0" w:line="240" w:lineRule="auto"/>
              <w:jc w:val="center"/>
              <w:rPr>
                <w:rFonts w:ascii="Segoe Ul" w:eastAsia="Times New Roman" w:hAnsi="Segoe Ul" w:cs="Calibri"/>
                <w:b/>
                <w:bCs/>
                <w:color w:val="000000"/>
                <w:sz w:val="16"/>
                <w:szCs w:val="16"/>
                <w:lang w:val="lt-LT" w:eastAsia="lt-LT"/>
              </w:rPr>
            </w:pPr>
            <w:r w:rsidRPr="0088211E">
              <w:rPr>
                <w:rFonts w:ascii="Segoe Ul" w:eastAsia="Times New Roman" w:hAnsi="Segoe Ul" w:cs="Calibri"/>
                <w:b/>
                <w:bCs/>
                <w:color w:val="000000"/>
                <w:sz w:val="16"/>
                <w:szCs w:val="16"/>
                <w:lang w:val="lt-LT" w:eastAsia="lt-LT"/>
              </w:rPr>
              <w:t>Visų kriterijų vertinimo balo vidurkis</w:t>
            </w:r>
          </w:p>
        </w:tc>
        <w:tc>
          <w:tcPr>
            <w:tcW w:w="4960" w:type="dxa"/>
            <w:tcBorders>
              <w:top w:val="single" w:sz="4" w:space="0" w:color="auto"/>
              <w:left w:val="nil"/>
              <w:bottom w:val="double" w:sz="4" w:space="0" w:color="auto"/>
              <w:right w:val="nil"/>
            </w:tcBorders>
            <w:shd w:val="clear" w:color="auto" w:fill="auto"/>
            <w:vAlign w:val="center"/>
            <w:hideMark/>
          </w:tcPr>
          <w:p w14:paraId="143E0678" w14:textId="77777777" w:rsidR="0088211E" w:rsidRPr="0088211E" w:rsidRDefault="0088211E" w:rsidP="0088211E">
            <w:pPr>
              <w:spacing w:after="0" w:line="240" w:lineRule="auto"/>
              <w:jc w:val="center"/>
              <w:rPr>
                <w:rFonts w:ascii="Segoe Ul" w:eastAsia="Times New Roman" w:hAnsi="Segoe Ul" w:cs="Calibri"/>
                <w:b/>
                <w:bCs/>
                <w:color w:val="000000"/>
                <w:sz w:val="16"/>
                <w:szCs w:val="16"/>
                <w:lang w:val="lt-LT" w:eastAsia="lt-LT"/>
              </w:rPr>
            </w:pPr>
            <w:r w:rsidRPr="0088211E">
              <w:rPr>
                <w:rFonts w:ascii="Segoe Ul" w:eastAsia="Times New Roman" w:hAnsi="Segoe Ul" w:cs="Calibri"/>
                <w:b/>
                <w:bCs/>
                <w:color w:val="000000"/>
                <w:sz w:val="16"/>
                <w:szCs w:val="16"/>
                <w:lang w:val="lt-LT" w:eastAsia="lt-LT"/>
              </w:rPr>
              <w:t>0 - 100 proc.</w:t>
            </w:r>
          </w:p>
        </w:tc>
      </w:tr>
      <w:tr w:rsidR="0088211E" w:rsidRPr="0088211E" w14:paraId="57E09BC6" w14:textId="77777777" w:rsidTr="008821BF">
        <w:trPr>
          <w:trHeight w:val="912"/>
        </w:trPr>
        <w:tc>
          <w:tcPr>
            <w:tcW w:w="2620" w:type="dxa"/>
            <w:tcBorders>
              <w:top w:val="double" w:sz="4" w:space="0" w:color="auto"/>
              <w:left w:val="nil"/>
              <w:bottom w:val="single" w:sz="4" w:space="0" w:color="auto"/>
              <w:right w:val="nil"/>
            </w:tcBorders>
            <w:shd w:val="clear" w:color="auto" w:fill="auto"/>
            <w:hideMark/>
          </w:tcPr>
          <w:p w14:paraId="2F3E0B75"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2.1. Ar tinkamai keliamas lūkesčių raštuose nurodytas pelningumo rodiklis (ROE, EBITDA, grynasis pelnas ir pan.)?</w:t>
            </w:r>
          </w:p>
        </w:tc>
        <w:tc>
          <w:tcPr>
            <w:tcW w:w="3040" w:type="dxa"/>
            <w:tcBorders>
              <w:top w:val="double" w:sz="4" w:space="0" w:color="auto"/>
              <w:left w:val="nil"/>
              <w:bottom w:val="single" w:sz="4" w:space="0" w:color="auto"/>
              <w:right w:val="nil"/>
            </w:tcBorders>
            <w:shd w:val="clear" w:color="auto" w:fill="auto"/>
            <w:hideMark/>
          </w:tcPr>
          <w:p w14:paraId="7A4A5F77" w14:textId="77777777" w:rsidR="0088211E" w:rsidRPr="0088211E" w:rsidRDefault="0088211E" w:rsidP="0088211E">
            <w:pPr>
              <w:spacing w:after="0" w:line="240" w:lineRule="auto"/>
              <w:jc w:val="both"/>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Vertinama, ar buvo atsižvelgta į finansinį akcininko lūkestį pelningumui ir kaip tinkamai tai atspindėta strategijoje</w:t>
            </w:r>
          </w:p>
        </w:tc>
        <w:tc>
          <w:tcPr>
            <w:tcW w:w="4960" w:type="dxa"/>
            <w:tcBorders>
              <w:top w:val="double" w:sz="4" w:space="0" w:color="auto"/>
              <w:left w:val="nil"/>
              <w:bottom w:val="single" w:sz="4" w:space="0" w:color="auto"/>
              <w:right w:val="nil"/>
            </w:tcBorders>
            <w:shd w:val="clear" w:color="auto" w:fill="auto"/>
            <w:hideMark/>
          </w:tcPr>
          <w:p w14:paraId="123D61E0"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2 balai -  yra keliamas ir atitinka akcininko lūkestį (</w:t>
            </w:r>
            <w:proofErr w:type="spellStart"/>
            <w:r w:rsidRPr="0088211E">
              <w:rPr>
                <w:rFonts w:ascii="Segoe Ul" w:eastAsia="Times New Roman" w:hAnsi="Segoe Ul" w:cs="Calibri"/>
                <w:color w:val="000000"/>
                <w:sz w:val="16"/>
                <w:szCs w:val="16"/>
                <w:lang w:val="lt-LT" w:eastAsia="lt-LT"/>
              </w:rPr>
              <w:t>t.y</w:t>
            </w:r>
            <w:proofErr w:type="spellEnd"/>
            <w:r w:rsidRPr="0088211E">
              <w:rPr>
                <w:rFonts w:ascii="Segoe Ul" w:eastAsia="Times New Roman" w:hAnsi="Segoe Ul" w:cs="Calibri"/>
                <w:color w:val="000000"/>
                <w:sz w:val="16"/>
                <w:szCs w:val="16"/>
                <w:lang w:val="lt-LT" w:eastAsia="lt-LT"/>
              </w:rPr>
              <w:t>. iškeltas ne mažesnis), 1 balas - rodiklis keliamas, tačiau siektina vertė neatitinka akcininko laukiamos; 0 balo - nėra keliamas visai.</w:t>
            </w:r>
          </w:p>
        </w:tc>
      </w:tr>
      <w:tr w:rsidR="0088211E" w:rsidRPr="0088211E" w14:paraId="40801D59" w14:textId="77777777" w:rsidTr="008821BF">
        <w:trPr>
          <w:trHeight w:val="912"/>
        </w:trPr>
        <w:tc>
          <w:tcPr>
            <w:tcW w:w="2620" w:type="dxa"/>
            <w:tcBorders>
              <w:top w:val="single" w:sz="4" w:space="0" w:color="auto"/>
              <w:left w:val="nil"/>
              <w:bottom w:val="single" w:sz="4" w:space="0" w:color="auto"/>
              <w:right w:val="nil"/>
            </w:tcBorders>
            <w:shd w:val="clear" w:color="auto" w:fill="auto"/>
            <w:hideMark/>
          </w:tcPr>
          <w:p w14:paraId="5EC4ED1E"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lastRenderedPageBreak/>
              <w:t>2.1. Ar įgyvendintas akcininko lūkestis pelningumui?</w:t>
            </w:r>
          </w:p>
        </w:tc>
        <w:tc>
          <w:tcPr>
            <w:tcW w:w="3040" w:type="dxa"/>
            <w:tcBorders>
              <w:top w:val="single" w:sz="4" w:space="0" w:color="auto"/>
              <w:left w:val="nil"/>
              <w:bottom w:val="single" w:sz="4" w:space="0" w:color="auto"/>
              <w:right w:val="nil"/>
            </w:tcBorders>
            <w:shd w:val="clear" w:color="auto" w:fill="auto"/>
            <w:hideMark/>
          </w:tcPr>
          <w:p w14:paraId="43C99135" w14:textId="64C0437C" w:rsidR="0088211E" w:rsidRPr="0088211E" w:rsidRDefault="0088211E" w:rsidP="0088211E">
            <w:pPr>
              <w:spacing w:after="0" w:line="240" w:lineRule="auto"/>
              <w:jc w:val="both"/>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Vertinama, ar pavyko</w:t>
            </w:r>
            <w:r w:rsidR="003370D0">
              <w:rPr>
                <w:rFonts w:eastAsia="Times New Roman" w:cs="Segoe UI"/>
                <w:color w:val="000000"/>
                <w:sz w:val="16"/>
                <w:szCs w:val="16"/>
                <w:lang w:val="lt-LT" w:eastAsia="lt-LT"/>
              </w:rPr>
              <w:t xml:space="preserve"> šį tikslą</w:t>
            </w:r>
            <w:r w:rsidRPr="0088211E">
              <w:rPr>
                <w:rFonts w:eastAsia="Times New Roman" w:cs="Segoe UI"/>
                <w:color w:val="000000"/>
                <w:sz w:val="16"/>
                <w:szCs w:val="16"/>
                <w:lang w:val="lt-LT" w:eastAsia="lt-LT"/>
              </w:rPr>
              <w:t xml:space="preserve"> įgyvendinti. Tais atvejai, kai VVĮ nekėlė tokio tikslo ar uždavinio, tačiau</w:t>
            </w:r>
            <w:r w:rsidR="003370D0">
              <w:rPr>
                <w:rFonts w:eastAsia="Times New Roman" w:cs="Segoe UI"/>
                <w:color w:val="000000"/>
                <w:sz w:val="16"/>
                <w:szCs w:val="16"/>
                <w:lang w:val="lt-LT" w:eastAsia="lt-LT"/>
              </w:rPr>
              <w:t xml:space="preserve"> VVĮ</w:t>
            </w:r>
            <w:r w:rsidRPr="0088211E">
              <w:rPr>
                <w:rFonts w:eastAsia="Times New Roman" w:cs="Segoe UI"/>
                <w:color w:val="000000"/>
                <w:sz w:val="16"/>
                <w:szCs w:val="16"/>
                <w:lang w:val="lt-LT" w:eastAsia="lt-LT"/>
              </w:rPr>
              <w:t xml:space="preserve"> vis tik </w:t>
            </w:r>
            <w:r w:rsidR="003370D0">
              <w:rPr>
                <w:rFonts w:eastAsia="Times New Roman" w:cs="Segoe UI"/>
                <w:color w:val="000000"/>
                <w:sz w:val="16"/>
                <w:szCs w:val="16"/>
                <w:lang w:val="lt-LT" w:eastAsia="lt-LT"/>
              </w:rPr>
              <w:t xml:space="preserve">jį </w:t>
            </w:r>
            <w:r w:rsidRPr="0088211E">
              <w:rPr>
                <w:rFonts w:eastAsia="Times New Roman" w:cs="Segoe UI"/>
                <w:color w:val="000000"/>
                <w:sz w:val="16"/>
                <w:szCs w:val="16"/>
                <w:lang w:val="lt-LT" w:eastAsia="lt-LT"/>
              </w:rPr>
              <w:t>įgyvendino - vertinama teigiamai.</w:t>
            </w:r>
          </w:p>
        </w:tc>
        <w:tc>
          <w:tcPr>
            <w:tcW w:w="4960" w:type="dxa"/>
            <w:tcBorders>
              <w:top w:val="single" w:sz="4" w:space="0" w:color="auto"/>
              <w:left w:val="nil"/>
              <w:bottom w:val="single" w:sz="4" w:space="0" w:color="auto"/>
              <w:right w:val="nil"/>
            </w:tcBorders>
            <w:shd w:val="clear" w:color="auto" w:fill="auto"/>
            <w:hideMark/>
          </w:tcPr>
          <w:p w14:paraId="26D47B04"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1 balas - įgyvendinta ne mažiau kaip 95 proc., 0 balo - įgyvendinta mažiau nei 95 proc.</w:t>
            </w:r>
          </w:p>
        </w:tc>
      </w:tr>
      <w:tr w:rsidR="0088211E" w:rsidRPr="0088211E" w14:paraId="1824F494" w14:textId="77777777" w:rsidTr="008821BF">
        <w:trPr>
          <w:trHeight w:val="456"/>
        </w:trPr>
        <w:tc>
          <w:tcPr>
            <w:tcW w:w="2620" w:type="dxa"/>
            <w:tcBorders>
              <w:top w:val="single" w:sz="4" w:space="0" w:color="auto"/>
              <w:left w:val="nil"/>
              <w:bottom w:val="double" w:sz="4" w:space="0" w:color="auto"/>
              <w:right w:val="nil"/>
            </w:tcBorders>
            <w:shd w:val="clear" w:color="auto" w:fill="auto"/>
            <w:vAlign w:val="bottom"/>
            <w:hideMark/>
          </w:tcPr>
          <w:p w14:paraId="0DF2B175" w14:textId="77777777" w:rsidR="0088211E" w:rsidRPr="0088211E" w:rsidRDefault="0088211E" w:rsidP="0088211E">
            <w:pPr>
              <w:spacing w:after="0" w:line="240" w:lineRule="auto"/>
              <w:rPr>
                <w:rFonts w:eastAsia="Times New Roman" w:cs="Segoe UI"/>
                <w:b/>
                <w:bCs/>
                <w:color w:val="000000"/>
                <w:sz w:val="16"/>
                <w:szCs w:val="16"/>
                <w:lang w:val="lt-LT" w:eastAsia="lt-LT"/>
              </w:rPr>
            </w:pPr>
            <w:r w:rsidRPr="0088211E">
              <w:rPr>
                <w:rFonts w:eastAsia="Times New Roman" w:cs="Segoe UI"/>
                <w:b/>
                <w:bCs/>
                <w:color w:val="000000"/>
                <w:sz w:val="16"/>
                <w:szCs w:val="16"/>
                <w:lang w:val="lt-LT" w:eastAsia="lt-LT"/>
              </w:rPr>
              <w:t>3. Kiti, nei akcininko keliami, finansiniai tikslai ir uždaviniai</w:t>
            </w:r>
          </w:p>
        </w:tc>
        <w:tc>
          <w:tcPr>
            <w:tcW w:w="3040" w:type="dxa"/>
            <w:tcBorders>
              <w:top w:val="single" w:sz="4" w:space="0" w:color="auto"/>
              <w:left w:val="nil"/>
              <w:bottom w:val="double" w:sz="4" w:space="0" w:color="auto"/>
              <w:right w:val="nil"/>
            </w:tcBorders>
            <w:shd w:val="clear" w:color="auto" w:fill="auto"/>
            <w:vAlign w:val="center"/>
            <w:hideMark/>
          </w:tcPr>
          <w:p w14:paraId="328E8BFA" w14:textId="649302FF" w:rsidR="0088211E" w:rsidRPr="0088211E" w:rsidRDefault="0088211E" w:rsidP="0088211E">
            <w:pPr>
              <w:spacing w:after="0" w:line="240" w:lineRule="auto"/>
              <w:rPr>
                <w:rFonts w:eastAsia="Times New Roman" w:cs="Segoe UI"/>
                <w:b/>
                <w:bCs/>
                <w:color w:val="000000"/>
                <w:sz w:val="16"/>
                <w:szCs w:val="16"/>
                <w:lang w:val="lt-LT" w:eastAsia="lt-LT"/>
              </w:rPr>
            </w:pPr>
            <w:r w:rsidRPr="0088211E">
              <w:rPr>
                <w:rFonts w:ascii="Segoe Ul" w:eastAsia="Times New Roman" w:hAnsi="Segoe Ul" w:cs="Calibri"/>
                <w:b/>
                <w:bCs/>
                <w:color w:val="000000"/>
                <w:sz w:val="16"/>
                <w:szCs w:val="16"/>
                <w:lang w:val="lt-LT" w:eastAsia="lt-LT"/>
              </w:rPr>
              <w:t>Visų kriterijų vertinimo balo vidurkis</w:t>
            </w:r>
            <w:r>
              <w:rPr>
                <w:rFonts w:ascii="Segoe Ul" w:eastAsia="Times New Roman" w:hAnsi="Segoe Ul" w:cs="Calibri"/>
                <w:b/>
                <w:bCs/>
                <w:color w:val="000000"/>
                <w:sz w:val="16"/>
                <w:szCs w:val="16"/>
                <w:lang w:val="lt-LT" w:eastAsia="lt-LT"/>
              </w:rPr>
              <w:t>, didžiausią lyginamąjį svorį suteikiant kriterijui 3.4.</w:t>
            </w:r>
          </w:p>
        </w:tc>
        <w:tc>
          <w:tcPr>
            <w:tcW w:w="4960" w:type="dxa"/>
            <w:tcBorders>
              <w:top w:val="single" w:sz="4" w:space="0" w:color="auto"/>
              <w:left w:val="nil"/>
              <w:bottom w:val="double" w:sz="4" w:space="0" w:color="auto"/>
              <w:right w:val="nil"/>
            </w:tcBorders>
            <w:shd w:val="clear" w:color="auto" w:fill="auto"/>
            <w:vAlign w:val="center"/>
            <w:hideMark/>
          </w:tcPr>
          <w:p w14:paraId="219CD1AF" w14:textId="2513EBB7" w:rsidR="0088211E" w:rsidRPr="0088211E" w:rsidRDefault="0088211E" w:rsidP="0088211E">
            <w:pPr>
              <w:spacing w:after="0" w:line="240" w:lineRule="auto"/>
              <w:jc w:val="center"/>
              <w:rPr>
                <w:rFonts w:ascii="Times New Roman" w:eastAsia="Times New Roman" w:hAnsi="Times New Roman" w:cs="Times New Roman"/>
                <w:sz w:val="20"/>
                <w:szCs w:val="20"/>
                <w:lang w:val="lt-LT" w:eastAsia="lt-LT"/>
              </w:rPr>
            </w:pPr>
            <w:r w:rsidRPr="0088211E">
              <w:rPr>
                <w:rFonts w:ascii="Segoe Ul" w:eastAsia="Times New Roman" w:hAnsi="Segoe Ul" w:cs="Calibri"/>
                <w:b/>
                <w:bCs/>
                <w:color w:val="000000"/>
                <w:sz w:val="16"/>
                <w:szCs w:val="16"/>
                <w:lang w:val="lt-LT" w:eastAsia="lt-LT"/>
              </w:rPr>
              <w:t>0 - 100 proc.</w:t>
            </w:r>
          </w:p>
        </w:tc>
      </w:tr>
      <w:tr w:rsidR="0088211E" w:rsidRPr="0088211E" w14:paraId="54AF5F16" w14:textId="77777777" w:rsidTr="008821BF">
        <w:trPr>
          <w:trHeight w:val="1428"/>
        </w:trPr>
        <w:tc>
          <w:tcPr>
            <w:tcW w:w="2620" w:type="dxa"/>
            <w:tcBorders>
              <w:top w:val="double" w:sz="4" w:space="0" w:color="auto"/>
              <w:left w:val="nil"/>
              <w:bottom w:val="single" w:sz="4" w:space="0" w:color="auto"/>
              <w:right w:val="nil"/>
            </w:tcBorders>
            <w:shd w:val="clear" w:color="auto" w:fill="auto"/>
            <w:hideMark/>
          </w:tcPr>
          <w:p w14:paraId="5CC7889D"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3.1. Ar optimali keliamų finansinių tikslų ir uždavinių apimtis?</w:t>
            </w:r>
          </w:p>
        </w:tc>
        <w:tc>
          <w:tcPr>
            <w:tcW w:w="3040" w:type="dxa"/>
            <w:tcBorders>
              <w:top w:val="double" w:sz="4" w:space="0" w:color="auto"/>
              <w:left w:val="nil"/>
              <w:bottom w:val="single" w:sz="4" w:space="0" w:color="auto"/>
              <w:right w:val="nil"/>
            </w:tcBorders>
            <w:shd w:val="clear" w:color="auto" w:fill="auto"/>
            <w:hideMark/>
          </w:tcPr>
          <w:p w14:paraId="6DD0C760" w14:textId="3C5F0C56" w:rsidR="0088211E" w:rsidRPr="0088211E" w:rsidRDefault="0088211E" w:rsidP="0088211E">
            <w:pPr>
              <w:spacing w:after="0" w:line="240" w:lineRule="auto"/>
              <w:jc w:val="both"/>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 xml:space="preserve">Vertinama, ar žemėlapis nebuvo "perkrautas" finansiniais tikslais bei uždaviniais, ar aišku, jog įtraukti svarbiausieji/ ar jų numatyta ne per mažai </w:t>
            </w:r>
            <w:r w:rsidR="004E694F">
              <w:rPr>
                <w:rFonts w:eastAsia="Times New Roman" w:cs="Segoe UI"/>
                <w:color w:val="000000"/>
                <w:sz w:val="16"/>
                <w:szCs w:val="16"/>
                <w:lang w:val="lt-LT" w:eastAsia="lt-LT"/>
              </w:rPr>
              <w:t>(optimalus skaičius – 5-7).</w:t>
            </w:r>
          </w:p>
        </w:tc>
        <w:tc>
          <w:tcPr>
            <w:tcW w:w="4960" w:type="dxa"/>
            <w:tcBorders>
              <w:top w:val="double" w:sz="4" w:space="0" w:color="auto"/>
              <w:left w:val="nil"/>
              <w:bottom w:val="single" w:sz="4" w:space="0" w:color="auto"/>
              <w:right w:val="nil"/>
            </w:tcBorders>
            <w:shd w:val="clear" w:color="auto" w:fill="auto"/>
            <w:hideMark/>
          </w:tcPr>
          <w:p w14:paraId="7D7D8DA1" w14:textId="578D9E45"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2 balai - apimtis atrodo optimali, leidžianti atskirti svarbiausius</w:t>
            </w:r>
            <w:r w:rsidR="004E694F">
              <w:rPr>
                <w:rFonts w:ascii="Segoe Ul" w:eastAsia="Times New Roman" w:hAnsi="Segoe Ul" w:cs="Calibri"/>
                <w:color w:val="000000"/>
                <w:sz w:val="16"/>
                <w:szCs w:val="16"/>
                <w:lang w:val="lt-LT" w:eastAsia="lt-LT"/>
              </w:rPr>
              <w:t xml:space="preserve"> tikslus</w:t>
            </w:r>
            <w:r w:rsidRPr="0088211E">
              <w:rPr>
                <w:rFonts w:ascii="Segoe Ul" w:eastAsia="Times New Roman" w:hAnsi="Segoe Ul" w:cs="Calibri"/>
                <w:color w:val="000000"/>
                <w:sz w:val="16"/>
                <w:szCs w:val="16"/>
                <w:lang w:val="lt-LT" w:eastAsia="lt-LT"/>
              </w:rPr>
              <w:t xml:space="preserve">, atspindi esminę veiklos dalį; 1 balas - </w:t>
            </w:r>
            <w:r w:rsidR="004E694F">
              <w:rPr>
                <w:rFonts w:ascii="Segoe Ul" w:eastAsia="Times New Roman" w:hAnsi="Segoe Ul" w:cs="Calibri"/>
                <w:color w:val="000000"/>
                <w:sz w:val="16"/>
                <w:szCs w:val="16"/>
                <w:lang w:val="lt-LT" w:eastAsia="lt-LT"/>
              </w:rPr>
              <w:t>y</w:t>
            </w:r>
            <w:r w:rsidRPr="0088211E">
              <w:rPr>
                <w:rFonts w:ascii="Segoe Ul" w:eastAsia="Times New Roman" w:hAnsi="Segoe Ul" w:cs="Calibri"/>
                <w:color w:val="000000"/>
                <w:sz w:val="16"/>
                <w:szCs w:val="16"/>
                <w:lang w:val="lt-LT" w:eastAsia="lt-LT"/>
              </w:rPr>
              <w:t xml:space="preserve">ra keliami kiti finansiniai tikslai ir/ar uždaviniai, tačiau akivaizdžiai nepakankami (pvz. neatspindi esminės veiklos dalies/ per mažas skaičius pagal įmonės dydį, ir pan.), 0 balo - nėra keliamas nei vienas kitoks, nei akcininko numatytas, finansinis tikslas ir/ar uždavinys arba jų iškelta </w:t>
            </w:r>
            <w:r w:rsidR="00040B7D" w:rsidRPr="0088211E">
              <w:rPr>
                <w:rFonts w:ascii="Segoe Ul" w:eastAsia="Times New Roman" w:hAnsi="Segoe Ul" w:cs="Calibri"/>
                <w:color w:val="000000"/>
                <w:sz w:val="16"/>
                <w:szCs w:val="16"/>
                <w:lang w:val="lt-LT" w:eastAsia="lt-LT"/>
              </w:rPr>
              <w:t>akivaizdžiai</w:t>
            </w:r>
            <w:r w:rsidRPr="0088211E">
              <w:rPr>
                <w:rFonts w:ascii="Segoe Ul" w:eastAsia="Times New Roman" w:hAnsi="Segoe Ul" w:cs="Calibri"/>
                <w:color w:val="000000"/>
                <w:sz w:val="16"/>
                <w:szCs w:val="16"/>
                <w:lang w:val="lt-LT" w:eastAsia="lt-LT"/>
              </w:rPr>
              <w:t xml:space="preserve"> pernelyg daug</w:t>
            </w:r>
          </w:p>
        </w:tc>
      </w:tr>
      <w:tr w:rsidR="0088211E" w:rsidRPr="0088211E" w14:paraId="57BBA1F9" w14:textId="77777777" w:rsidTr="008821BF">
        <w:trPr>
          <w:trHeight w:val="1020"/>
        </w:trPr>
        <w:tc>
          <w:tcPr>
            <w:tcW w:w="2620" w:type="dxa"/>
            <w:tcBorders>
              <w:top w:val="single" w:sz="4" w:space="0" w:color="auto"/>
              <w:left w:val="nil"/>
              <w:bottom w:val="single" w:sz="4" w:space="0" w:color="auto"/>
              <w:right w:val="nil"/>
            </w:tcBorders>
            <w:shd w:val="clear" w:color="auto" w:fill="auto"/>
            <w:hideMark/>
          </w:tcPr>
          <w:p w14:paraId="66DFA3BC"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 xml:space="preserve">3.2. Ar kokybiški finansinių </w:t>
            </w:r>
            <w:proofErr w:type="spellStart"/>
            <w:r w:rsidRPr="0088211E">
              <w:rPr>
                <w:rFonts w:eastAsia="Times New Roman" w:cs="Segoe UI"/>
                <w:color w:val="000000"/>
                <w:sz w:val="16"/>
                <w:szCs w:val="16"/>
                <w:lang w:val="lt-LT" w:eastAsia="lt-LT"/>
              </w:rPr>
              <w:t>tilkslų</w:t>
            </w:r>
            <w:proofErr w:type="spellEnd"/>
            <w:r w:rsidRPr="0088211E">
              <w:rPr>
                <w:rFonts w:eastAsia="Times New Roman" w:cs="Segoe UI"/>
                <w:color w:val="000000"/>
                <w:sz w:val="16"/>
                <w:szCs w:val="16"/>
                <w:lang w:val="lt-LT" w:eastAsia="lt-LT"/>
              </w:rPr>
              <w:t xml:space="preserve"> bei uždavinių matavimo rodikliai?</w:t>
            </w:r>
          </w:p>
        </w:tc>
        <w:tc>
          <w:tcPr>
            <w:tcW w:w="3040" w:type="dxa"/>
            <w:tcBorders>
              <w:top w:val="single" w:sz="4" w:space="0" w:color="auto"/>
              <w:left w:val="nil"/>
              <w:bottom w:val="single" w:sz="4" w:space="0" w:color="auto"/>
              <w:right w:val="nil"/>
            </w:tcBorders>
            <w:shd w:val="clear" w:color="auto" w:fill="auto"/>
            <w:hideMark/>
          </w:tcPr>
          <w:p w14:paraId="2C994DD9"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Vertinama, ar finansiniai tikslai bei uždaviniai išmatuojami visu strategijos laikotarpiu</w:t>
            </w:r>
          </w:p>
        </w:tc>
        <w:tc>
          <w:tcPr>
            <w:tcW w:w="4960" w:type="dxa"/>
            <w:tcBorders>
              <w:top w:val="single" w:sz="4" w:space="0" w:color="auto"/>
              <w:left w:val="nil"/>
              <w:bottom w:val="single" w:sz="4" w:space="0" w:color="auto"/>
              <w:right w:val="nil"/>
            </w:tcBorders>
            <w:shd w:val="clear" w:color="auto" w:fill="auto"/>
            <w:hideMark/>
          </w:tcPr>
          <w:p w14:paraId="104C3C8D"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2 balai - &gt;2/3 atitinka S.M.A.R.T. kriterijus; 1 balas - &gt;1/2 sudaro vienkartiniai ir/arba jau pasiekti praeityje ir/arba matuojantys veiksmo atlikimo faktą, o ne naudas ir pan.; 0 balo - &gt;2/3 sudaro vienkartiniai ir/arba jau pasiekti praeityje ir/arba matuojantys veiksmo atlikimo faktą, o ne naudas ir pan.</w:t>
            </w:r>
          </w:p>
        </w:tc>
      </w:tr>
      <w:tr w:rsidR="0088211E" w:rsidRPr="0088211E" w14:paraId="66B8D32E" w14:textId="77777777" w:rsidTr="008821BF">
        <w:trPr>
          <w:trHeight w:val="1020"/>
        </w:trPr>
        <w:tc>
          <w:tcPr>
            <w:tcW w:w="2620" w:type="dxa"/>
            <w:tcBorders>
              <w:top w:val="single" w:sz="4" w:space="0" w:color="auto"/>
              <w:left w:val="nil"/>
              <w:bottom w:val="single" w:sz="4" w:space="0" w:color="auto"/>
              <w:right w:val="nil"/>
            </w:tcBorders>
            <w:shd w:val="clear" w:color="auto" w:fill="auto"/>
            <w:hideMark/>
          </w:tcPr>
          <w:p w14:paraId="5441A280"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3.3. Ar buvo nustatytos pakankamai ambicingos finansinių tikslų bei uždavinių matavimo rodiklių siektinos vertės?</w:t>
            </w:r>
          </w:p>
        </w:tc>
        <w:tc>
          <w:tcPr>
            <w:tcW w:w="3040" w:type="dxa"/>
            <w:tcBorders>
              <w:top w:val="single" w:sz="4" w:space="0" w:color="auto"/>
              <w:left w:val="nil"/>
              <w:bottom w:val="single" w:sz="4" w:space="0" w:color="auto"/>
              <w:right w:val="nil"/>
            </w:tcBorders>
            <w:shd w:val="clear" w:color="auto" w:fill="auto"/>
            <w:hideMark/>
          </w:tcPr>
          <w:p w14:paraId="7503E88E"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Vertinamas ambicingumas</w:t>
            </w:r>
          </w:p>
        </w:tc>
        <w:tc>
          <w:tcPr>
            <w:tcW w:w="4960" w:type="dxa"/>
            <w:tcBorders>
              <w:top w:val="single" w:sz="4" w:space="0" w:color="auto"/>
              <w:left w:val="nil"/>
              <w:bottom w:val="single" w:sz="4" w:space="0" w:color="auto"/>
              <w:right w:val="nil"/>
            </w:tcBorders>
            <w:shd w:val="clear" w:color="auto" w:fill="auto"/>
            <w:hideMark/>
          </w:tcPr>
          <w:p w14:paraId="31FD8A8B"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 xml:space="preserve">2 balai - ambicingos, </w:t>
            </w:r>
            <w:proofErr w:type="spellStart"/>
            <w:r w:rsidRPr="0088211E">
              <w:rPr>
                <w:rFonts w:ascii="Segoe Ul" w:eastAsia="Times New Roman" w:hAnsi="Segoe Ul" w:cs="Calibri"/>
                <w:color w:val="000000"/>
                <w:sz w:val="16"/>
                <w:szCs w:val="16"/>
                <w:lang w:val="lt-LT" w:eastAsia="lt-LT"/>
              </w:rPr>
              <w:t>t.y</w:t>
            </w:r>
            <w:proofErr w:type="spellEnd"/>
            <w:r w:rsidRPr="0088211E">
              <w:rPr>
                <w:rFonts w:ascii="Segoe Ul" w:eastAsia="Times New Roman" w:hAnsi="Segoe Ul" w:cs="Calibri"/>
                <w:color w:val="000000"/>
                <w:sz w:val="16"/>
                <w:szCs w:val="16"/>
                <w:lang w:val="lt-LT" w:eastAsia="lt-LT"/>
              </w:rPr>
              <w:t xml:space="preserve">. visos arba ne mažiau kaip 2/3 pasiektų verčių neviršijo 150proc.; 1 balas - dalinai ambicingos, </w:t>
            </w:r>
            <w:proofErr w:type="spellStart"/>
            <w:r w:rsidRPr="0088211E">
              <w:rPr>
                <w:rFonts w:ascii="Segoe Ul" w:eastAsia="Times New Roman" w:hAnsi="Segoe Ul" w:cs="Calibri"/>
                <w:color w:val="000000"/>
                <w:sz w:val="16"/>
                <w:szCs w:val="16"/>
                <w:lang w:val="lt-LT" w:eastAsia="lt-LT"/>
              </w:rPr>
              <w:t>t.y</w:t>
            </w:r>
            <w:proofErr w:type="spellEnd"/>
            <w:r w:rsidRPr="0088211E">
              <w:rPr>
                <w:rFonts w:ascii="Segoe Ul" w:eastAsia="Times New Roman" w:hAnsi="Segoe Ul" w:cs="Calibri"/>
                <w:color w:val="000000"/>
                <w:sz w:val="16"/>
                <w:szCs w:val="16"/>
                <w:lang w:val="lt-LT" w:eastAsia="lt-LT"/>
              </w:rPr>
              <w:t xml:space="preserve">. ne daugiau kaip 1/2 nefinansinių lūkesčių viršyti daugiau nei 150proc.- 0 balo- neambicingos, </w:t>
            </w:r>
            <w:proofErr w:type="spellStart"/>
            <w:r w:rsidRPr="0088211E">
              <w:rPr>
                <w:rFonts w:ascii="Segoe Ul" w:eastAsia="Times New Roman" w:hAnsi="Segoe Ul" w:cs="Calibri"/>
                <w:color w:val="000000"/>
                <w:sz w:val="16"/>
                <w:szCs w:val="16"/>
                <w:lang w:val="lt-LT" w:eastAsia="lt-LT"/>
              </w:rPr>
              <w:t>t.y</w:t>
            </w:r>
            <w:proofErr w:type="spellEnd"/>
            <w:r w:rsidRPr="0088211E">
              <w:rPr>
                <w:rFonts w:ascii="Segoe Ul" w:eastAsia="Times New Roman" w:hAnsi="Segoe Ul" w:cs="Calibri"/>
                <w:color w:val="000000"/>
                <w:sz w:val="16"/>
                <w:szCs w:val="16"/>
                <w:lang w:val="lt-LT" w:eastAsia="lt-LT"/>
              </w:rPr>
              <w:t xml:space="preserve">. visos arba daugiau nei 1/2 faktinių pasiektų verčių viršijo 150proc. </w:t>
            </w:r>
          </w:p>
        </w:tc>
      </w:tr>
      <w:tr w:rsidR="0088211E" w:rsidRPr="0088211E" w14:paraId="1AA8F715" w14:textId="77777777" w:rsidTr="008821BF">
        <w:trPr>
          <w:trHeight w:val="1020"/>
        </w:trPr>
        <w:tc>
          <w:tcPr>
            <w:tcW w:w="2620" w:type="dxa"/>
            <w:tcBorders>
              <w:top w:val="single" w:sz="4" w:space="0" w:color="auto"/>
              <w:left w:val="nil"/>
              <w:bottom w:val="single" w:sz="4" w:space="0" w:color="auto"/>
              <w:right w:val="nil"/>
            </w:tcBorders>
            <w:shd w:val="clear" w:color="auto" w:fill="auto"/>
            <w:hideMark/>
          </w:tcPr>
          <w:p w14:paraId="5B8A8000" w14:textId="77777777" w:rsidR="0088211E" w:rsidRPr="0088211E" w:rsidRDefault="0088211E" w:rsidP="0088211E">
            <w:pPr>
              <w:spacing w:after="0" w:line="240" w:lineRule="auto"/>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3.4. Ar buvo įgyvendinti finansiniai tikslai bei uždaviniai?</w:t>
            </w:r>
          </w:p>
        </w:tc>
        <w:tc>
          <w:tcPr>
            <w:tcW w:w="3040" w:type="dxa"/>
            <w:tcBorders>
              <w:top w:val="single" w:sz="4" w:space="0" w:color="auto"/>
              <w:left w:val="nil"/>
              <w:bottom w:val="single" w:sz="4" w:space="0" w:color="auto"/>
              <w:right w:val="nil"/>
            </w:tcBorders>
            <w:shd w:val="clear" w:color="auto" w:fill="auto"/>
            <w:hideMark/>
          </w:tcPr>
          <w:p w14:paraId="6B5D563D"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Vertinamas įgyvendinimas</w:t>
            </w:r>
          </w:p>
        </w:tc>
        <w:tc>
          <w:tcPr>
            <w:tcW w:w="4960" w:type="dxa"/>
            <w:tcBorders>
              <w:top w:val="single" w:sz="4" w:space="0" w:color="auto"/>
              <w:left w:val="nil"/>
              <w:bottom w:val="single" w:sz="4" w:space="0" w:color="auto"/>
              <w:right w:val="nil"/>
            </w:tcBorders>
            <w:shd w:val="clear" w:color="auto" w:fill="auto"/>
            <w:hideMark/>
          </w:tcPr>
          <w:p w14:paraId="76C264FB" w14:textId="15F42185"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 xml:space="preserve">2 balai - įgyvendinta mažiausiai 2/3 </w:t>
            </w:r>
            <w:r w:rsidR="00040B7D" w:rsidRPr="0088211E">
              <w:rPr>
                <w:rFonts w:ascii="Segoe Ul" w:eastAsia="Times New Roman" w:hAnsi="Segoe Ul" w:cs="Calibri"/>
                <w:color w:val="000000"/>
                <w:sz w:val="16"/>
                <w:szCs w:val="16"/>
                <w:lang w:val="lt-LT" w:eastAsia="lt-LT"/>
              </w:rPr>
              <w:t>finansinį</w:t>
            </w:r>
            <w:r w:rsidRPr="0088211E">
              <w:rPr>
                <w:rFonts w:ascii="Segoe Ul" w:eastAsia="Times New Roman" w:hAnsi="Segoe Ul" w:cs="Calibri"/>
                <w:color w:val="000000"/>
                <w:sz w:val="16"/>
                <w:szCs w:val="16"/>
                <w:lang w:val="lt-LT" w:eastAsia="lt-LT"/>
              </w:rPr>
              <w:t xml:space="preserve"> tikslų ir uždavinių mažiausiai 95proc.; 1 balas - dalinai įgyvendinta - bent 1/2 finansinių tikslų ir uždavinių pasiekta mažiausiai 95proc., tačiau mažiau nei 2/3; 0 balo - neįgyvendinti visi finansiniai tikslai ir uždaviniai, arba jų įgyvendinta bent 95 proc. mažiau kaip 1/2 visų.</w:t>
            </w:r>
          </w:p>
        </w:tc>
      </w:tr>
      <w:tr w:rsidR="0088211E" w:rsidRPr="0088211E" w14:paraId="7E4C75C4" w14:textId="77777777" w:rsidTr="008821BF">
        <w:trPr>
          <w:trHeight w:val="456"/>
        </w:trPr>
        <w:tc>
          <w:tcPr>
            <w:tcW w:w="2620" w:type="dxa"/>
            <w:tcBorders>
              <w:top w:val="single" w:sz="4" w:space="0" w:color="auto"/>
              <w:left w:val="nil"/>
              <w:bottom w:val="double" w:sz="4" w:space="0" w:color="auto"/>
              <w:right w:val="nil"/>
            </w:tcBorders>
            <w:shd w:val="clear" w:color="auto" w:fill="auto"/>
            <w:vAlign w:val="bottom"/>
            <w:hideMark/>
          </w:tcPr>
          <w:p w14:paraId="5F1BAAE2" w14:textId="77777777" w:rsidR="0088211E" w:rsidRPr="0088211E" w:rsidRDefault="0088211E" w:rsidP="0088211E">
            <w:pPr>
              <w:spacing w:after="0" w:line="240" w:lineRule="auto"/>
              <w:rPr>
                <w:rFonts w:eastAsia="Times New Roman" w:cs="Segoe UI"/>
                <w:b/>
                <w:bCs/>
                <w:color w:val="000000"/>
                <w:sz w:val="16"/>
                <w:szCs w:val="16"/>
                <w:lang w:val="lt-LT" w:eastAsia="lt-LT"/>
              </w:rPr>
            </w:pPr>
            <w:r w:rsidRPr="0088211E">
              <w:rPr>
                <w:rFonts w:eastAsia="Times New Roman" w:cs="Segoe UI"/>
                <w:b/>
                <w:bCs/>
                <w:color w:val="000000"/>
                <w:sz w:val="16"/>
                <w:szCs w:val="16"/>
                <w:lang w:val="lt-LT" w:eastAsia="lt-LT"/>
              </w:rPr>
              <w:t>4. Nefinansiniai tikslai ir uždaviniai</w:t>
            </w:r>
          </w:p>
        </w:tc>
        <w:tc>
          <w:tcPr>
            <w:tcW w:w="3040" w:type="dxa"/>
            <w:tcBorders>
              <w:top w:val="single" w:sz="4" w:space="0" w:color="auto"/>
              <w:left w:val="nil"/>
              <w:bottom w:val="double" w:sz="4" w:space="0" w:color="auto"/>
              <w:right w:val="nil"/>
            </w:tcBorders>
            <w:shd w:val="clear" w:color="auto" w:fill="auto"/>
            <w:vAlign w:val="center"/>
            <w:hideMark/>
          </w:tcPr>
          <w:p w14:paraId="43777A2A" w14:textId="693EB44C" w:rsidR="0088211E" w:rsidRPr="0088211E" w:rsidRDefault="0088211E" w:rsidP="0088211E">
            <w:pPr>
              <w:spacing w:after="0" w:line="240" w:lineRule="auto"/>
              <w:rPr>
                <w:rFonts w:eastAsia="Times New Roman" w:cs="Segoe UI"/>
                <w:b/>
                <w:bCs/>
                <w:color w:val="000000"/>
                <w:sz w:val="16"/>
                <w:szCs w:val="16"/>
                <w:lang w:val="lt-LT" w:eastAsia="lt-LT"/>
              </w:rPr>
            </w:pPr>
            <w:r w:rsidRPr="0088211E">
              <w:rPr>
                <w:rFonts w:ascii="Segoe Ul" w:eastAsia="Times New Roman" w:hAnsi="Segoe Ul" w:cs="Calibri"/>
                <w:b/>
                <w:bCs/>
                <w:color w:val="000000"/>
                <w:sz w:val="16"/>
                <w:szCs w:val="16"/>
                <w:lang w:val="lt-LT" w:eastAsia="lt-LT"/>
              </w:rPr>
              <w:t>Visų kriterijų vertinimo balo vidurkis</w:t>
            </w:r>
            <w:r>
              <w:rPr>
                <w:rFonts w:ascii="Segoe Ul" w:eastAsia="Times New Roman" w:hAnsi="Segoe Ul" w:cs="Calibri"/>
                <w:b/>
                <w:bCs/>
                <w:color w:val="000000"/>
                <w:sz w:val="16"/>
                <w:szCs w:val="16"/>
                <w:lang w:val="lt-LT" w:eastAsia="lt-LT"/>
              </w:rPr>
              <w:t>, didžiausią lyginamąjį svorį suteikiant kriterijui 4.4.</w:t>
            </w:r>
          </w:p>
        </w:tc>
        <w:tc>
          <w:tcPr>
            <w:tcW w:w="4960" w:type="dxa"/>
            <w:tcBorders>
              <w:top w:val="single" w:sz="4" w:space="0" w:color="auto"/>
              <w:left w:val="nil"/>
              <w:bottom w:val="double" w:sz="4" w:space="0" w:color="auto"/>
              <w:right w:val="nil"/>
            </w:tcBorders>
            <w:shd w:val="clear" w:color="auto" w:fill="auto"/>
            <w:vAlign w:val="center"/>
            <w:hideMark/>
          </w:tcPr>
          <w:p w14:paraId="599683D5" w14:textId="58041407" w:rsidR="0088211E" w:rsidRPr="0088211E" w:rsidRDefault="0088211E" w:rsidP="0088211E">
            <w:pPr>
              <w:spacing w:after="0" w:line="240" w:lineRule="auto"/>
              <w:jc w:val="center"/>
              <w:rPr>
                <w:rFonts w:ascii="Times New Roman" w:eastAsia="Times New Roman" w:hAnsi="Times New Roman" w:cs="Times New Roman"/>
                <w:sz w:val="20"/>
                <w:szCs w:val="20"/>
                <w:lang w:val="lt-LT" w:eastAsia="lt-LT"/>
              </w:rPr>
            </w:pPr>
            <w:r w:rsidRPr="0088211E">
              <w:rPr>
                <w:rFonts w:ascii="Segoe Ul" w:eastAsia="Times New Roman" w:hAnsi="Segoe Ul" w:cs="Calibri"/>
                <w:b/>
                <w:bCs/>
                <w:color w:val="000000"/>
                <w:sz w:val="16"/>
                <w:szCs w:val="16"/>
                <w:lang w:val="lt-LT" w:eastAsia="lt-LT"/>
              </w:rPr>
              <w:t>0 - 100 proc.</w:t>
            </w:r>
          </w:p>
        </w:tc>
      </w:tr>
      <w:tr w:rsidR="0088211E" w:rsidRPr="0088211E" w14:paraId="1B4B6B23" w14:textId="77777777" w:rsidTr="008821BF">
        <w:trPr>
          <w:trHeight w:val="1224"/>
        </w:trPr>
        <w:tc>
          <w:tcPr>
            <w:tcW w:w="2620" w:type="dxa"/>
            <w:tcBorders>
              <w:top w:val="double" w:sz="4" w:space="0" w:color="auto"/>
              <w:left w:val="nil"/>
              <w:bottom w:val="single" w:sz="4" w:space="0" w:color="auto"/>
              <w:right w:val="nil"/>
            </w:tcBorders>
            <w:shd w:val="clear" w:color="auto" w:fill="auto"/>
            <w:hideMark/>
          </w:tcPr>
          <w:p w14:paraId="564ED5EA" w14:textId="0874CC97" w:rsidR="0088211E" w:rsidRPr="0088211E" w:rsidRDefault="0088211E" w:rsidP="0088211E">
            <w:pPr>
              <w:spacing w:after="0" w:line="240" w:lineRule="auto"/>
              <w:rPr>
                <w:rFonts w:eastAsia="Times New Roman" w:cs="Segoe UI"/>
                <w:color w:val="000000"/>
                <w:sz w:val="16"/>
                <w:szCs w:val="16"/>
                <w:lang w:val="lt-LT" w:eastAsia="lt-LT"/>
              </w:rPr>
            </w:pPr>
            <w:r>
              <w:rPr>
                <w:rFonts w:eastAsia="Times New Roman" w:cs="Segoe UI"/>
                <w:color w:val="000000"/>
                <w:sz w:val="16"/>
                <w:szCs w:val="16"/>
                <w:lang w:val="lt-LT" w:eastAsia="lt-LT"/>
              </w:rPr>
              <w:t>4</w:t>
            </w:r>
            <w:r w:rsidRPr="0088211E">
              <w:rPr>
                <w:rFonts w:eastAsia="Times New Roman" w:cs="Segoe UI"/>
                <w:color w:val="000000"/>
                <w:sz w:val="16"/>
                <w:szCs w:val="16"/>
                <w:lang w:val="lt-LT" w:eastAsia="lt-LT"/>
              </w:rPr>
              <w:t>.1. Ar optimali keliamų nefinansinių tikslų ir uždavinių apimtis?</w:t>
            </w:r>
          </w:p>
        </w:tc>
        <w:tc>
          <w:tcPr>
            <w:tcW w:w="3040" w:type="dxa"/>
            <w:tcBorders>
              <w:top w:val="double" w:sz="4" w:space="0" w:color="auto"/>
              <w:left w:val="nil"/>
              <w:bottom w:val="single" w:sz="4" w:space="0" w:color="auto"/>
              <w:right w:val="nil"/>
            </w:tcBorders>
            <w:shd w:val="clear" w:color="auto" w:fill="auto"/>
            <w:hideMark/>
          </w:tcPr>
          <w:p w14:paraId="297159A3" w14:textId="72169599" w:rsidR="0088211E" w:rsidRPr="0088211E" w:rsidRDefault="0088211E" w:rsidP="0088211E">
            <w:pPr>
              <w:spacing w:after="0" w:line="240" w:lineRule="auto"/>
              <w:jc w:val="both"/>
              <w:rPr>
                <w:rFonts w:eastAsia="Times New Roman" w:cs="Segoe UI"/>
                <w:color w:val="000000"/>
                <w:sz w:val="16"/>
                <w:szCs w:val="16"/>
                <w:lang w:val="lt-LT" w:eastAsia="lt-LT"/>
              </w:rPr>
            </w:pPr>
            <w:r w:rsidRPr="0088211E">
              <w:rPr>
                <w:rFonts w:eastAsia="Times New Roman" w:cs="Segoe UI"/>
                <w:color w:val="000000"/>
                <w:sz w:val="16"/>
                <w:szCs w:val="16"/>
                <w:lang w:val="lt-LT" w:eastAsia="lt-LT"/>
              </w:rPr>
              <w:t xml:space="preserve">Vertinama, ar žemėlapis nebuvo "perkrautas" finansiniais tikslais bei uždaviniais, ar aišku, jog įtraukti svarbiausieji/ ar jų numatyta ne per mažai (vertinant VVĮ dydį, veiklos </w:t>
            </w:r>
            <w:r w:rsidR="002A0ED0" w:rsidRPr="0088211E">
              <w:rPr>
                <w:rFonts w:eastAsia="Times New Roman" w:cs="Segoe UI"/>
                <w:color w:val="000000"/>
                <w:sz w:val="16"/>
                <w:szCs w:val="16"/>
                <w:lang w:val="lt-LT" w:eastAsia="lt-LT"/>
              </w:rPr>
              <w:t>pobūdį</w:t>
            </w:r>
            <w:r w:rsidRPr="0088211E">
              <w:rPr>
                <w:rFonts w:eastAsia="Times New Roman" w:cs="Segoe UI"/>
                <w:color w:val="000000"/>
                <w:sz w:val="16"/>
                <w:szCs w:val="16"/>
                <w:lang w:val="lt-LT" w:eastAsia="lt-LT"/>
              </w:rPr>
              <w:t xml:space="preserve"> ir t.t.).</w:t>
            </w:r>
          </w:p>
        </w:tc>
        <w:tc>
          <w:tcPr>
            <w:tcW w:w="4960" w:type="dxa"/>
            <w:tcBorders>
              <w:top w:val="double" w:sz="4" w:space="0" w:color="auto"/>
              <w:left w:val="nil"/>
              <w:bottom w:val="single" w:sz="4" w:space="0" w:color="auto"/>
              <w:right w:val="nil"/>
            </w:tcBorders>
            <w:shd w:val="clear" w:color="auto" w:fill="auto"/>
            <w:hideMark/>
          </w:tcPr>
          <w:p w14:paraId="7C887DB4" w14:textId="6873A4B9"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 xml:space="preserve">2 balai - apimtis atrodo optimali, leidžianti atskirti svarbiausius, atspindi esminę veiklos dalį; 1 balas - Yra keliami nefinansiniai tikslai ir/ar uždaviniai, tačiau akivaizdžiai nepakankami (pvz. neatspindi esminės veiklos dalies/ per mažas skaičius pagal įmonės dydį, ir pan.), 0 balo - nėra keliamas nei vienas nefinansinis tikslas ir/ar uždavinys arba jų iškelta </w:t>
            </w:r>
            <w:r w:rsidR="002A0ED0" w:rsidRPr="0088211E">
              <w:rPr>
                <w:rFonts w:ascii="Segoe Ul" w:eastAsia="Times New Roman" w:hAnsi="Segoe Ul" w:cs="Calibri"/>
                <w:color w:val="000000"/>
                <w:sz w:val="16"/>
                <w:szCs w:val="16"/>
                <w:lang w:val="lt-LT" w:eastAsia="lt-LT"/>
              </w:rPr>
              <w:t>akivaizdžiai</w:t>
            </w:r>
            <w:r w:rsidRPr="0088211E">
              <w:rPr>
                <w:rFonts w:ascii="Segoe Ul" w:eastAsia="Times New Roman" w:hAnsi="Segoe Ul" w:cs="Calibri"/>
                <w:color w:val="000000"/>
                <w:sz w:val="16"/>
                <w:szCs w:val="16"/>
                <w:lang w:val="lt-LT" w:eastAsia="lt-LT"/>
              </w:rPr>
              <w:t xml:space="preserve"> pernelyg daug.</w:t>
            </w:r>
          </w:p>
        </w:tc>
      </w:tr>
      <w:tr w:rsidR="0088211E" w:rsidRPr="0088211E" w14:paraId="13772D10" w14:textId="77777777" w:rsidTr="008821BF">
        <w:trPr>
          <w:trHeight w:val="1020"/>
        </w:trPr>
        <w:tc>
          <w:tcPr>
            <w:tcW w:w="2620" w:type="dxa"/>
            <w:tcBorders>
              <w:top w:val="single" w:sz="4" w:space="0" w:color="auto"/>
              <w:left w:val="nil"/>
              <w:bottom w:val="single" w:sz="4" w:space="0" w:color="auto"/>
              <w:right w:val="nil"/>
            </w:tcBorders>
            <w:shd w:val="clear" w:color="auto" w:fill="auto"/>
            <w:hideMark/>
          </w:tcPr>
          <w:p w14:paraId="3759E439" w14:textId="5C109F70" w:rsidR="0088211E" w:rsidRPr="0088211E" w:rsidRDefault="0088211E" w:rsidP="0088211E">
            <w:pPr>
              <w:spacing w:after="0" w:line="240" w:lineRule="auto"/>
              <w:rPr>
                <w:rFonts w:eastAsia="Times New Roman" w:cs="Segoe UI"/>
                <w:color w:val="000000"/>
                <w:sz w:val="16"/>
                <w:szCs w:val="16"/>
                <w:lang w:val="lt-LT" w:eastAsia="lt-LT"/>
              </w:rPr>
            </w:pPr>
            <w:r>
              <w:rPr>
                <w:rFonts w:eastAsia="Times New Roman" w:cs="Segoe UI"/>
                <w:color w:val="000000"/>
                <w:sz w:val="16"/>
                <w:szCs w:val="16"/>
                <w:lang w:val="lt-LT" w:eastAsia="lt-LT"/>
              </w:rPr>
              <w:t>4</w:t>
            </w:r>
            <w:r w:rsidRPr="0088211E">
              <w:rPr>
                <w:rFonts w:eastAsia="Times New Roman" w:cs="Segoe UI"/>
                <w:color w:val="000000"/>
                <w:sz w:val="16"/>
                <w:szCs w:val="16"/>
                <w:lang w:val="lt-LT" w:eastAsia="lt-LT"/>
              </w:rPr>
              <w:t xml:space="preserve">.2. Ar kokybiški </w:t>
            </w:r>
            <w:r w:rsidR="00F501EE">
              <w:rPr>
                <w:rFonts w:eastAsia="Times New Roman" w:cs="Segoe UI"/>
                <w:color w:val="000000"/>
                <w:sz w:val="16"/>
                <w:szCs w:val="16"/>
                <w:lang w:val="lt-LT" w:eastAsia="lt-LT"/>
              </w:rPr>
              <w:t>ne</w:t>
            </w:r>
            <w:r w:rsidRPr="0088211E">
              <w:rPr>
                <w:rFonts w:eastAsia="Times New Roman" w:cs="Segoe UI"/>
                <w:color w:val="000000"/>
                <w:sz w:val="16"/>
                <w:szCs w:val="16"/>
                <w:lang w:val="lt-LT" w:eastAsia="lt-LT"/>
              </w:rPr>
              <w:t>finansinių tikslų bei uždavinių matavimo rodikliai?</w:t>
            </w:r>
          </w:p>
        </w:tc>
        <w:tc>
          <w:tcPr>
            <w:tcW w:w="3040" w:type="dxa"/>
            <w:tcBorders>
              <w:top w:val="single" w:sz="4" w:space="0" w:color="auto"/>
              <w:left w:val="nil"/>
              <w:bottom w:val="single" w:sz="4" w:space="0" w:color="auto"/>
              <w:right w:val="nil"/>
            </w:tcBorders>
            <w:shd w:val="clear" w:color="auto" w:fill="auto"/>
            <w:hideMark/>
          </w:tcPr>
          <w:p w14:paraId="0E9535A1"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Vertinama, ar nefinansiniai tikslai bei uždaviniai išmatuojami visu strategijos laikotarpiu</w:t>
            </w:r>
          </w:p>
        </w:tc>
        <w:tc>
          <w:tcPr>
            <w:tcW w:w="4960" w:type="dxa"/>
            <w:tcBorders>
              <w:top w:val="single" w:sz="4" w:space="0" w:color="auto"/>
              <w:left w:val="nil"/>
              <w:bottom w:val="single" w:sz="4" w:space="0" w:color="auto"/>
              <w:right w:val="nil"/>
            </w:tcBorders>
            <w:shd w:val="clear" w:color="auto" w:fill="auto"/>
            <w:hideMark/>
          </w:tcPr>
          <w:p w14:paraId="0D370994"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2 balai - &gt;2/3 atitinka S.M.A.R.T. kriterijus; 1 balas - &gt;1/2 sudaro vienkartiniai ir/arba jau pasiekti praeityje ir/arba matuojantys veiksmo atlikimo faktą, o ne naudas ir pan.; 0 balo - &gt;2/3 sudaro vienkartiniai ir/arba jau pasiekti praeityje ir/arba matuojantys veiksmo atlikimo faktą, o ne naudas ir pan.</w:t>
            </w:r>
          </w:p>
        </w:tc>
      </w:tr>
      <w:tr w:rsidR="0088211E" w:rsidRPr="0088211E" w14:paraId="06EA07E6" w14:textId="77777777" w:rsidTr="008821BF">
        <w:trPr>
          <w:trHeight w:val="1020"/>
        </w:trPr>
        <w:tc>
          <w:tcPr>
            <w:tcW w:w="2620" w:type="dxa"/>
            <w:tcBorders>
              <w:top w:val="single" w:sz="4" w:space="0" w:color="auto"/>
              <w:left w:val="nil"/>
              <w:bottom w:val="single" w:sz="4" w:space="0" w:color="auto"/>
              <w:right w:val="nil"/>
            </w:tcBorders>
            <w:shd w:val="clear" w:color="auto" w:fill="auto"/>
            <w:hideMark/>
          </w:tcPr>
          <w:p w14:paraId="5E087E6D" w14:textId="06E95879" w:rsidR="0088211E" w:rsidRPr="0088211E" w:rsidRDefault="0088211E" w:rsidP="0088211E">
            <w:pPr>
              <w:spacing w:after="0" w:line="240" w:lineRule="auto"/>
              <w:rPr>
                <w:rFonts w:eastAsia="Times New Roman" w:cs="Segoe UI"/>
                <w:color w:val="000000"/>
                <w:sz w:val="16"/>
                <w:szCs w:val="16"/>
                <w:lang w:val="lt-LT" w:eastAsia="lt-LT"/>
              </w:rPr>
            </w:pPr>
            <w:r>
              <w:rPr>
                <w:rFonts w:eastAsia="Times New Roman" w:cs="Segoe UI"/>
                <w:color w:val="000000"/>
                <w:sz w:val="16"/>
                <w:szCs w:val="16"/>
                <w:lang w:val="lt-LT" w:eastAsia="lt-LT"/>
              </w:rPr>
              <w:t>4</w:t>
            </w:r>
            <w:r w:rsidRPr="0088211E">
              <w:rPr>
                <w:rFonts w:eastAsia="Times New Roman" w:cs="Segoe UI"/>
                <w:color w:val="000000"/>
                <w:sz w:val="16"/>
                <w:szCs w:val="16"/>
                <w:lang w:val="lt-LT" w:eastAsia="lt-LT"/>
              </w:rPr>
              <w:t>.3. Ar buvo nustatytos pakankamai ambicingos nefinansinių tikslų bei uždavinių matavimo rodiklių siektinos vertės?</w:t>
            </w:r>
          </w:p>
        </w:tc>
        <w:tc>
          <w:tcPr>
            <w:tcW w:w="3040" w:type="dxa"/>
            <w:tcBorders>
              <w:top w:val="single" w:sz="4" w:space="0" w:color="auto"/>
              <w:left w:val="nil"/>
              <w:bottom w:val="single" w:sz="4" w:space="0" w:color="auto"/>
              <w:right w:val="nil"/>
            </w:tcBorders>
            <w:shd w:val="clear" w:color="auto" w:fill="auto"/>
            <w:hideMark/>
          </w:tcPr>
          <w:p w14:paraId="06E6FD9C"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Vertinamas ambicingumas</w:t>
            </w:r>
          </w:p>
        </w:tc>
        <w:tc>
          <w:tcPr>
            <w:tcW w:w="4960" w:type="dxa"/>
            <w:tcBorders>
              <w:top w:val="single" w:sz="4" w:space="0" w:color="auto"/>
              <w:left w:val="nil"/>
              <w:bottom w:val="single" w:sz="4" w:space="0" w:color="auto"/>
              <w:right w:val="nil"/>
            </w:tcBorders>
            <w:shd w:val="clear" w:color="auto" w:fill="auto"/>
            <w:hideMark/>
          </w:tcPr>
          <w:p w14:paraId="669BED43"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 xml:space="preserve">2 balai - ambicingos, </w:t>
            </w:r>
            <w:proofErr w:type="spellStart"/>
            <w:r w:rsidRPr="0088211E">
              <w:rPr>
                <w:rFonts w:ascii="Segoe Ul" w:eastAsia="Times New Roman" w:hAnsi="Segoe Ul" w:cs="Calibri"/>
                <w:color w:val="000000"/>
                <w:sz w:val="16"/>
                <w:szCs w:val="16"/>
                <w:lang w:val="lt-LT" w:eastAsia="lt-LT"/>
              </w:rPr>
              <w:t>t.y</w:t>
            </w:r>
            <w:proofErr w:type="spellEnd"/>
            <w:r w:rsidRPr="0088211E">
              <w:rPr>
                <w:rFonts w:ascii="Segoe Ul" w:eastAsia="Times New Roman" w:hAnsi="Segoe Ul" w:cs="Calibri"/>
                <w:color w:val="000000"/>
                <w:sz w:val="16"/>
                <w:szCs w:val="16"/>
                <w:lang w:val="lt-LT" w:eastAsia="lt-LT"/>
              </w:rPr>
              <w:t xml:space="preserve">. visos arba ne mažiau kaip 2/3 pasiektų verčių neviršijo 150proc.; 1 balas - dalinai ambicingos, </w:t>
            </w:r>
            <w:proofErr w:type="spellStart"/>
            <w:r w:rsidRPr="0088211E">
              <w:rPr>
                <w:rFonts w:ascii="Segoe Ul" w:eastAsia="Times New Roman" w:hAnsi="Segoe Ul" w:cs="Calibri"/>
                <w:color w:val="000000"/>
                <w:sz w:val="16"/>
                <w:szCs w:val="16"/>
                <w:lang w:val="lt-LT" w:eastAsia="lt-LT"/>
              </w:rPr>
              <w:t>t.y</w:t>
            </w:r>
            <w:proofErr w:type="spellEnd"/>
            <w:r w:rsidRPr="0088211E">
              <w:rPr>
                <w:rFonts w:ascii="Segoe Ul" w:eastAsia="Times New Roman" w:hAnsi="Segoe Ul" w:cs="Calibri"/>
                <w:color w:val="000000"/>
                <w:sz w:val="16"/>
                <w:szCs w:val="16"/>
                <w:lang w:val="lt-LT" w:eastAsia="lt-LT"/>
              </w:rPr>
              <w:t xml:space="preserve">. ne daugiau kaip 1/2 nefinansinių lūkesčių viršyti daugiau nei 150proc.- 0 balo- neambicingos, </w:t>
            </w:r>
            <w:proofErr w:type="spellStart"/>
            <w:r w:rsidRPr="0088211E">
              <w:rPr>
                <w:rFonts w:ascii="Segoe Ul" w:eastAsia="Times New Roman" w:hAnsi="Segoe Ul" w:cs="Calibri"/>
                <w:color w:val="000000"/>
                <w:sz w:val="16"/>
                <w:szCs w:val="16"/>
                <w:lang w:val="lt-LT" w:eastAsia="lt-LT"/>
              </w:rPr>
              <w:t>t.y</w:t>
            </w:r>
            <w:proofErr w:type="spellEnd"/>
            <w:r w:rsidRPr="0088211E">
              <w:rPr>
                <w:rFonts w:ascii="Segoe Ul" w:eastAsia="Times New Roman" w:hAnsi="Segoe Ul" w:cs="Calibri"/>
                <w:color w:val="000000"/>
                <w:sz w:val="16"/>
                <w:szCs w:val="16"/>
                <w:lang w:val="lt-LT" w:eastAsia="lt-LT"/>
              </w:rPr>
              <w:t xml:space="preserve">. visos arba daugiau nei 1/2 faktinių pasiektų verčių viršijo 150proc. </w:t>
            </w:r>
          </w:p>
        </w:tc>
      </w:tr>
      <w:tr w:rsidR="0088211E" w:rsidRPr="0088211E" w14:paraId="2AD1D105" w14:textId="77777777" w:rsidTr="008821BF">
        <w:trPr>
          <w:trHeight w:val="1020"/>
        </w:trPr>
        <w:tc>
          <w:tcPr>
            <w:tcW w:w="2620" w:type="dxa"/>
            <w:tcBorders>
              <w:top w:val="single" w:sz="4" w:space="0" w:color="auto"/>
              <w:left w:val="nil"/>
              <w:bottom w:val="single" w:sz="4" w:space="0" w:color="auto"/>
              <w:right w:val="nil"/>
            </w:tcBorders>
            <w:shd w:val="clear" w:color="auto" w:fill="auto"/>
            <w:hideMark/>
          </w:tcPr>
          <w:p w14:paraId="5B3DACE3" w14:textId="623442FB" w:rsidR="0088211E" w:rsidRPr="0088211E" w:rsidRDefault="0088211E" w:rsidP="0088211E">
            <w:pPr>
              <w:spacing w:after="0" w:line="240" w:lineRule="auto"/>
              <w:rPr>
                <w:rFonts w:eastAsia="Times New Roman" w:cs="Segoe UI"/>
                <w:color w:val="000000"/>
                <w:sz w:val="16"/>
                <w:szCs w:val="16"/>
                <w:lang w:val="lt-LT" w:eastAsia="lt-LT"/>
              </w:rPr>
            </w:pPr>
            <w:r>
              <w:rPr>
                <w:rFonts w:eastAsia="Times New Roman" w:cs="Segoe UI"/>
                <w:color w:val="000000"/>
                <w:sz w:val="16"/>
                <w:szCs w:val="16"/>
                <w:lang w:val="lt-LT" w:eastAsia="lt-LT"/>
              </w:rPr>
              <w:t>4</w:t>
            </w:r>
            <w:r w:rsidRPr="0088211E">
              <w:rPr>
                <w:rFonts w:eastAsia="Times New Roman" w:cs="Segoe UI"/>
                <w:color w:val="000000"/>
                <w:sz w:val="16"/>
                <w:szCs w:val="16"/>
                <w:lang w:val="lt-LT" w:eastAsia="lt-LT"/>
              </w:rPr>
              <w:t>.4. Ar buvo įgyvendinti nefinansiniai tikslai bei uždaviniai?</w:t>
            </w:r>
          </w:p>
        </w:tc>
        <w:tc>
          <w:tcPr>
            <w:tcW w:w="3040" w:type="dxa"/>
            <w:tcBorders>
              <w:top w:val="single" w:sz="4" w:space="0" w:color="auto"/>
              <w:left w:val="nil"/>
              <w:bottom w:val="single" w:sz="4" w:space="0" w:color="auto"/>
              <w:right w:val="nil"/>
            </w:tcBorders>
            <w:shd w:val="clear" w:color="auto" w:fill="auto"/>
            <w:hideMark/>
          </w:tcPr>
          <w:p w14:paraId="681E725B" w14:textId="77777777"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Vertinamas įgyvendinimas</w:t>
            </w:r>
          </w:p>
        </w:tc>
        <w:tc>
          <w:tcPr>
            <w:tcW w:w="4960" w:type="dxa"/>
            <w:tcBorders>
              <w:top w:val="single" w:sz="4" w:space="0" w:color="auto"/>
              <w:left w:val="nil"/>
              <w:bottom w:val="single" w:sz="4" w:space="0" w:color="auto"/>
              <w:right w:val="nil"/>
            </w:tcBorders>
            <w:shd w:val="clear" w:color="auto" w:fill="auto"/>
            <w:hideMark/>
          </w:tcPr>
          <w:p w14:paraId="7315EA7E" w14:textId="37833DD3" w:rsidR="0088211E" w:rsidRPr="0088211E" w:rsidRDefault="0088211E" w:rsidP="0088211E">
            <w:pPr>
              <w:spacing w:after="0" w:line="240" w:lineRule="auto"/>
              <w:jc w:val="center"/>
              <w:rPr>
                <w:rFonts w:ascii="Segoe Ul" w:eastAsia="Times New Roman" w:hAnsi="Segoe Ul" w:cs="Calibri"/>
                <w:color w:val="000000"/>
                <w:sz w:val="16"/>
                <w:szCs w:val="16"/>
                <w:lang w:val="lt-LT" w:eastAsia="lt-LT"/>
              </w:rPr>
            </w:pPr>
            <w:r w:rsidRPr="0088211E">
              <w:rPr>
                <w:rFonts w:ascii="Segoe Ul" w:eastAsia="Times New Roman" w:hAnsi="Segoe Ul" w:cs="Calibri"/>
                <w:color w:val="000000"/>
                <w:sz w:val="16"/>
                <w:szCs w:val="16"/>
                <w:lang w:val="lt-LT" w:eastAsia="lt-LT"/>
              </w:rPr>
              <w:t>2 balai - įgyvendinta mažiausiai 2/3 nefinansin</w:t>
            </w:r>
            <w:r w:rsidR="002A0ED0">
              <w:rPr>
                <w:rFonts w:ascii="Segoe Ul" w:eastAsia="Times New Roman" w:hAnsi="Segoe Ul" w:cs="Calibri"/>
                <w:color w:val="000000"/>
                <w:sz w:val="16"/>
                <w:szCs w:val="16"/>
                <w:lang w:val="lt-LT" w:eastAsia="lt-LT"/>
              </w:rPr>
              <w:t>i</w:t>
            </w:r>
            <w:r w:rsidRPr="0088211E">
              <w:rPr>
                <w:rFonts w:ascii="Segoe Ul" w:eastAsia="Times New Roman" w:hAnsi="Segoe Ul" w:cs="Calibri"/>
                <w:color w:val="000000"/>
                <w:sz w:val="16"/>
                <w:szCs w:val="16"/>
                <w:lang w:val="lt-LT" w:eastAsia="lt-LT"/>
              </w:rPr>
              <w:t>ų tikslų ir uždavinių mažiausiai 95proc.; 1 balas - dalinai įgyvendinta - bent 1/2 nefinansinių tikslų ir uždavinių pasiekta mažiausiai 95proc., tačiau mažiau nei 2/3; 0 balo - neįgyvendinti visi nefinansiniai tikslai ir uždaviniai, arba jų įgyvendinta bent 95 proc. mažiau kaip 1/2 visų.</w:t>
            </w:r>
          </w:p>
        </w:tc>
      </w:tr>
    </w:tbl>
    <w:p w14:paraId="145E5E7B" w14:textId="035B4744" w:rsidR="00B310A8" w:rsidRDefault="00B310A8" w:rsidP="008F09B0">
      <w:pPr>
        <w:shd w:val="clear" w:color="auto" w:fill="FFFFFF"/>
        <w:spacing w:after="0"/>
        <w:jc w:val="both"/>
        <w:rPr>
          <w:lang w:val="lt-LT"/>
        </w:rPr>
      </w:pPr>
    </w:p>
    <w:p w14:paraId="5FC9A01E" w14:textId="55108360" w:rsidR="00B310A8" w:rsidRDefault="00B310A8" w:rsidP="008F09B0">
      <w:pPr>
        <w:shd w:val="clear" w:color="auto" w:fill="FFFFFF"/>
        <w:spacing w:after="0"/>
        <w:jc w:val="both"/>
        <w:rPr>
          <w:lang w:val="lt-LT"/>
        </w:rPr>
      </w:pPr>
    </w:p>
    <w:p w14:paraId="758CE9F7" w14:textId="39F89EBE" w:rsidR="00B310A8" w:rsidRDefault="00B310A8" w:rsidP="008F09B0">
      <w:pPr>
        <w:shd w:val="clear" w:color="auto" w:fill="FFFFFF"/>
        <w:spacing w:after="0"/>
        <w:jc w:val="both"/>
        <w:rPr>
          <w:lang w:val="lt-LT"/>
        </w:rPr>
      </w:pPr>
    </w:p>
    <w:p w14:paraId="11EEBC2A" w14:textId="77777777" w:rsidR="00B310A8" w:rsidRPr="00914C75" w:rsidRDefault="00B310A8" w:rsidP="008F09B0">
      <w:pPr>
        <w:shd w:val="clear" w:color="auto" w:fill="FFFFFF"/>
        <w:spacing w:after="0"/>
        <w:jc w:val="both"/>
        <w:rPr>
          <w:lang w:val="lt-LT"/>
        </w:rPr>
      </w:pPr>
    </w:p>
    <w:p w14:paraId="5BE7C0B0" w14:textId="26F80A16" w:rsidR="00710F8D" w:rsidRDefault="00710F8D" w:rsidP="00FE3C4F">
      <w:pPr>
        <w:shd w:val="clear" w:color="auto" w:fill="FFFFFF"/>
        <w:spacing w:after="0"/>
        <w:ind w:firstLine="567"/>
        <w:jc w:val="both"/>
        <w:rPr>
          <w:b/>
          <w:lang w:val="lt-LT"/>
        </w:rPr>
      </w:pPr>
    </w:p>
    <w:p w14:paraId="14A7B88C" w14:textId="77777777" w:rsidR="00251259" w:rsidRPr="00914C75" w:rsidRDefault="00251259" w:rsidP="00FE3C4F">
      <w:pPr>
        <w:shd w:val="clear" w:color="auto" w:fill="FFFFFF"/>
        <w:spacing w:after="0"/>
        <w:ind w:firstLine="567"/>
        <w:jc w:val="both"/>
        <w:rPr>
          <w:b/>
          <w:lang w:val="lt-LT"/>
        </w:rPr>
      </w:pPr>
    </w:p>
    <w:p w14:paraId="64D7F4FB" w14:textId="69AD2D98" w:rsidR="00A33F9A" w:rsidRPr="00914C75" w:rsidRDefault="000A35AB" w:rsidP="008821BF">
      <w:pPr>
        <w:pStyle w:val="Heading1"/>
        <w:numPr>
          <w:ilvl w:val="0"/>
          <w:numId w:val="1"/>
        </w:numPr>
        <w:rPr>
          <w:lang w:val="lt-LT"/>
        </w:rPr>
      </w:pPr>
      <w:bookmarkStart w:id="3" w:name="_Toc85615132"/>
      <w:r w:rsidRPr="00914C75">
        <w:rPr>
          <w:lang w:val="lt-LT"/>
        </w:rPr>
        <w:lastRenderedPageBreak/>
        <w:t>Strategijų įgyvendinimo vertinimas</w:t>
      </w:r>
      <w:bookmarkEnd w:id="3"/>
    </w:p>
    <w:p w14:paraId="0BB0BCCA" w14:textId="24827270" w:rsidR="00B91B84" w:rsidRDefault="00B91B84" w:rsidP="00136340">
      <w:pPr>
        <w:pStyle w:val="Heading1"/>
        <w:numPr>
          <w:ilvl w:val="1"/>
          <w:numId w:val="29"/>
        </w:numPr>
        <w:tabs>
          <w:tab w:val="left" w:pos="709"/>
          <w:tab w:val="left" w:pos="993"/>
        </w:tabs>
        <w:rPr>
          <w:sz w:val="22"/>
          <w:szCs w:val="22"/>
          <w:lang w:val="lt-LT"/>
        </w:rPr>
      </w:pPr>
      <w:bookmarkStart w:id="4" w:name="_Toc85615133"/>
      <w:r>
        <w:rPr>
          <w:sz w:val="22"/>
          <w:szCs w:val="22"/>
          <w:lang w:val="lt-LT"/>
        </w:rPr>
        <w:t>Bendra portfelio apžvalga</w:t>
      </w:r>
      <w:bookmarkEnd w:id="4"/>
    </w:p>
    <w:p w14:paraId="36633BBB" w14:textId="206D26AC" w:rsidR="00774442" w:rsidRDefault="00DD63AA" w:rsidP="00E700DC">
      <w:pPr>
        <w:shd w:val="clear" w:color="auto" w:fill="FFFFFF"/>
        <w:spacing w:after="0"/>
        <w:ind w:firstLine="567"/>
        <w:rPr>
          <w:color w:val="000000"/>
          <w:szCs w:val="18"/>
          <w:lang w:val="lt-LT"/>
        </w:rPr>
      </w:pPr>
      <w:r>
        <w:rPr>
          <w:color w:val="000000"/>
          <w:szCs w:val="18"/>
          <w:lang w:val="lt-LT"/>
        </w:rPr>
        <w:t xml:space="preserve">2020 m. </w:t>
      </w:r>
      <w:r w:rsidR="00EF31E4">
        <w:rPr>
          <w:color w:val="000000"/>
          <w:szCs w:val="18"/>
          <w:lang w:val="lt-LT"/>
        </w:rPr>
        <w:t xml:space="preserve">VKC vertino gautas </w:t>
      </w:r>
      <w:r w:rsidR="00EF31E4" w:rsidRPr="00066708">
        <w:rPr>
          <w:b/>
          <w:bCs/>
          <w:color w:val="000000"/>
          <w:szCs w:val="18"/>
          <w:lang w:val="lt-LT"/>
        </w:rPr>
        <w:t>4</w:t>
      </w:r>
      <w:r w:rsidRPr="00066708">
        <w:rPr>
          <w:b/>
          <w:bCs/>
          <w:color w:val="000000"/>
          <w:szCs w:val="18"/>
          <w:lang w:val="lt-LT"/>
        </w:rPr>
        <w:t>4</w:t>
      </w:r>
      <w:r w:rsidR="00EF31E4" w:rsidRPr="00066708">
        <w:rPr>
          <w:b/>
          <w:bCs/>
          <w:color w:val="000000"/>
          <w:szCs w:val="18"/>
          <w:lang w:val="lt-LT"/>
        </w:rPr>
        <w:t xml:space="preserve"> V</w:t>
      </w:r>
      <w:r w:rsidR="00D4063B" w:rsidRPr="00066708">
        <w:rPr>
          <w:b/>
          <w:bCs/>
          <w:color w:val="000000"/>
          <w:szCs w:val="18"/>
          <w:lang w:val="lt-LT"/>
        </w:rPr>
        <w:t>V</w:t>
      </w:r>
      <w:r w:rsidR="00EF31E4" w:rsidRPr="00066708">
        <w:rPr>
          <w:b/>
          <w:bCs/>
          <w:color w:val="000000"/>
          <w:szCs w:val="18"/>
          <w:lang w:val="lt-LT"/>
        </w:rPr>
        <w:t>Į strategijų įgyvendinimo ataskaitas</w:t>
      </w:r>
      <w:r w:rsidR="00EF31E4">
        <w:rPr>
          <w:color w:val="000000"/>
          <w:szCs w:val="18"/>
          <w:lang w:val="lt-LT"/>
        </w:rPr>
        <w:t xml:space="preserve"> (iš visų 4</w:t>
      </w:r>
      <w:r>
        <w:rPr>
          <w:color w:val="000000"/>
          <w:szCs w:val="18"/>
          <w:lang w:val="lt-LT"/>
        </w:rPr>
        <w:t>9</w:t>
      </w:r>
      <w:r w:rsidR="00AB5B48">
        <w:rPr>
          <w:color w:val="000000"/>
          <w:szCs w:val="18"/>
          <w:lang w:val="lt-LT"/>
        </w:rPr>
        <w:t>,</w:t>
      </w:r>
      <w:r w:rsidR="00EF31E4">
        <w:rPr>
          <w:color w:val="000000"/>
          <w:szCs w:val="18"/>
          <w:lang w:val="lt-LT"/>
        </w:rPr>
        <w:t xml:space="preserve"> veik</w:t>
      </w:r>
      <w:r>
        <w:rPr>
          <w:color w:val="000000"/>
          <w:szCs w:val="18"/>
          <w:lang w:val="lt-LT"/>
        </w:rPr>
        <w:t>usių 2020 m.). Dalis įmonių dėl objektyvių priežas</w:t>
      </w:r>
      <w:r w:rsidR="00E25F61">
        <w:rPr>
          <w:color w:val="000000"/>
          <w:szCs w:val="18"/>
          <w:lang w:val="lt-LT"/>
        </w:rPr>
        <w:t>č</w:t>
      </w:r>
      <w:r>
        <w:rPr>
          <w:color w:val="000000"/>
          <w:szCs w:val="18"/>
          <w:lang w:val="lt-LT"/>
        </w:rPr>
        <w:t xml:space="preserve">ių ataskaitų neteikė: UAB Valstybės investicijų valdymo agentūra, UAB „Valstybės investicinis kapitalas“ savo veiklą pradėjo tik 2020 m. III-IV , VĮ Lietuvos automobilių kelių direkcija – VĮ statusą įgijo tik 2020 09 mėn., VĮ Mūsų amatai vykdo teisinio restruktūrizavimo procedūrą, UAB „Lietuvos kinas“ – </w:t>
      </w:r>
      <w:r w:rsidR="00E25F61">
        <w:rPr>
          <w:color w:val="000000"/>
          <w:szCs w:val="18"/>
          <w:lang w:val="lt-LT"/>
        </w:rPr>
        <w:t xml:space="preserve">yra </w:t>
      </w:r>
      <w:r>
        <w:rPr>
          <w:color w:val="000000"/>
          <w:szCs w:val="18"/>
          <w:lang w:val="lt-LT"/>
        </w:rPr>
        <w:t>likviduojama įmonė.</w:t>
      </w:r>
    </w:p>
    <w:p w14:paraId="03E6A701" w14:textId="617A5C64" w:rsidR="00774442" w:rsidRDefault="00774442" w:rsidP="005156A6">
      <w:pPr>
        <w:shd w:val="clear" w:color="auto" w:fill="FFFFFF"/>
        <w:spacing w:after="0"/>
        <w:ind w:firstLine="567"/>
        <w:rPr>
          <w:color w:val="000000"/>
          <w:szCs w:val="18"/>
          <w:lang w:val="lt-LT"/>
        </w:rPr>
      </w:pPr>
      <w:r>
        <w:rPr>
          <w:color w:val="000000"/>
          <w:szCs w:val="18"/>
          <w:lang w:val="lt-LT"/>
        </w:rPr>
        <w:t>VVĮ strategijose išsikeltų bendras vidutinis finansinių ir nefinansinių rodiklių skaičius beveik nepakito: finansinių tikslų bei uždavinių VVĮ kėlėsi vidutiniškai po 6 tiek 2019 m., tiek 2020 m., nefinansinių – atitinkamai 20 ir 19.</w:t>
      </w:r>
      <w:r w:rsidR="00C72459">
        <w:rPr>
          <w:color w:val="000000"/>
          <w:szCs w:val="18"/>
          <w:lang w:val="lt-LT"/>
        </w:rPr>
        <w:t xml:space="preserve"> </w:t>
      </w:r>
      <w:r w:rsidR="00F8277E">
        <w:rPr>
          <w:color w:val="000000"/>
          <w:szCs w:val="18"/>
          <w:lang w:val="lt-LT"/>
        </w:rPr>
        <w:t xml:space="preserve">Jei 2019 m. šiek tiek geriau sekėsi finansinių tikslų ir uždavinių įgyvendinimas (2019 m. įgyvendinta vidutiniškai 75 proc., </w:t>
      </w:r>
      <w:r w:rsidR="00F8277E" w:rsidRPr="00066708">
        <w:rPr>
          <w:b/>
          <w:bCs/>
          <w:color w:val="000000"/>
          <w:szCs w:val="18"/>
          <w:lang w:val="lt-LT"/>
        </w:rPr>
        <w:t>2020 m. – 74 proc</w:t>
      </w:r>
      <w:r w:rsidR="00F8277E">
        <w:rPr>
          <w:color w:val="000000"/>
          <w:szCs w:val="18"/>
          <w:lang w:val="lt-LT"/>
        </w:rPr>
        <w:t xml:space="preserve">.), tai 2020 m. pagerėjo nefinansinių tikslų bei uždavinių pasiekimo rezultatas (2019 m. įgyvendinta vidutiniškai 74 proc., </w:t>
      </w:r>
      <w:r w:rsidR="00F8277E" w:rsidRPr="00066708">
        <w:rPr>
          <w:b/>
          <w:bCs/>
          <w:color w:val="000000"/>
          <w:szCs w:val="18"/>
          <w:lang w:val="lt-LT"/>
        </w:rPr>
        <w:t>2020 m. – jau 77 proc</w:t>
      </w:r>
      <w:r w:rsidR="00F8277E">
        <w:rPr>
          <w:color w:val="000000"/>
          <w:szCs w:val="18"/>
          <w:lang w:val="lt-LT"/>
        </w:rPr>
        <w:t>.).</w:t>
      </w:r>
    </w:p>
    <w:p w14:paraId="32EFE4B9" w14:textId="38265331" w:rsidR="00C72459" w:rsidRDefault="00C72459" w:rsidP="00F8277E">
      <w:pPr>
        <w:shd w:val="clear" w:color="auto" w:fill="FFFFFF"/>
        <w:spacing w:after="0"/>
        <w:rPr>
          <w:color w:val="000000"/>
          <w:szCs w:val="18"/>
          <w:lang w:val="lt-LT"/>
        </w:rPr>
      </w:pPr>
    </w:p>
    <w:p w14:paraId="31524B4E" w14:textId="77777777" w:rsidR="00C72459" w:rsidRDefault="00C72459" w:rsidP="005156A6">
      <w:pPr>
        <w:shd w:val="clear" w:color="auto" w:fill="FFFFFF"/>
        <w:spacing w:after="0"/>
        <w:ind w:firstLine="567"/>
        <w:rPr>
          <w:color w:val="000000"/>
          <w:szCs w:val="18"/>
          <w:lang w:val="lt-LT"/>
        </w:rPr>
      </w:pPr>
    </w:p>
    <w:p w14:paraId="10B956E9" w14:textId="5D396F02" w:rsidR="00E25F61" w:rsidRDefault="00774442" w:rsidP="006C11C8">
      <w:pPr>
        <w:shd w:val="clear" w:color="auto" w:fill="FFFFFF"/>
        <w:spacing w:after="0"/>
        <w:jc w:val="center"/>
        <w:rPr>
          <w:color w:val="000000"/>
          <w:szCs w:val="18"/>
          <w:lang w:val="lt-LT"/>
        </w:rPr>
      </w:pPr>
      <w:r>
        <w:rPr>
          <w:noProof/>
          <w:lang w:val="lt-LT" w:eastAsia="lt-LT"/>
        </w:rPr>
        <w:drawing>
          <wp:inline distT="0" distB="0" distL="0" distR="0" wp14:anchorId="2A312021" wp14:editId="66CF0B95">
            <wp:extent cx="2865120" cy="1878330"/>
            <wp:effectExtent l="0" t="0" r="0" b="0"/>
            <wp:docPr id="17" name="Chart 17">
              <a:extLst xmlns:a="http://schemas.openxmlformats.org/drawingml/2006/main">
                <a:ext uri="{FF2B5EF4-FFF2-40B4-BE49-F238E27FC236}">
                  <a16:creationId xmlns:a16="http://schemas.microsoft.com/office/drawing/2014/main" id="{9CE6ECFE-4BF2-47F7-8B57-97A74BAB4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72459">
        <w:rPr>
          <w:noProof/>
          <w:lang w:val="lt-LT" w:eastAsia="lt-LT"/>
        </w:rPr>
        <w:drawing>
          <wp:inline distT="0" distB="0" distL="0" distR="0" wp14:anchorId="7F648494" wp14:editId="6242ABD9">
            <wp:extent cx="2766060" cy="1878330"/>
            <wp:effectExtent l="0" t="0" r="0" b="7620"/>
            <wp:docPr id="19" name="Chart 19">
              <a:extLst xmlns:a="http://schemas.openxmlformats.org/drawingml/2006/main">
                <a:ext uri="{FF2B5EF4-FFF2-40B4-BE49-F238E27FC236}">
                  <a16:creationId xmlns:a16="http://schemas.microsoft.com/office/drawing/2014/main" id="{7AA9FB1C-685D-4DBA-A099-3F1A2C98E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FD26B2" w14:textId="0BC2643E" w:rsidR="00774442" w:rsidRDefault="00774442" w:rsidP="005156A6">
      <w:pPr>
        <w:shd w:val="clear" w:color="auto" w:fill="FFFFFF"/>
        <w:spacing w:after="0"/>
        <w:ind w:firstLine="567"/>
        <w:rPr>
          <w:color w:val="000000"/>
          <w:szCs w:val="18"/>
          <w:lang w:val="lt-LT"/>
        </w:rPr>
      </w:pPr>
    </w:p>
    <w:p w14:paraId="3497CA1F" w14:textId="77777777" w:rsidR="00805055" w:rsidRDefault="005810B5" w:rsidP="00805055">
      <w:pPr>
        <w:shd w:val="clear" w:color="auto" w:fill="FFFFFF"/>
        <w:spacing w:after="0"/>
        <w:ind w:firstLine="567"/>
        <w:rPr>
          <w:color w:val="000000"/>
          <w:szCs w:val="18"/>
          <w:lang w:val="lt-LT"/>
        </w:rPr>
      </w:pPr>
      <w:r>
        <w:rPr>
          <w:color w:val="000000"/>
          <w:szCs w:val="18"/>
          <w:lang w:val="lt-LT"/>
        </w:rPr>
        <w:t xml:space="preserve">Vadovaujantis atnaujinta vertinimo metodologija, </w:t>
      </w:r>
      <w:r w:rsidRPr="009936A8">
        <w:rPr>
          <w:b/>
          <w:bCs/>
          <w:color w:val="000000"/>
          <w:szCs w:val="18"/>
          <w:lang w:val="lt-LT"/>
        </w:rPr>
        <w:t>bendras ataskaitų vertinimo vidurkis 2020 m. siekė</w:t>
      </w:r>
      <w:r>
        <w:rPr>
          <w:color w:val="000000"/>
          <w:szCs w:val="18"/>
          <w:lang w:val="lt-LT"/>
        </w:rPr>
        <w:t xml:space="preserve"> </w:t>
      </w:r>
      <w:r w:rsidRPr="00066708">
        <w:rPr>
          <w:b/>
          <w:bCs/>
          <w:color w:val="000000"/>
          <w:szCs w:val="18"/>
          <w:lang w:val="lt-LT"/>
        </w:rPr>
        <w:t>73 proc. iš 100 proc</w:t>
      </w:r>
      <w:r>
        <w:rPr>
          <w:color w:val="000000"/>
          <w:szCs w:val="18"/>
          <w:lang w:val="lt-LT"/>
        </w:rPr>
        <w:t xml:space="preserve">. galimų. Įmonės teikė geros kokybės strategijų įgyvendinimo ataskaitas – </w:t>
      </w:r>
      <w:r w:rsidRPr="009936A8">
        <w:rPr>
          <w:b/>
          <w:bCs/>
          <w:color w:val="000000"/>
          <w:szCs w:val="18"/>
          <w:lang w:val="lt-LT"/>
        </w:rPr>
        <w:t>kokybės kriterijaus</w:t>
      </w:r>
      <w:r>
        <w:rPr>
          <w:color w:val="000000"/>
          <w:szCs w:val="18"/>
          <w:lang w:val="lt-LT"/>
        </w:rPr>
        <w:t xml:space="preserve"> vertinimo vidurkis siekė </w:t>
      </w:r>
      <w:r w:rsidRPr="009936A8">
        <w:rPr>
          <w:b/>
          <w:bCs/>
          <w:color w:val="000000"/>
          <w:szCs w:val="18"/>
          <w:lang w:val="lt-LT"/>
        </w:rPr>
        <w:t>87,5</w:t>
      </w:r>
      <w:r>
        <w:rPr>
          <w:color w:val="000000"/>
          <w:szCs w:val="18"/>
          <w:lang w:val="lt-LT"/>
        </w:rPr>
        <w:t xml:space="preserve"> </w:t>
      </w:r>
      <w:r w:rsidRPr="009936A8">
        <w:rPr>
          <w:b/>
          <w:bCs/>
          <w:color w:val="000000"/>
          <w:szCs w:val="18"/>
          <w:lang w:val="lt-LT"/>
        </w:rPr>
        <w:t>proc</w:t>
      </w:r>
      <w:r>
        <w:rPr>
          <w:color w:val="000000"/>
          <w:szCs w:val="18"/>
          <w:lang w:val="lt-LT"/>
        </w:rPr>
        <w:t xml:space="preserve">.: </w:t>
      </w:r>
      <w:r w:rsidR="00F92717">
        <w:rPr>
          <w:color w:val="000000"/>
          <w:szCs w:val="18"/>
          <w:lang w:val="lt-LT"/>
        </w:rPr>
        <w:t xml:space="preserve">teigiamai įvertinta tikslų ir uždavinių žemėlapio struktūra bei atitikimas patvirtintam strateginiams veiklos planui, taip pat šiais metais VVĮ teikė išsamesnius ir labiau argumentuotus neįvykdymo priežasčių paaiškinimus (2019 m. VKC teikė atskirą rekomendaciją dėl priežasčių pateikimo stokos </w:t>
      </w:r>
      <w:r w:rsidR="00F33D19">
        <w:rPr>
          <w:color w:val="000000"/>
          <w:szCs w:val="18"/>
          <w:lang w:val="lt-LT"/>
        </w:rPr>
        <w:t>ir/</w:t>
      </w:r>
      <w:r w:rsidR="00F92717">
        <w:rPr>
          <w:color w:val="000000"/>
          <w:szCs w:val="18"/>
          <w:lang w:val="lt-LT"/>
        </w:rPr>
        <w:t>ar lakoniškumo). T</w:t>
      </w:r>
      <w:r>
        <w:rPr>
          <w:color w:val="000000"/>
          <w:szCs w:val="18"/>
          <w:lang w:val="lt-LT"/>
        </w:rPr>
        <w:t>obulintinu išlieka veiksnių, turėjusių reikšmingos įtakos 2020 m. veiklos rezultatams, atskleidimas</w:t>
      </w:r>
      <w:r w:rsidR="00F92717">
        <w:rPr>
          <w:color w:val="000000"/>
          <w:szCs w:val="18"/>
          <w:lang w:val="lt-LT"/>
        </w:rPr>
        <w:t>.</w:t>
      </w:r>
      <w:r w:rsidR="00F33D19">
        <w:rPr>
          <w:color w:val="000000"/>
          <w:szCs w:val="18"/>
          <w:lang w:val="lt-LT"/>
        </w:rPr>
        <w:t xml:space="preserve"> </w:t>
      </w:r>
    </w:p>
    <w:p w14:paraId="4E0DCA4C" w14:textId="176032BE" w:rsidR="000D4776" w:rsidRDefault="00F33D19" w:rsidP="00805055">
      <w:pPr>
        <w:shd w:val="clear" w:color="auto" w:fill="FFFFFF"/>
        <w:spacing w:after="0"/>
        <w:ind w:firstLine="567"/>
        <w:rPr>
          <w:color w:val="000000"/>
          <w:szCs w:val="18"/>
          <w:lang w:val="lt-LT"/>
        </w:rPr>
      </w:pPr>
      <w:r>
        <w:rPr>
          <w:color w:val="000000"/>
          <w:szCs w:val="18"/>
          <w:lang w:val="lt-LT"/>
        </w:rPr>
        <w:t xml:space="preserve">Pakankamai prastai įvertintas tinkamas </w:t>
      </w:r>
      <w:r w:rsidRPr="00F33D19">
        <w:rPr>
          <w:b/>
          <w:bCs/>
          <w:color w:val="000000"/>
          <w:szCs w:val="18"/>
          <w:lang w:val="lt-LT"/>
        </w:rPr>
        <w:t xml:space="preserve">akcininko finansinio lūkesčio pelningumui atspindėjimas </w:t>
      </w:r>
      <w:r>
        <w:rPr>
          <w:color w:val="000000"/>
          <w:szCs w:val="18"/>
          <w:lang w:val="lt-LT"/>
        </w:rPr>
        <w:t xml:space="preserve">ir </w:t>
      </w:r>
      <w:r w:rsidRPr="00F33D19">
        <w:rPr>
          <w:b/>
          <w:bCs/>
          <w:color w:val="000000"/>
          <w:szCs w:val="18"/>
          <w:lang w:val="lt-LT"/>
        </w:rPr>
        <w:t>įgyvendinimas</w:t>
      </w:r>
      <w:r>
        <w:rPr>
          <w:color w:val="000000"/>
          <w:szCs w:val="18"/>
          <w:lang w:val="lt-LT"/>
        </w:rPr>
        <w:t xml:space="preserve"> – tik </w:t>
      </w:r>
      <w:r w:rsidRPr="00F33D19">
        <w:rPr>
          <w:b/>
          <w:bCs/>
          <w:color w:val="000000"/>
          <w:szCs w:val="18"/>
          <w:lang w:val="lt-LT"/>
        </w:rPr>
        <w:t>50 proc</w:t>
      </w:r>
      <w:r>
        <w:rPr>
          <w:color w:val="000000"/>
          <w:szCs w:val="18"/>
          <w:lang w:val="lt-LT"/>
        </w:rPr>
        <w:t xml:space="preserve">. </w:t>
      </w:r>
      <w:r w:rsidR="00C96376">
        <w:rPr>
          <w:color w:val="000000"/>
          <w:szCs w:val="18"/>
          <w:lang w:val="lt-LT"/>
        </w:rPr>
        <w:t xml:space="preserve">Dalis VVĮ iš viso nekėlė tokių tikslų </w:t>
      </w:r>
      <w:r w:rsidR="000D4776">
        <w:rPr>
          <w:color w:val="000000"/>
          <w:szCs w:val="18"/>
          <w:lang w:val="lt-LT"/>
        </w:rPr>
        <w:t xml:space="preserve">(7 VVĮ) </w:t>
      </w:r>
      <w:r w:rsidR="00C96376">
        <w:rPr>
          <w:color w:val="000000"/>
          <w:szCs w:val="18"/>
          <w:lang w:val="lt-LT"/>
        </w:rPr>
        <w:t>arba kėlėsi juos netinkamai</w:t>
      </w:r>
      <w:r w:rsidR="000D4776">
        <w:rPr>
          <w:color w:val="000000"/>
          <w:szCs w:val="18"/>
          <w:lang w:val="lt-LT"/>
        </w:rPr>
        <w:t xml:space="preserve"> (9 VVĮ nusimatė</w:t>
      </w:r>
      <w:r w:rsidR="00C96376">
        <w:rPr>
          <w:color w:val="000000"/>
          <w:szCs w:val="18"/>
          <w:lang w:val="lt-LT"/>
        </w:rPr>
        <w:t xml:space="preserve"> mažesnes siektinas vidutines metines vertes, arba – siektinas vertes bendrai veiklai, neeliminavus vykdomų specialiųjų įpareigojimų įtakos).</w:t>
      </w:r>
      <w:r w:rsidR="00CA1468">
        <w:rPr>
          <w:color w:val="000000"/>
          <w:szCs w:val="18"/>
          <w:lang w:val="lt-LT"/>
        </w:rPr>
        <w:t xml:space="preserve"> </w:t>
      </w:r>
      <w:r w:rsidR="00730B52">
        <w:rPr>
          <w:color w:val="000000"/>
          <w:szCs w:val="18"/>
          <w:lang w:val="lt-LT"/>
        </w:rPr>
        <w:t xml:space="preserve">VKC, vadovaudamasi 2020 m. metinėmis veiklos ataskaitomis vis tiek vertino ar įmonėms pavyko </w:t>
      </w:r>
      <w:r w:rsidR="0001404A">
        <w:rPr>
          <w:color w:val="000000"/>
          <w:szCs w:val="18"/>
          <w:lang w:val="lt-LT"/>
        </w:rPr>
        <w:t>įgyvendinti</w:t>
      </w:r>
      <w:r w:rsidR="00730B52">
        <w:rPr>
          <w:color w:val="000000"/>
          <w:szCs w:val="18"/>
          <w:lang w:val="lt-LT"/>
        </w:rPr>
        <w:t xml:space="preserve"> finansinius akcininko lūkesčius pelningumui, net jei ir įmonės neišsikėlė jų arba kėlėsi netinkamai </w:t>
      </w:r>
      <w:r w:rsidR="00891EB1">
        <w:rPr>
          <w:color w:val="000000"/>
          <w:szCs w:val="18"/>
          <w:lang w:val="lt-LT"/>
        </w:rPr>
        <w:t>–</w:t>
      </w:r>
      <w:r w:rsidR="00730B52">
        <w:rPr>
          <w:color w:val="000000"/>
          <w:szCs w:val="18"/>
          <w:lang w:val="lt-LT"/>
        </w:rPr>
        <w:t xml:space="preserve"> </w:t>
      </w:r>
      <w:r w:rsidR="00891EB1">
        <w:rPr>
          <w:color w:val="000000"/>
          <w:szCs w:val="18"/>
          <w:lang w:val="lt-LT"/>
        </w:rPr>
        <w:t xml:space="preserve">net 17 VVĮ neuždirbo akcininko laukiamos nuosavo kapitalo grąžos </w:t>
      </w:r>
      <w:r w:rsidR="00897464">
        <w:rPr>
          <w:color w:val="000000"/>
          <w:szCs w:val="18"/>
          <w:lang w:val="lt-LT"/>
        </w:rPr>
        <w:t xml:space="preserve">ROE </w:t>
      </w:r>
      <w:r w:rsidR="00891EB1">
        <w:rPr>
          <w:color w:val="000000"/>
          <w:szCs w:val="18"/>
          <w:lang w:val="lt-LT"/>
        </w:rPr>
        <w:t>ar kito nustatyto pelningumo rodiklio</w:t>
      </w:r>
      <w:r w:rsidR="00897464">
        <w:rPr>
          <w:color w:val="000000"/>
          <w:szCs w:val="18"/>
          <w:lang w:val="lt-LT"/>
        </w:rPr>
        <w:t xml:space="preserve"> (minimalios EBITDA sumos ir pan.).</w:t>
      </w:r>
    </w:p>
    <w:p w14:paraId="73B6BC48" w14:textId="049E0F6E" w:rsidR="005810B5" w:rsidRDefault="00CA1468" w:rsidP="00F92717">
      <w:pPr>
        <w:shd w:val="clear" w:color="auto" w:fill="FFFFFF"/>
        <w:spacing w:after="0"/>
        <w:ind w:firstLine="567"/>
        <w:rPr>
          <w:color w:val="000000"/>
          <w:szCs w:val="18"/>
          <w:lang w:val="lt-LT"/>
        </w:rPr>
      </w:pPr>
      <w:r w:rsidRPr="00282AC2">
        <w:rPr>
          <w:b/>
          <w:bCs/>
          <w:color w:val="000000"/>
          <w:szCs w:val="18"/>
          <w:lang w:val="lt-LT"/>
        </w:rPr>
        <w:t>Kitų</w:t>
      </w:r>
      <w:r>
        <w:rPr>
          <w:color w:val="000000"/>
          <w:szCs w:val="18"/>
          <w:lang w:val="lt-LT"/>
        </w:rPr>
        <w:t xml:space="preserve">, nei akcininko lūkestis pelningumui, </w:t>
      </w:r>
      <w:r w:rsidRPr="00282AC2">
        <w:rPr>
          <w:b/>
          <w:bCs/>
          <w:color w:val="000000"/>
          <w:szCs w:val="18"/>
          <w:lang w:val="lt-LT"/>
        </w:rPr>
        <w:t>finansinių tikslų įgyvendinimas</w:t>
      </w:r>
      <w:r>
        <w:rPr>
          <w:color w:val="000000"/>
          <w:szCs w:val="18"/>
          <w:lang w:val="lt-LT"/>
        </w:rPr>
        <w:t xml:space="preserve"> įvertintas pakankamai gerai – </w:t>
      </w:r>
      <w:r w:rsidRPr="00282AC2">
        <w:rPr>
          <w:b/>
          <w:bCs/>
          <w:color w:val="000000"/>
          <w:szCs w:val="18"/>
          <w:lang w:val="lt-LT"/>
        </w:rPr>
        <w:t xml:space="preserve">70 proc. </w:t>
      </w:r>
      <w:r w:rsidRPr="003C15D1">
        <w:rPr>
          <w:color w:val="000000"/>
          <w:szCs w:val="18"/>
          <w:lang w:val="lt-LT"/>
        </w:rPr>
        <w:t>i</w:t>
      </w:r>
      <w:r>
        <w:rPr>
          <w:color w:val="000000"/>
          <w:szCs w:val="18"/>
          <w:lang w:val="lt-LT"/>
        </w:rPr>
        <w:t xml:space="preserve">š 100 galimų: teigiamus vertinimus dėl optimalios finansinių tikslų bei uždavinių apimties bei kokybiškų matavimo rodiklių sumažino nemenka dalis neambicingai nustatytų siektinų verčių (dalies įmonių faktiniai rezultatai siekė &gt;150 proc. nuo išsikeltų), taip pat </w:t>
      </w:r>
      <w:r w:rsidR="00282AC2">
        <w:rPr>
          <w:color w:val="000000"/>
          <w:szCs w:val="18"/>
          <w:lang w:val="lt-LT"/>
        </w:rPr>
        <w:t>–</w:t>
      </w:r>
      <w:r>
        <w:rPr>
          <w:color w:val="000000"/>
          <w:szCs w:val="18"/>
          <w:lang w:val="lt-LT"/>
        </w:rPr>
        <w:t xml:space="preserve"> </w:t>
      </w:r>
      <w:r w:rsidR="003C15D1">
        <w:rPr>
          <w:color w:val="000000"/>
          <w:szCs w:val="18"/>
          <w:lang w:val="lt-LT"/>
        </w:rPr>
        <w:t xml:space="preserve">tik </w:t>
      </w:r>
      <w:r w:rsidR="00282AC2">
        <w:rPr>
          <w:color w:val="000000"/>
          <w:szCs w:val="18"/>
          <w:lang w:val="lt-LT"/>
        </w:rPr>
        <w:t>dalinis tų tikslų bei uždavinių įgyvendinimas</w:t>
      </w:r>
      <w:r w:rsidR="00DC0F99">
        <w:rPr>
          <w:color w:val="000000"/>
          <w:szCs w:val="18"/>
          <w:lang w:val="lt-LT"/>
        </w:rPr>
        <w:t>.</w:t>
      </w:r>
    </w:p>
    <w:p w14:paraId="571E1BCD" w14:textId="1E9F6DA5" w:rsidR="00BC5650" w:rsidRDefault="00BC5650" w:rsidP="00462971">
      <w:pPr>
        <w:shd w:val="clear" w:color="auto" w:fill="FFFFFF"/>
        <w:spacing w:after="0"/>
        <w:rPr>
          <w:color w:val="000000"/>
          <w:szCs w:val="18"/>
          <w:lang w:val="lt-LT"/>
        </w:rPr>
      </w:pPr>
    </w:p>
    <w:p w14:paraId="653E1028" w14:textId="18FEB7BC" w:rsidR="000D5062" w:rsidRDefault="000D5062" w:rsidP="00462971">
      <w:pPr>
        <w:shd w:val="clear" w:color="auto" w:fill="FFFFFF"/>
        <w:spacing w:after="0"/>
        <w:rPr>
          <w:color w:val="000000"/>
          <w:szCs w:val="18"/>
          <w:lang w:val="lt-LT"/>
        </w:rPr>
      </w:pPr>
    </w:p>
    <w:p w14:paraId="7EDB5BAB" w14:textId="4058AE0D" w:rsidR="000D5062" w:rsidRDefault="000D5062" w:rsidP="00462971">
      <w:pPr>
        <w:shd w:val="clear" w:color="auto" w:fill="FFFFFF"/>
        <w:spacing w:after="0"/>
        <w:rPr>
          <w:color w:val="000000"/>
          <w:szCs w:val="18"/>
          <w:lang w:val="lt-LT"/>
        </w:rPr>
      </w:pPr>
    </w:p>
    <w:p w14:paraId="2519F72D" w14:textId="702C33A4" w:rsidR="000D5062" w:rsidRDefault="000D5062" w:rsidP="00462971">
      <w:pPr>
        <w:shd w:val="clear" w:color="auto" w:fill="FFFFFF"/>
        <w:spacing w:after="0"/>
        <w:rPr>
          <w:color w:val="000000"/>
          <w:szCs w:val="18"/>
          <w:lang w:val="lt-LT"/>
        </w:rPr>
      </w:pPr>
    </w:p>
    <w:p w14:paraId="6AC6008E" w14:textId="77777777" w:rsidR="000D5062" w:rsidRDefault="000D5062" w:rsidP="00462971">
      <w:pPr>
        <w:shd w:val="clear" w:color="auto" w:fill="FFFFFF"/>
        <w:spacing w:after="0"/>
        <w:rPr>
          <w:color w:val="000000"/>
          <w:szCs w:val="18"/>
          <w:lang w:val="lt-LT"/>
        </w:rPr>
      </w:pPr>
    </w:p>
    <w:p w14:paraId="37103479" w14:textId="77777777" w:rsidR="002D033D" w:rsidRDefault="002D033D" w:rsidP="00B91B84">
      <w:pPr>
        <w:shd w:val="clear" w:color="auto" w:fill="FFFFFF"/>
        <w:spacing w:after="0"/>
        <w:ind w:firstLine="567"/>
        <w:jc w:val="center"/>
        <w:rPr>
          <w:b/>
          <w:bCs/>
          <w:color w:val="000000"/>
          <w:szCs w:val="18"/>
          <w:lang w:val="lt-LT"/>
        </w:rPr>
      </w:pPr>
    </w:p>
    <w:p w14:paraId="7C7845B9" w14:textId="77777777" w:rsidR="002D033D" w:rsidRDefault="002D033D" w:rsidP="00B91B84">
      <w:pPr>
        <w:shd w:val="clear" w:color="auto" w:fill="FFFFFF"/>
        <w:spacing w:after="0"/>
        <w:ind w:firstLine="567"/>
        <w:jc w:val="center"/>
        <w:rPr>
          <w:b/>
          <w:bCs/>
          <w:color w:val="000000"/>
          <w:szCs w:val="18"/>
          <w:lang w:val="lt-LT"/>
        </w:rPr>
      </w:pPr>
    </w:p>
    <w:p w14:paraId="46CA365F" w14:textId="77777777" w:rsidR="002D033D" w:rsidRDefault="002D033D" w:rsidP="00B91B84">
      <w:pPr>
        <w:shd w:val="clear" w:color="auto" w:fill="FFFFFF"/>
        <w:spacing w:after="0"/>
        <w:ind w:firstLine="567"/>
        <w:jc w:val="center"/>
        <w:rPr>
          <w:b/>
          <w:bCs/>
          <w:color w:val="000000"/>
          <w:szCs w:val="18"/>
          <w:lang w:val="lt-LT"/>
        </w:rPr>
      </w:pPr>
    </w:p>
    <w:p w14:paraId="60E4B0EC" w14:textId="2CEE233A" w:rsidR="007739AF" w:rsidRPr="007739AF" w:rsidRDefault="007739AF" w:rsidP="00B91B84">
      <w:pPr>
        <w:shd w:val="clear" w:color="auto" w:fill="FFFFFF"/>
        <w:spacing w:after="0"/>
        <w:ind w:firstLine="567"/>
        <w:jc w:val="center"/>
        <w:rPr>
          <w:b/>
          <w:bCs/>
          <w:color w:val="000000"/>
          <w:szCs w:val="18"/>
          <w:lang w:val="lt-LT"/>
        </w:rPr>
      </w:pPr>
      <w:bookmarkStart w:id="5" w:name="_GoBack"/>
      <w:bookmarkEnd w:id="5"/>
      <w:r w:rsidRPr="007739AF">
        <w:rPr>
          <w:b/>
          <w:bCs/>
          <w:color w:val="000000"/>
          <w:szCs w:val="18"/>
          <w:lang w:val="lt-LT"/>
        </w:rPr>
        <w:lastRenderedPageBreak/>
        <w:t>Visų VVĮ strategijos įgyvendinimo vertinimo vidurkis – 73 proc.</w:t>
      </w:r>
    </w:p>
    <w:p w14:paraId="1427BDB4" w14:textId="3FABCD97" w:rsidR="00BC5650" w:rsidRDefault="00A237CF" w:rsidP="00B91B84">
      <w:pPr>
        <w:shd w:val="clear" w:color="auto" w:fill="FFFFFF"/>
        <w:spacing w:after="0"/>
        <w:ind w:firstLine="567"/>
        <w:jc w:val="center"/>
        <w:rPr>
          <w:color w:val="000000"/>
          <w:szCs w:val="18"/>
          <w:lang w:val="lt-LT"/>
        </w:rPr>
      </w:pPr>
      <w:r>
        <w:rPr>
          <w:noProof/>
          <w:lang w:val="lt-LT" w:eastAsia="lt-LT"/>
        </w:rPr>
        <w:drawing>
          <wp:inline distT="0" distB="0" distL="0" distR="0" wp14:anchorId="3CFAF678" wp14:editId="32C79BA5">
            <wp:extent cx="4594860" cy="2971800"/>
            <wp:effectExtent l="0" t="0" r="0" b="0"/>
            <wp:docPr id="15" name="Chart 15">
              <a:extLst xmlns:a="http://schemas.openxmlformats.org/drawingml/2006/main">
                <a:ext uri="{FF2B5EF4-FFF2-40B4-BE49-F238E27FC236}">
                  <a16:creationId xmlns:a16="http://schemas.microsoft.com/office/drawing/2014/main" id="{8084942F-AC98-492A-86A9-AA41F8D5C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C0A6FB" w14:textId="77777777" w:rsidR="00DB40BD" w:rsidRDefault="00DB40BD" w:rsidP="00EE78B4">
      <w:pPr>
        <w:shd w:val="clear" w:color="auto" w:fill="FFFFFF"/>
        <w:spacing w:after="0"/>
        <w:ind w:firstLine="567"/>
        <w:jc w:val="both"/>
        <w:rPr>
          <w:b/>
          <w:bCs/>
          <w:color w:val="000000"/>
          <w:szCs w:val="18"/>
          <w:lang w:val="lt-LT"/>
        </w:rPr>
      </w:pPr>
    </w:p>
    <w:p w14:paraId="5CE47D5C" w14:textId="243E8286" w:rsidR="00034C99" w:rsidRDefault="00DB40BD" w:rsidP="00034C99">
      <w:pPr>
        <w:shd w:val="clear" w:color="auto" w:fill="FFFFFF"/>
        <w:spacing w:after="0"/>
        <w:ind w:firstLine="567"/>
        <w:jc w:val="both"/>
        <w:rPr>
          <w:color w:val="000000"/>
          <w:szCs w:val="18"/>
          <w:lang w:val="lt-LT"/>
        </w:rPr>
      </w:pPr>
      <w:r>
        <w:rPr>
          <w:color w:val="000000"/>
          <w:szCs w:val="18"/>
          <w:lang w:val="lt-LT"/>
        </w:rPr>
        <w:t>VKC įmones suskirstė į 5 sektorius: energetikos (priskyrė 4 VVĮ), finansų (6 VVĮ), susisiekimo (9 VVĮ), žemės ūkio (11 VVĮ) bei kit</w:t>
      </w:r>
      <w:r w:rsidR="00034C99">
        <w:rPr>
          <w:color w:val="000000"/>
          <w:szCs w:val="18"/>
          <w:lang w:val="lt-LT"/>
        </w:rPr>
        <w:t>ą</w:t>
      </w:r>
      <w:r>
        <w:rPr>
          <w:color w:val="000000"/>
          <w:szCs w:val="18"/>
          <w:lang w:val="lt-LT"/>
        </w:rPr>
        <w:t xml:space="preserve"> (14 VVĮ). </w:t>
      </w:r>
      <w:r w:rsidR="00034C99">
        <w:rPr>
          <w:color w:val="000000"/>
          <w:szCs w:val="18"/>
          <w:lang w:val="lt-LT"/>
        </w:rPr>
        <w:t>Žemiau pateiktame grafike atvaizduota kaip atskiriems sektoriams 2020 m. sekėsi įgyvendinti tiek finansinius, tiek nefinansinius tikslus bei uždavinius.</w:t>
      </w:r>
    </w:p>
    <w:p w14:paraId="193979B0" w14:textId="4CFE0365" w:rsidR="00034C99" w:rsidRDefault="00034C99" w:rsidP="00034C99">
      <w:pPr>
        <w:shd w:val="clear" w:color="auto" w:fill="FFFFFF"/>
        <w:spacing w:after="0"/>
        <w:jc w:val="both"/>
        <w:rPr>
          <w:color w:val="000000"/>
          <w:szCs w:val="18"/>
          <w:lang w:val="lt-LT"/>
        </w:rPr>
      </w:pPr>
    </w:p>
    <w:p w14:paraId="47D504D8" w14:textId="5227B36D" w:rsidR="00034C99" w:rsidRDefault="00034C99" w:rsidP="00034C99">
      <w:pPr>
        <w:shd w:val="clear" w:color="auto" w:fill="FFFFFF"/>
        <w:spacing w:after="0"/>
        <w:jc w:val="center"/>
        <w:rPr>
          <w:color w:val="000000"/>
          <w:szCs w:val="18"/>
          <w:lang w:val="lt-LT"/>
        </w:rPr>
      </w:pPr>
      <w:r>
        <w:rPr>
          <w:noProof/>
          <w:lang w:val="lt-LT" w:eastAsia="lt-LT"/>
        </w:rPr>
        <w:drawing>
          <wp:inline distT="0" distB="0" distL="0" distR="0" wp14:anchorId="581B3815" wp14:editId="6997A92F">
            <wp:extent cx="4572000" cy="2743200"/>
            <wp:effectExtent l="0" t="0" r="0" b="0"/>
            <wp:docPr id="21" name="Chart 21">
              <a:extLst xmlns:a="http://schemas.openxmlformats.org/drawingml/2006/main">
                <a:ext uri="{FF2B5EF4-FFF2-40B4-BE49-F238E27FC236}">
                  <a16:creationId xmlns:a16="http://schemas.microsoft.com/office/drawing/2014/main" id="{45EFD553-89B7-48D1-A311-0BDA2A4B0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7380A9" w14:textId="1D1BADB0" w:rsidR="00034C99" w:rsidRDefault="00034C99" w:rsidP="00EE78B4">
      <w:pPr>
        <w:shd w:val="clear" w:color="auto" w:fill="FFFFFF"/>
        <w:spacing w:after="0"/>
        <w:ind w:firstLine="567"/>
        <w:jc w:val="both"/>
        <w:rPr>
          <w:color w:val="000000"/>
          <w:szCs w:val="18"/>
          <w:lang w:val="lt-LT"/>
        </w:rPr>
      </w:pPr>
    </w:p>
    <w:p w14:paraId="0E0F217B" w14:textId="6F0EA19A" w:rsidR="007932EB" w:rsidRDefault="00034C99" w:rsidP="00EE78B4">
      <w:pPr>
        <w:shd w:val="clear" w:color="auto" w:fill="FFFFFF"/>
        <w:spacing w:after="0"/>
        <w:ind w:firstLine="567"/>
        <w:jc w:val="both"/>
        <w:rPr>
          <w:color w:val="000000"/>
          <w:szCs w:val="18"/>
          <w:lang w:val="lt-LT"/>
        </w:rPr>
      </w:pPr>
      <w:r>
        <w:rPr>
          <w:color w:val="000000"/>
          <w:szCs w:val="18"/>
          <w:lang w:val="lt-LT"/>
        </w:rPr>
        <w:t xml:space="preserve">Aukščiausias finansinių rodiklių pasiekimas fiksuojamas </w:t>
      </w:r>
      <w:r w:rsidR="007932EB" w:rsidRPr="008116D0">
        <w:rPr>
          <w:b/>
          <w:bCs/>
          <w:color w:val="000000"/>
          <w:szCs w:val="18"/>
          <w:lang w:val="lt-LT"/>
        </w:rPr>
        <w:t xml:space="preserve">finansų </w:t>
      </w:r>
      <w:r w:rsidR="00AC2EC9" w:rsidRPr="008116D0">
        <w:rPr>
          <w:b/>
          <w:bCs/>
          <w:color w:val="000000"/>
          <w:szCs w:val="18"/>
          <w:lang w:val="lt-LT"/>
        </w:rPr>
        <w:t>sektoriaus</w:t>
      </w:r>
      <w:r w:rsidR="007932EB">
        <w:rPr>
          <w:color w:val="000000"/>
          <w:szCs w:val="18"/>
          <w:lang w:val="lt-LT"/>
        </w:rPr>
        <w:t xml:space="preserve"> įmonėse – 94 proc. Finansinius akcininko lūkesčius tinkamai išsikėlė bei įgyvendino UAB „Investicijų ir verslo garantijos“ bei UAB Žemės ūkio paskolų garantijų fondas, tuo tarpu VĮ Turto bankas </w:t>
      </w:r>
      <w:r w:rsidR="00F759F0">
        <w:rPr>
          <w:color w:val="000000"/>
          <w:szCs w:val="18"/>
          <w:lang w:val="lt-LT"/>
        </w:rPr>
        <w:t>savo strategijoje neatspindėjo akcininko laukiamo finansinio EBITDA rezultato 2020 m., o ir faktiškai nepasiekė.</w:t>
      </w:r>
    </w:p>
    <w:p w14:paraId="641379A5" w14:textId="546027F8" w:rsidR="007672C0" w:rsidRDefault="007932EB" w:rsidP="0096772B">
      <w:pPr>
        <w:shd w:val="clear" w:color="auto" w:fill="FFFFFF"/>
        <w:spacing w:after="0"/>
        <w:ind w:firstLine="567"/>
        <w:jc w:val="both"/>
        <w:rPr>
          <w:color w:val="000000"/>
          <w:szCs w:val="18"/>
          <w:lang w:val="lt-LT"/>
        </w:rPr>
      </w:pPr>
      <w:r>
        <w:rPr>
          <w:color w:val="000000"/>
          <w:szCs w:val="18"/>
          <w:lang w:val="lt-LT"/>
        </w:rPr>
        <w:t>UAB Viešųjų investicijų plėtros agentūra, VĮ Indėlių ir investicijų draudimas, VĮ Turto bankas, UAB „Investicijų ir verslo garantijos“ bei UAB Žemės ūkio paskolų garantijų fondas 100 proc. įgyvendino</w:t>
      </w:r>
      <w:r w:rsidR="00465348">
        <w:rPr>
          <w:color w:val="000000"/>
          <w:szCs w:val="18"/>
          <w:lang w:val="lt-LT"/>
        </w:rPr>
        <w:t xml:space="preserve"> ir kitus</w:t>
      </w:r>
      <w:r>
        <w:rPr>
          <w:color w:val="000000"/>
          <w:szCs w:val="18"/>
          <w:lang w:val="lt-LT"/>
        </w:rPr>
        <w:t xml:space="preserve"> finansinius strateginius tikslus bei uždavinius</w:t>
      </w:r>
      <w:r w:rsidR="00465348">
        <w:rPr>
          <w:color w:val="000000"/>
          <w:szCs w:val="18"/>
          <w:lang w:val="lt-LT"/>
        </w:rPr>
        <w:t xml:space="preserve">, UAB „Būsto paskolų draudimas“ </w:t>
      </w:r>
      <w:r w:rsidR="009B6AFF">
        <w:rPr>
          <w:color w:val="000000"/>
          <w:szCs w:val="18"/>
          <w:lang w:val="lt-LT"/>
        </w:rPr>
        <w:t>-</w:t>
      </w:r>
      <w:r w:rsidR="00465348">
        <w:rPr>
          <w:color w:val="000000"/>
          <w:szCs w:val="18"/>
          <w:lang w:val="lt-LT"/>
        </w:rPr>
        <w:t xml:space="preserve"> </w:t>
      </w:r>
      <w:r w:rsidR="008116D0">
        <w:rPr>
          <w:color w:val="000000"/>
          <w:szCs w:val="18"/>
          <w:lang w:val="lt-LT"/>
        </w:rPr>
        <w:t xml:space="preserve">tik </w:t>
      </w:r>
      <w:r w:rsidR="00465348">
        <w:rPr>
          <w:color w:val="000000"/>
          <w:szCs w:val="18"/>
          <w:lang w:val="lt-LT"/>
        </w:rPr>
        <w:t>63 proc.</w:t>
      </w:r>
      <w:r w:rsidR="008116D0">
        <w:rPr>
          <w:color w:val="000000"/>
          <w:szCs w:val="18"/>
          <w:lang w:val="lt-LT"/>
        </w:rPr>
        <w:t xml:space="preserve"> </w:t>
      </w:r>
      <w:r w:rsidR="007672C0">
        <w:rPr>
          <w:color w:val="000000"/>
          <w:szCs w:val="18"/>
          <w:lang w:val="lt-LT"/>
        </w:rPr>
        <w:t>Nefinansinius strateginius tikslus ir uždavinius šis sektorius įgyvendino 77 proc.</w:t>
      </w:r>
    </w:p>
    <w:p w14:paraId="047F0BDF" w14:textId="6EE9E2DC" w:rsidR="00DB40BD" w:rsidRPr="007672C0" w:rsidRDefault="008116D0" w:rsidP="0096772B">
      <w:pPr>
        <w:shd w:val="clear" w:color="auto" w:fill="FFFFFF"/>
        <w:spacing w:after="0"/>
        <w:ind w:firstLine="567"/>
        <w:jc w:val="both"/>
        <w:rPr>
          <w:color w:val="000000"/>
          <w:szCs w:val="18"/>
          <w:lang w:val="lt-LT"/>
        </w:rPr>
      </w:pPr>
      <w:r>
        <w:rPr>
          <w:color w:val="000000"/>
          <w:szCs w:val="18"/>
          <w:lang w:val="lt-LT"/>
        </w:rPr>
        <w:t xml:space="preserve">Dėl objektyvių tiek su Covid-19 pandemija susijusių, tiek geopolitinių priežasčių, prasčiausiai finansinius tikslus bei uždavinius sekėsi įgyvendinti </w:t>
      </w:r>
      <w:r w:rsidRPr="00907066">
        <w:rPr>
          <w:b/>
          <w:bCs/>
          <w:color w:val="000000"/>
          <w:szCs w:val="18"/>
          <w:lang w:val="lt-LT"/>
        </w:rPr>
        <w:t>susisiekimo sektoriaus</w:t>
      </w:r>
      <w:r>
        <w:rPr>
          <w:color w:val="000000"/>
          <w:szCs w:val="18"/>
          <w:lang w:val="lt-LT"/>
        </w:rPr>
        <w:t xml:space="preserve"> įmonėms – 54 proc.</w:t>
      </w:r>
      <w:r w:rsidR="00907066">
        <w:rPr>
          <w:color w:val="000000"/>
          <w:szCs w:val="18"/>
          <w:lang w:val="lt-LT"/>
        </w:rPr>
        <w:t xml:space="preserve"> </w:t>
      </w:r>
      <w:r w:rsidR="006156FD">
        <w:rPr>
          <w:color w:val="000000"/>
          <w:szCs w:val="18"/>
          <w:lang w:val="lt-LT"/>
        </w:rPr>
        <w:t xml:space="preserve">Dėl minėtų priežasčių </w:t>
      </w:r>
      <w:r w:rsidR="00907066">
        <w:rPr>
          <w:color w:val="000000"/>
          <w:szCs w:val="18"/>
          <w:lang w:val="lt-LT"/>
        </w:rPr>
        <w:t>VĮ Lietuvos oro uostai, VĮ „Oro navigacija“ bei AB „Lietuvos geležinkeliai“ įmonių grupė</w:t>
      </w:r>
      <w:r w:rsidR="006156FD">
        <w:rPr>
          <w:color w:val="000000"/>
          <w:szCs w:val="18"/>
          <w:lang w:val="lt-LT"/>
        </w:rPr>
        <w:t xml:space="preserve"> negalėjo </w:t>
      </w:r>
      <w:r w:rsidR="00AC2EC9">
        <w:rPr>
          <w:color w:val="000000"/>
          <w:szCs w:val="18"/>
          <w:lang w:val="lt-LT"/>
        </w:rPr>
        <w:t>uždirbti</w:t>
      </w:r>
      <w:r w:rsidR="006156FD">
        <w:rPr>
          <w:color w:val="000000"/>
          <w:szCs w:val="18"/>
          <w:lang w:val="lt-LT"/>
        </w:rPr>
        <w:t xml:space="preserve"> akcininko laukiamos nuosavo kapitalo grąžos, o ir kitus finansinius tikslus įvykdė atitinkamai 28 proc., 50 proc. ir 47 proc. Tuo tarpu AB „Lietuvos paštas“ įmonių grupė nors ir neišsikėlė, tačiau tinkamai įgyvendino </w:t>
      </w:r>
      <w:r w:rsidR="006156FD">
        <w:rPr>
          <w:color w:val="000000"/>
          <w:szCs w:val="18"/>
          <w:lang w:val="lt-LT"/>
        </w:rPr>
        <w:lastRenderedPageBreak/>
        <w:t>akcininko laukiamą nuosavo kapitalo grąžos rodiklį. Įmonės AB „Smiltynės perkėla“, VĮ Klaipėdos valstybinio jūrų uosto direkcija bei VĮ Vidaus vandens kelių direkcija taip pat sėkmingai uždirbo akcininko laukiamus rezultatus.</w:t>
      </w:r>
      <w:r w:rsidR="007672C0">
        <w:rPr>
          <w:color w:val="000000"/>
          <w:szCs w:val="18"/>
          <w:lang w:val="lt-LT"/>
        </w:rPr>
        <w:t xml:space="preserve"> Nefinansinius strateginius tikslus ir uždavinius šis sektorius įgyvendino 71 proc.</w:t>
      </w:r>
    </w:p>
    <w:p w14:paraId="176BD14C" w14:textId="6D1E5684" w:rsidR="00E700DC" w:rsidRDefault="00B91B84" w:rsidP="0096772B">
      <w:pPr>
        <w:shd w:val="clear" w:color="auto" w:fill="FFFFFF"/>
        <w:spacing w:after="0"/>
        <w:ind w:firstLine="567"/>
        <w:jc w:val="both"/>
        <w:rPr>
          <w:color w:val="000000"/>
          <w:szCs w:val="18"/>
          <w:lang w:val="lt-LT"/>
        </w:rPr>
      </w:pPr>
      <w:r w:rsidRPr="00CB746C">
        <w:rPr>
          <w:b/>
          <w:bCs/>
          <w:color w:val="000000"/>
          <w:szCs w:val="18"/>
          <w:lang w:val="lt-LT"/>
        </w:rPr>
        <w:t>Energetikos sektoriaus</w:t>
      </w:r>
      <w:r>
        <w:rPr>
          <w:color w:val="000000"/>
          <w:szCs w:val="18"/>
          <w:lang w:val="lt-LT"/>
        </w:rPr>
        <w:t xml:space="preserve"> </w:t>
      </w:r>
      <w:r w:rsidR="007672C0">
        <w:rPr>
          <w:color w:val="000000"/>
          <w:szCs w:val="18"/>
          <w:lang w:val="lt-LT"/>
        </w:rPr>
        <w:t>įmonės tiek tinkamai atspindėjo akcininko finansinius lūkesčius pelningumui, tiek įgyvendino juos. Bendrai visus išsikeltas finansines užduotis sektoriui pavyko įgyvendinti 80 proc.: AB „Ignitis grupė“ bei EPSO-G įmonių grupė – 100 proc., AB „Klaipėdos nafta“ įmonių grupė – 69 proc., VĮ „Ignalinos atominė elektrinė“ – 50 proc.</w:t>
      </w:r>
      <w:r w:rsidR="00903D7A">
        <w:rPr>
          <w:color w:val="000000"/>
          <w:szCs w:val="18"/>
          <w:lang w:val="lt-LT"/>
        </w:rPr>
        <w:t xml:space="preserve"> Nefinansinius strateginius tikslus ir uždavinius šis sektorius įgyvendino 65 proc., labiausiai dėl nepasiektų tikslų EPSO-G įmonių grupėje bei AB „Klaipėdos nafta“ įmonių grupėje.</w:t>
      </w:r>
    </w:p>
    <w:p w14:paraId="7204E389" w14:textId="71D8DB13" w:rsidR="00E700DC" w:rsidRDefault="0096772B" w:rsidP="00CD33D4">
      <w:pPr>
        <w:shd w:val="clear" w:color="auto" w:fill="FFFFFF"/>
        <w:spacing w:after="0"/>
        <w:ind w:firstLine="567"/>
        <w:jc w:val="both"/>
        <w:rPr>
          <w:color w:val="000000"/>
          <w:szCs w:val="18"/>
          <w:lang w:val="lt-LT"/>
        </w:rPr>
      </w:pPr>
      <w:r>
        <w:rPr>
          <w:color w:val="000000"/>
          <w:szCs w:val="18"/>
          <w:lang w:val="lt-LT"/>
        </w:rPr>
        <w:t xml:space="preserve">Net 7 iš 11 </w:t>
      </w:r>
      <w:r>
        <w:rPr>
          <w:b/>
          <w:bCs/>
          <w:color w:val="000000"/>
          <w:szCs w:val="18"/>
          <w:lang w:val="lt-LT"/>
        </w:rPr>
        <w:t xml:space="preserve">žemės ūkio sektoriui </w:t>
      </w:r>
      <w:r>
        <w:rPr>
          <w:color w:val="000000"/>
          <w:szCs w:val="18"/>
          <w:lang w:val="lt-LT"/>
        </w:rPr>
        <w:t xml:space="preserve">priskirtų įmonių neįgyvendino akcininko lūkesčio pelningumui, o dalis jų kėlėsi netinkamus rodiklius: AB „Jonavos grūdai“, AB „Kiaulių veislininkystė“, UAB „Lietuvos žirgynas“, UAB „Genetiniai ištekliai“, UAB „Šilutės veislininkystė“, VĮ Žemės ūkio informacijos ir kaimo verslo centras neuždirbo akcininko laukiamos nuosavo kapitalo grąžos. UAB „Panevėžio veislininkystė“, AB „Lietuvos veislininkystė“, UAB „Šilutės polderiai“ bei UAB „Pieno tyrimai“ generavo </w:t>
      </w:r>
      <w:r w:rsidR="00625FB0">
        <w:rPr>
          <w:color w:val="000000"/>
          <w:szCs w:val="18"/>
          <w:lang w:val="lt-LT"/>
        </w:rPr>
        <w:t xml:space="preserve">akcininko </w:t>
      </w:r>
      <w:r>
        <w:rPr>
          <w:color w:val="000000"/>
          <w:szCs w:val="18"/>
          <w:lang w:val="lt-LT"/>
        </w:rPr>
        <w:t>laukiamą ROE.</w:t>
      </w:r>
    </w:p>
    <w:p w14:paraId="76901583" w14:textId="0A411F24" w:rsidR="004737BE" w:rsidRDefault="00CD33D4" w:rsidP="00922540">
      <w:pPr>
        <w:shd w:val="clear" w:color="auto" w:fill="FFFFFF"/>
        <w:spacing w:after="0"/>
        <w:ind w:firstLine="567"/>
        <w:jc w:val="both"/>
        <w:rPr>
          <w:color w:val="000000"/>
          <w:szCs w:val="18"/>
          <w:lang w:val="lt-LT"/>
        </w:rPr>
      </w:pPr>
      <w:r w:rsidRPr="00CD33D4">
        <w:rPr>
          <w:b/>
          <w:bCs/>
          <w:color w:val="000000"/>
          <w:szCs w:val="18"/>
          <w:lang w:val="lt-LT"/>
        </w:rPr>
        <w:t>Kitų įmonių sektoriui</w:t>
      </w:r>
      <w:r>
        <w:rPr>
          <w:color w:val="000000"/>
          <w:szCs w:val="18"/>
          <w:lang w:val="lt-LT"/>
        </w:rPr>
        <w:t xml:space="preserve"> priskirtos įmonės 76 proc. įgy</w:t>
      </w:r>
      <w:r w:rsidR="00F501EE">
        <w:rPr>
          <w:color w:val="000000"/>
          <w:szCs w:val="18"/>
          <w:lang w:val="lt-LT"/>
        </w:rPr>
        <w:t>v</w:t>
      </w:r>
      <w:r>
        <w:rPr>
          <w:color w:val="000000"/>
          <w:szCs w:val="18"/>
          <w:lang w:val="lt-LT"/>
        </w:rPr>
        <w:t xml:space="preserve">endino visus finansinius tikslus, bei 83 proc. – nefinansinius. Bendrai tarp </w:t>
      </w:r>
      <w:r w:rsidR="00625FB0">
        <w:rPr>
          <w:color w:val="000000"/>
          <w:szCs w:val="18"/>
          <w:lang w:val="lt-LT"/>
        </w:rPr>
        <w:t>šio sektoriaus įmonių aukštais strategijų įgyvendinimo vertinimais pasižymėjo AB Giraitės ginkluotės gamykla, VĮ Lietuvos prabavimo rūmai, UAB „Projektų ekspertizė“ bei VĮ Statybos produkcijos sertifikavimo centras, kurių tiek finansiniai, tiek nefinansiniai tikslai ir uždaviniai įgyvendinti maksimaliai 100 proc., tačiau svarbu pažymėti, jog ne visos siektinos rodiklių vertės buvo pakankamai ambicingos.“ Dėl Covid-19 pandemijos viena labiausiai nukentėjusių įmonių – UAB Lietuvos parodų ir kongresų centras „LITEXPO“ finansinių tikslų neįgyvendino visiškai.</w:t>
      </w:r>
      <w:r w:rsidR="00845ACC">
        <w:rPr>
          <w:color w:val="000000"/>
          <w:szCs w:val="18"/>
          <w:lang w:val="lt-LT"/>
        </w:rPr>
        <w:t xml:space="preserve"> Bendras sektoriaus įmonių vidurkis įgyvendinant nefinansines užduotis yra aukštas – 83 proc.</w:t>
      </w:r>
    </w:p>
    <w:p w14:paraId="70390E22" w14:textId="57E01A79" w:rsidR="00061287" w:rsidRDefault="00061287" w:rsidP="00922540">
      <w:pPr>
        <w:shd w:val="clear" w:color="auto" w:fill="FFFFFF"/>
        <w:spacing w:after="0"/>
        <w:ind w:firstLine="567"/>
        <w:jc w:val="both"/>
        <w:rPr>
          <w:color w:val="000000"/>
          <w:szCs w:val="18"/>
          <w:lang w:val="lt-LT"/>
        </w:rPr>
      </w:pPr>
    </w:p>
    <w:p w14:paraId="4B6471FE" w14:textId="0CC04BF1" w:rsidR="00061287" w:rsidRDefault="00061287" w:rsidP="00922540">
      <w:pPr>
        <w:shd w:val="clear" w:color="auto" w:fill="FFFFFF"/>
        <w:spacing w:after="0"/>
        <w:ind w:firstLine="567"/>
        <w:jc w:val="both"/>
        <w:rPr>
          <w:color w:val="000000"/>
          <w:szCs w:val="18"/>
          <w:lang w:val="lt-LT"/>
        </w:rPr>
      </w:pPr>
    </w:p>
    <w:p w14:paraId="482E22E9" w14:textId="047CF6D7" w:rsidR="00061287" w:rsidRDefault="00061287" w:rsidP="00922540">
      <w:pPr>
        <w:shd w:val="clear" w:color="auto" w:fill="FFFFFF"/>
        <w:spacing w:after="0"/>
        <w:ind w:firstLine="567"/>
        <w:jc w:val="both"/>
        <w:rPr>
          <w:color w:val="000000"/>
          <w:szCs w:val="18"/>
          <w:lang w:val="lt-LT"/>
        </w:rPr>
      </w:pPr>
    </w:p>
    <w:p w14:paraId="49163666" w14:textId="0297DFAE" w:rsidR="00061287" w:rsidRDefault="00061287" w:rsidP="00922540">
      <w:pPr>
        <w:shd w:val="clear" w:color="auto" w:fill="FFFFFF"/>
        <w:spacing w:after="0"/>
        <w:ind w:firstLine="567"/>
        <w:jc w:val="both"/>
        <w:rPr>
          <w:color w:val="000000"/>
          <w:szCs w:val="18"/>
          <w:lang w:val="lt-LT"/>
        </w:rPr>
      </w:pPr>
    </w:p>
    <w:p w14:paraId="176CD5C1" w14:textId="5B5F94FB" w:rsidR="00061287" w:rsidRDefault="00061287" w:rsidP="00922540">
      <w:pPr>
        <w:shd w:val="clear" w:color="auto" w:fill="FFFFFF"/>
        <w:spacing w:after="0"/>
        <w:ind w:firstLine="567"/>
        <w:jc w:val="both"/>
        <w:rPr>
          <w:color w:val="000000"/>
          <w:szCs w:val="18"/>
          <w:lang w:val="lt-LT"/>
        </w:rPr>
      </w:pPr>
    </w:p>
    <w:p w14:paraId="7CE33639" w14:textId="679DC57B" w:rsidR="00061287" w:rsidRDefault="00061287" w:rsidP="00922540">
      <w:pPr>
        <w:shd w:val="clear" w:color="auto" w:fill="FFFFFF"/>
        <w:spacing w:after="0"/>
        <w:ind w:firstLine="567"/>
        <w:jc w:val="both"/>
        <w:rPr>
          <w:color w:val="000000"/>
          <w:szCs w:val="18"/>
          <w:lang w:val="lt-LT"/>
        </w:rPr>
      </w:pPr>
    </w:p>
    <w:p w14:paraId="2AADE4C3" w14:textId="7DAC29B4" w:rsidR="00061287" w:rsidRDefault="00061287" w:rsidP="00922540">
      <w:pPr>
        <w:shd w:val="clear" w:color="auto" w:fill="FFFFFF"/>
        <w:spacing w:after="0"/>
        <w:ind w:firstLine="567"/>
        <w:jc w:val="both"/>
        <w:rPr>
          <w:color w:val="000000"/>
          <w:szCs w:val="18"/>
          <w:lang w:val="lt-LT"/>
        </w:rPr>
      </w:pPr>
    </w:p>
    <w:p w14:paraId="50C8E051" w14:textId="17B05D04" w:rsidR="00061287" w:rsidRDefault="00061287" w:rsidP="00922540">
      <w:pPr>
        <w:shd w:val="clear" w:color="auto" w:fill="FFFFFF"/>
        <w:spacing w:after="0"/>
        <w:ind w:firstLine="567"/>
        <w:jc w:val="both"/>
        <w:rPr>
          <w:color w:val="000000"/>
          <w:szCs w:val="18"/>
          <w:lang w:val="lt-LT"/>
        </w:rPr>
      </w:pPr>
    </w:p>
    <w:p w14:paraId="63ED2AAF" w14:textId="4FAD616A" w:rsidR="00061287" w:rsidRDefault="00061287" w:rsidP="00922540">
      <w:pPr>
        <w:shd w:val="clear" w:color="auto" w:fill="FFFFFF"/>
        <w:spacing w:after="0"/>
        <w:ind w:firstLine="567"/>
        <w:jc w:val="both"/>
        <w:rPr>
          <w:color w:val="000000"/>
          <w:szCs w:val="18"/>
          <w:lang w:val="lt-LT"/>
        </w:rPr>
      </w:pPr>
    </w:p>
    <w:p w14:paraId="497F0137" w14:textId="031D87A2" w:rsidR="00061287" w:rsidRDefault="00061287" w:rsidP="00922540">
      <w:pPr>
        <w:shd w:val="clear" w:color="auto" w:fill="FFFFFF"/>
        <w:spacing w:after="0"/>
        <w:ind w:firstLine="567"/>
        <w:jc w:val="both"/>
        <w:rPr>
          <w:color w:val="000000"/>
          <w:szCs w:val="18"/>
          <w:lang w:val="lt-LT"/>
        </w:rPr>
      </w:pPr>
    </w:p>
    <w:p w14:paraId="1EE9051B" w14:textId="4AAD7E01" w:rsidR="00061287" w:rsidRDefault="00061287" w:rsidP="00922540">
      <w:pPr>
        <w:shd w:val="clear" w:color="auto" w:fill="FFFFFF"/>
        <w:spacing w:after="0"/>
        <w:ind w:firstLine="567"/>
        <w:jc w:val="both"/>
        <w:rPr>
          <w:color w:val="000000"/>
          <w:szCs w:val="18"/>
          <w:lang w:val="lt-LT"/>
        </w:rPr>
      </w:pPr>
    </w:p>
    <w:p w14:paraId="7CC7CA8B" w14:textId="6512E660" w:rsidR="00061287" w:rsidRDefault="00061287" w:rsidP="00922540">
      <w:pPr>
        <w:shd w:val="clear" w:color="auto" w:fill="FFFFFF"/>
        <w:spacing w:after="0"/>
        <w:ind w:firstLine="567"/>
        <w:jc w:val="both"/>
        <w:rPr>
          <w:color w:val="000000"/>
          <w:szCs w:val="18"/>
          <w:lang w:val="lt-LT"/>
        </w:rPr>
      </w:pPr>
    </w:p>
    <w:p w14:paraId="211CD68E" w14:textId="2C0AA937" w:rsidR="00061287" w:rsidRDefault="00061287" w:rsidP="00922540">
      <w:pPr>
        <w:shd w:val="clear" w:color="auto" w:fill="FFFFFF"/>
        <w:spacing w:after="0"/>
        <w:ind w:firstLine="567"/>
        <w:jc w:val="both"/>
        <w:rPr>
          <w:color w:val="000000"/>
          <w:szCs w:val="18"/>
          <w:lang w:val="lt-LT"/>
        </w:rPr>
      </w:pPr>
    </w:p>
    <w:p w14:paraId="300A5B8D" w14:textId="78A0A1AC" w:rsidR="00061287" w:rsidRDefault="00061287" w:rsidP="00922540">
      <w:pPr>
        <w:shd w:val="clear" w:color="auto" w:fill="FFFFFF"/>
        <w:spacing w:after="0"/>
        <w:ind w:firstLine="567"/>
        <w:jc w:val="both"/>
        <w:rPr>
          <w:color w:val="000000"/>
          <w:szCs w:val="18"/>
          <w:lang w:val="lt-LT"/>
        </w:rPr>
      </w:pPr>
    </w:p>
    <w:p w14:paraId="45672C4F" w14:textId="5167B8AA" w:rsidR="00061287" w:rsidRDefault="00061287" w:rsidP="00922540">
      <w:pPr>
        <w:shd w:val="clear" w:color="auto" w:fill="FFFFFF"/>
        <w:spacing w:after="0"/>
        <w:ind w:firstLine="567"/>
        <w:jc w:val="both"/>
        <w:rPr>
          <w:color w:val="000000"/>
          <w:szCs w:val="18"/>
          <w:lang w:val="lt-LT"/>
        </w:rPr>
      </w:pPr>
    </w:p>
    <w:p w14:paraId="13243677" w14:textId="71460B23" w:rsidR="00061287" w:rsidRDefault="00061287" w:rsidP="00922540">
      <w:pPr>
        <w:shd w:val="clear" w:color="auto" w:fill="FFFFFF"/>
        <w:spacing w:after="0"/>
        <w:ind w:firstLine="567"/>
        <w:jc w:val="both"/>
        <w:rPr>
          <w:color w:val="000000"/>
          <w:szCs w:val="18"/>
          <w:lang w:val="lt-LT"/>
        </w:rPr>
      </w:pPr>
    </w:p>
    <w:p w14:paraId="272631DB" w14:textId="508B6C7A" w:rsidR="00061287" w:rsidRDefault="00061287" w:rsidP="00922540">
      <w:pPr>
        <w:shd w:val="clear" w:color="auto" w:fill="FFFFFF"/>
        <w:spacing w:after="0"/>
        <w:ind w:firstLine="567"/>
        <w:jc w:val="both"/>
        <w:rPr>
          <w:color w:val="000000"/>
          <w:szCs w:val="18"/>
          <w:lang w:val="lt-LT"/>
        </w:rPr>
      </w:pPr>
    </w:p>
    <w:p w14:paraId="0FCD564C" w14:textId="443E351C" w:rsidR="00061287" w:rsidRDefault="00061287" w:rsidP="00922540">
      <w:pPr>
        <w:shd w:val="clear" w:color="auto" w:fill="FFFFFF"/>
        <w:spacing w:after="0"/>
        <w:ind w:firstLine="567"/>
        <w:jc w:val="both"/>
        <w:rPr>
          <w:color w:val="000000"/>
          <w:szCs w:val="18"/>
          <w:lang w:val="lt-LT"/>
        </w:rPr>
      </w:pPr>
    </w:p>
    <w:p w14:paraId="2188576E" w14:textId="61E9A0D7" w:rsidR="00061287" w:rsidRDefault="00061287" w:rsidP="00922540">
      <w:pPr>
        <w:shd w:val="clear" w:color="auto" w:fill="FFFFFF"/>
        <w:spacing w:after="0"/>
        <w:ind w:firstLine="567"/>
        <w:jc w:val="both"/>
        <w:rPr>
          <w:color w:val="000000"/>
          <w:szCs w:val="18"/>
          <w:lang w:val="lt-LT"/>
        </w:rPr>
      </w:pPr>
    </w:p>
    <w:p w14:paraId="5ACC5370" w14:textId="67E54FF6" w:rsidR="00061287" w:rsidRDefault="00061287" w:rsidP="00922540">
      <w:pPr>
        <w:shd w:val="clear" w:color="auto" w:fill="FFFFFF"/>
        <w:spacing w:after="0"/>
        <w:ind w:firstLine="567"/>
        <w:jc w:val="both"/>
        <w:rPr>
          <w:color w:val="000000"/>
          <w:szCs w:val="18"/>
          <w:lang w:val="lt-LT"/>
        </w:rPr>
      </w:pPr>
    </w:p>
    <w:p w14:paraId="63398148" w14:textId="1EC53517" w:rsidR="00061287" w:rsidRDefault="00061287" w:rsidP="00922540">
      <w:pPr>
        <w:shd w:val="clear" w:color="auto" w:fill="FFFFFF"/>
        <w:spacing w:after="0"/>
        <w:ind w:firstLine="567"/>
        <w:jc w:val="both"/>
        <w:rPr>
          <w:color w:val="000000"/>
          <w:szCs w:val="18"/>
          <w:lang w:val="lt-LT"/>
        </w:rPr>
      </w:pPr>
    </w:p>
    <w:p w14:paraId="0E92749F" w14:textId="1BC84B12" w:rsidR="00061287" w:rsidRDefault="00061287" w:rsidP="00922540">
      <w:pPr>
        <w:shd w:val="clear" w:color="auto" w:fill="FFFFFF"/>
        <w:spacing w:after="0"/>
        <w:ind w:firstLine="567"/>
        <w:jc w:val="both"/>
        <w:rPr>
          <w:color w:val="000000"/>
          <w:szCs w:val="18"/>
          <w:lang w:val="lt-LT"/>
        </w:rPr>
      </w:pPr>
    </w:p>
    <w:p w14:paraId="6DF4C17C" w14:textId="53AC8FE1" w:rsidR="00061287" w:rsidRDefault="00061287" w:rsidP="00922540">
      <w:pPr>
        <w:shd w:val="clear" w:color="auto" w:fill="FFFFFF"/>
        <w:spacing w:after="0"/>
        <w:ind w:firstLine="567"/>
        <w:jc w:val="both"/>
        <w:rPr>
          <w:color w:val="000000"/>
          <w:szCs w:val="18"/>
          <w:lang w:val="lt-LT"/>
        </w:rPr>
      </w:pPr>
    </w:p>
    <w:p w14:paraId="1E189F41" w14:textId="6056FAAD" w:rsidR="00061287" w:rsidRDefault="00061287" w:rsidP="00922540">
      <w:pPr>
        <w:shd w:val="clear" w:color="auto" w:fill="FFFFFF"/>
        <w:spacing w:after="0"/>
        <w:ind w:firstLine="567"/>
        <w:jc w:val="both"/>
        <w:rPr>
          <w:color w:val="000000"/>
          <w:szCs w:val="18"/>
          <w:lang w:val="lt-LT"/>
        </w:rPr>
      </w:pPr>
    </w:p>
    <w:p w14:paraId="03DB96E4" w14:textId="42A9322C" w:rsidR="00061287" w:rsidRDefault="00061287" w:rsidP="00922540">
      <w:pPr>
        <w:shd w:val="clear" w:color="auto" w:fill="FFFFFF"/>
        <w:spacing w:after="0"/>
        <w:ind w:firstLine="567"/>
        <w:jc w:val="both"/>
        <w:rPr>
          <w:color w:val="000000"/>
          <w:szCs w:val="18"/>
          <w:lang w:val="lt-LT"/>
        </w:rPr>
      </w:pPr>
    </w:p>
    <w:p w14:paraId="6FF69587" w14:textId="77777777" w:rsidR="00061287" w:rsidRPr="00922540" w:rsidRDefault="00061287" w:rsidP="00922540">
      <w:pPr>
        <w:shd w:val="clear" w:color="auto" w:fill="FFFFFF"/>
        <w:spacing w:after="0"/>
        <w:ind w:firstLine="567"/>
        <w:jc w:val="both"/>
        <w:rPr>
          <w:color w:val="000000"/>
          <w:szCs w:val="18"/>
          <w:lang w:val="lt-LT"/>
        </w:rPr>
      </w:pPr>
    </w:p>
    <w:p w14:paraId="0004E3A4" w14:textId="738E1853" w:rsidR="00E803E6" w:rsidRDefault="00E803E6" w:rsidP="00980066">
      <w:pPr>
        <w:jc w:val="center"/>
        <w:rPr>
          <w:rFonts w:ascii="Calibri" w:eastAsia="Times New Roman" w:hAnsi="Calibri" w:cs="Times New Roman"/>
          <w:b/>
          <w:bCs/>
          <w:color w:val="000000"/>
          <w:lang w:val="lt-LT" w:eastAsia="lt-LT"/>
        </w:rPr>
      </w:pPr>
    </w:p>
    <w:p w14:paraId="2D482C67" w14:textId="3F7D7238" w:rsidR="00E803E6" w:rsidRDefault="00E803E6" w:rsidP="00980066">
      <w:pPr>
        <w:jc w:val="center"/>
        <w:rPr>
          <w:rFonts w:ascii="Calibri" w:eastAsia="Times New Roman" w:hAnsi="Calibri" w:cs="Times New Roman"/>
          <w:b/>
          <w:bCs/>
          <w:color w:val="000000"/>
          <w:lang w:val="lt-LT" w:eastAsia="lt-LT"/>
        </w:rPr>
      </w:pPr>
    </w:p>
    <w:p w14:paraId="4671E68F" w14:textId="36B43C78" w:rsidR="00E803E6" w:rsidRDefault="00E803E6" w:rsidP="00FE3C4F">
      <w:pPr>
        <w:rPr>
          <w:rFonts w:ascii="Calibri" w:eastAsia="Times New Roman" w:hAnsi="Calibri" w:cs="Times New Roman"/>
          <w:b/>
          <w:bCs/>
          <w:color w:val="000000"/>
          <w:lang w:val="lt-LT" w:eastAsia="lt-LT"/>
        </w:rPr>
      </w:pPr>
      <w:bookmarkStart w:id="6" w:name="_Hlk44063037"/>
    </w:p>
    <w:p w14:paraId="3B808DA7" w14:textId="77777777" w:rsidR="00E803E6" w:rsidRPr="00B91B84" w:rsidRDefault="00E803E6" w:rsidP="00FE3C4F">
      <w:pPr>
        <w:rPr>
          <w:rFonts w:ascii="Calibri" w:eastAsia="Times New Roman" w:hAnsi="Calibri" w:cs="Times New Roman"/>
          <w:b/>
          <w:bCs/>
          <w:color w:val="000000"/>
          <w:lang w:val="lt-LT" w:eastAsia="lt-LT"/>
        </w:rPr>
      </w:pPr>
    </w:p>
    <w:p w14:paraId="0E3D8DC3" w14:textId="77777777" w:rsidR="00EA6DA5" w:rsidRPr="00914C75" w:rsidRDefault="00A33F9A" w:rsidP="00136340">
      <w:pPr>
        <w:pStyle w:val="Heading1"/>
        <w:numPr>
          <w:ilvl w:val="0"/>
          <w:numId w:val="39"/>
        </w:numPr>
        <w:ind w:left="426" w:hanging="426"/>
        <w:rPr>
          <w:lang w:val="lt-LT"/>
        </w:rPr>
      </w:pPr>
      <w:bookmarkStart w:id="7" w:name="_Toc85615134"/>
      <w:bookmarkEnd w:id="6"/>
      <w:r w:rsidRPr="00914C75">
        <w:rPr>
          <w:lang w:val="lt-LT"/>
        </w:rPr>
        <w:lastRenderedPageBreak/>
        <w:t>Išvados ir rekomendacijos</w:t>
      </w:r>
      <w:bookmarkEnd w:id="7"/>
    </w:p>
    <w:p w14:paraId="24E00890" w14:textId="563537DF" w:rsidR="008B130E" w:rsidRPr="00EC6A6C" w:rsidRDefault="00462C6A" w:rsidP="00FE3C4F">
      <w:pPr>
        <w:shd w:val="clear" w:color="auto" w:fill="FFFFFF"/>
        <w:spacing w:after="0"/>
        <w:ind w:firstLine="426"/>
        <w:jc w:val="both"/>
        <w:rPr>
          <w:b/>
          <w:bCs/>
          <w:color w:val="000000"/>
          <w:szCs w:val="18"/>
          <w:lang w:val="lt-LT"/>
        </w:rPr>
      </w:pPr>
      <w:r w:rsidRPr="00EC6A6C">
        <w:rPr>
          <w:b/>
          <w:bCs/>
          <w:color w:val="000000"/>
          <w:szCs w:val="18"/>
          <w:lang w:val="lt-LT"/>
        </w:rPr>
        <w:t xml:space="preserve">Atliktas </w:t>
      </w:r>
      <w:r w:rsidR="00A547F0">
        <w:rPr>
          <w:b/>
          <w:bCs/>
          <w:color w:val="000000"/>
          <w:szCs w:val="18"/>
          <w:lang w:val="lt-LT"/>
        </w:rPr>
        <w:t>2020</w:t>
      </w:r>
      <w:r w:rsidRPr="00EC6A6C">
        <w:rPr>
          <w:b/>
          <w:bCs/>
          <w:color w:val="000000"/>
          <w:szCs w:val="18"/>
          <w:lang w:val="lt-LT"/>
        </w:rPr>
        <w:t xml:space="preserve"> metų VVĮ strategijų įgyvendinimo vertinimas atskleidė:</w:t>
      </w:r>
    </w:p>
    <w:p w14:paraId="17E8E6DE" w14:textId="0B84598B" w:rsidR="00A547F0" w:rsidRPr="00A547F0" w:rsidRDefault="00685199" w:rsidP="00A547F0">
      <w:pPr>
        <w:pStyle w:val="ListParagraph"/>
        <w:numPr>
          <w:ilvl w:val="0"/>
          <w:numId w:val="13"/>
        </w:numPr>
        <w:shd w:val="clear" w:color="auto" w:fill="FFFFFF"/>
        <w:spacing w:after="0"/>
        <w:jc w:val="both"/>
        <w:rPr>
          <w:color w:val="000000"/>
          <w:szCs w:val="18"/>
          <w:lang w:val="lt-LT"/>
        </w:rPr>
      </w:pPr>
      <w:r>
        <w:rPr>
          <w:color w:val="000000"/>
          <w:szCs w:val="18"/>
          <w:lang w:val="lt-LT"/>
        </w:rPr>
        <w:t>Išlieka nemaža dalis</w:t>
      </w:r>
      <w:r w:rsidR="00A547F0">
        <w:rPr>
          <w:color w:val="000000"/>
          <w:szCs w:val="18"/>
          <w:lang w:val="lt-LT"/>
        </w:rPr>
        <w:t xml:space="preserve"> – 41 proc. -</w:t>
      </w:r>
      <w:r>
        <w:rPr>
          <w:color w:val="000000"/>
          <w:szCs w:val="18"/>
          <w:lang w:val="lt-LT"/>
        </w:rPr>
        <w:t xml:space="preserve"> V</w:t>
      </w:r>
      <w:r w:rsidR="00CD0381">
        <w:rPr>
          <w:color w:val="000000"/>
          <w:szCs w:val="18"/>
          <w:lang w:val="lt-LT"/>
        </w:rPr>
        <w:t>V</w:t>
      </w:r>
      <w:r>
        <w:rPr>
          <w:color w:val="000000"/>
          <w:szCs w:val="18"/>
          <w:lang w:val="lt-LT"/>
        </w:rPr>
        <w:t>Į, kurių siekiamas pagrindinis pelningumo rodiklis ženkliai mažesnis, nei Vyriausybės nustatytas vidutinis</w:t>
      </w:r>
      <w:r w:rsidR="00A547F0">
        <w:rPr>
          <w:color w:val="000000"/>
          <w:szCs w:val="18"/>
          <w:lang w:val="lt-LT"/>
        </w:rPr>
        <w:t xml:space="preserve"> metinis 2019-2021 m. ir/arba siekiama vertė neatitinka jo skaičiavimo principo eliminuoti specialiųjų įpareigojimų įtaką.</w:t>
      </w:r>
    </w:p>
    <w:p w14:paraId="42808DDB" w14:textId="59A803B9" w:rsidR="00560087" w:rsidRPr="004737BE" w:rsidRDefault="00A547F0" w:rsidP="00FE3C4F">
      <w:pPr>
        <w:pStyle w:val="ListParagraph"/>
        <w:numPr>
          <w:ilvl w:val="0"/>
          <w:numId w:val="13"/>
        </w:numPr>
        <w:shd w:val="clear" w:color="auto" w:fill="FFFFFF"/>
        <w:spacing w:after="0"/>
        <w:jc w:val="both"/>
        <w:rPr>
          <w:color w:val="000000"/>
          <w:szCs w:val="18"/>
          <w:lang w:val="lt-LT"/>
        </w:rPr>
      </w:pPr>
      <w:r>
        <w:rPr>
          <w:color w:val="000000"/>
          <w:szCs w:val="18"/>
          <w:lang w:val="lt-LT"/>
        </w:rPr>
        <w:t xml:space="preserve">Apie 20 proc. </w:t>
      </w:r>
      <w:r w:rsidR="00560087">
        <w:rPr>
          <w:color w:val="000000"/>
          <w:szCs w:val="18"/>
          <w:lang w:val="lt-LT"/>
        </w:rPr>
        <w:t xml:space="preserve">ataskaitas pateikusių </w:t>
      </w:r>
      <w:r w:rsidR="005E4106">
        <w:rPr>
          <w:color w:val="000000"/>
          <w:szCs w:val="18"/>
          <w:lang w:val="lt-LT"/>
        </w:rPr>
        <w:t>V</w:t>
      </w:r>
      <w:r w:rsidR="00560087">
        <w:rPr>
          <w:color w:val="000000"/>
          <w:szCs w:val="18"/>
          <w:lang w:val="lt-LT"/>
        </w:rPr>
        <w:t xml:space="preserve">VĮ nenurodo priežasčių, kodėl numatytos rodiklių vertės nebuvo </w:t>
      </w:r>
      <w:r w:rsidR="00560087" w:rsidRPr="004737BE">
        <w:rPr>
          <w:color w:val="000000"/>
          <w:szCs w:val="18"/>
          <w:lang w:val="lt-LT"/>
        </w:rPr>
        <w:t>pasiektos</w:t>
      </w:r>
      <w:r>
        <w:rPr>
          <w:color w:val="000000"/>
          <w:szCs w:val="18"/>
          <w:lang w:val="lt-LT"/>
        </w:rPr>
        <w:t xml:space="preserve">, nors ši dalis yra </w:t>
      </w:r>
      <w:r w:rsidR="00D7560F">
        <w:rPr>
          <w:color w:val="000000"/>
          <w:szCs w:val="18"/>
          <w:lang w:val="lt-LT"/>
        </w:rPr>
        <w:t xml:space="preserve">ženkliai </w:t>
      </w:r>
      <w:r>
        <w:rPr>
          <w:color w:val="000000"/>
          <w:szCs w:val="18"/>
          <w:lang w:val="lt-LT"/>
        </w:rPr>
        <w:t>sumažėjusi po VKC rekomendacijos</w:t>
      </w:r>
      <w:r w:rsidR="00D7560F">
        <w:rPr>
          <w:color w:val="000000"/>
          <w:szCs w:val="18"/>
          <w:lang w:val="lt-LT"/>
        </w:rPr>
        <w:t>, teiktos kartu strategijų įgyvendinimo</w:t>
      </w:r>
      <w:r>
        <w:rPr>
          <w:color w:val="000000"/>
          <w:szCs w:val="18"/>
          <w:lang w:val="lt-LT"/>
        </w:rPr>
        <w:t xml:space="preserve"> 2019 m.</w:t>
      </w:r>
      <w:r w:rsidR="00D7560F">
        <w:rPr>
          <w:color w:val="000000"/>
          <w:szCs w:val="18"/>
          <w:lang w:val="lt-LT"/>
        </w:rPr>
        <w:t xml:space="preserve"> ataskaita;</w:t>
      </w:r>
    </w:p>
    <w:p w14:paraId="014079CA" w14:textId="27AB3763" w:rsidR="00A547F0" w:rsidRPr="00A547F0" w:rsidRDefault="00A547F0" w:rsidP="00A547F0">
      <w:pPr>
        <w:pStyle w:val="ListParagraph"/>
        <w:numPr>
          <w:ilvl w:val="0"/>
          <w:numId w:val="13"/>
        </w:numPr>
        <w:shd w:val="clear" w:color="auto" w:fill="FFFFFF"/>
        <w:spacing w:after="0"/>
        <w:rPr>
          <w:color w:val="000000"/>
          <w:szCs w:val="18"/>
          <w:lang w:val="lt-LT"/>
        </w:rPr>
      </w:pPr>
      <w:r>
        <w:rPr>
          <w:color w:val="000000"/>
          <w:szCs w:val="18"/>
          <w:lang w:val="lt-LT"/>
        </w:rPr>
        <w:t xml:space="preserve">Dalis strateginių tikslų dar vis matuojama priskirtų uždavinių atlikimo sumine procentine išraiška, </w:t>
      </w:r>
      <w:proofErr w:type="spellStart"/>
      <w:r>
        <w:rPr>
          <w:color w:val="000000"/>
          <w:szCs w:val="18"/>
          <w:lang w:val="lt-LT"/>
        </w:rPr>
        <w:t>t.y</w:t>
      </w:r>
      <w:proofErr w:type="spellEnd"/>
      <w:r>
        <w:rPr>
          <w:color w:val="000000"/>
          <w:szCs w:val="18"/>
          <w:lang w:val="lt-LT"/>
        </w:rPr>
        <w:t>. neturi individualių matavimo rodiklių.</w:t>
      </w:r>
    </w:p>
    <w:p w14:paraId="45858FEC" w14:textId="2256E8A0" w:rsidR="004737BE" w:rsidRPr="004737BE" w:rsidRDefault="00A547F0" w:rsidP="004737BE">
      <w:pPr>
        <w:pStyle w:val="ListParagraph"/>
        <w:numPr>
          <w:ilvl w:val="0"/>
          <w:numId w:val="13"/>
        </w:numPr>
        <w:shd w:val="clear" w:color="auto" w:fill="FFFFFF"/>
        <w:spacing w:after="0"/>
        <w:rPr>
          <w:color w:val="000000"/>
          <w:szCs w:val="18"/>
          <w:lang w:val="lt-LT"/>
        </w:rPr>
      </w:pPr>
      <w:r>
        <w:rPr>
          <w:color w:val="000000"/>
          <w:szCs w:val="18"/>
          <w:lang w:val="lt-LT"/>
        </w:rPr>
        <w:t>Išlieka</w:t>
      </w:r>
      <w:r w:rsidR="004737BE" w:rsidRPr="004737BE">
        <w:rPr>
          <w:color w:val="000000"/>
          <w:szCs w:val="18"/>
          <w:lang w:val="lt-LT"/>
        </w:rPr>
        <w:t xml:space="preserve"> bendra tendencija dubliuoti kai kuriuos rodiklius tam, kad jų atrodytų daugiau, pvz. išsikeliamas tam tikras pelningumo maržos rodiklis proc. išraiška, ir – to pelno vertė </w:t>
      </w:r>
      <w:r w:rsidR="00346FA7" w:rsidRPr="004737BE">
        <w:rPr>
          <w:color w:val="000000"/>
          <w:szCs w:val="18"/>
          <w:lang w:val="lt-LT"/>
        </w:rPr>
        <w:t>mln.</w:t>
      </w:r>
      <w:r w:rsidR="004737BE" w:rsidRPr="004737BE">
        <w:rPr>
          <w:color w:val="000000"/>
          <w:szCs w:val="18"/>
          <w:lang w:val="lt-LT"/>
        </w:rPr>
        <w:t xml:space="preserve"> eurų suma, arba – keliamas tikslas pasiekti tam tikrą pardavimų sumą, ir tuo pačiu ta suma dar išskaidoma į atskirus rodiklius (pagal produktų ar paslaugų grupes)</w:t>
      </w:r>
      <w:r w:rsidR="004737BE">
        <w:rPr>
          <w:color w:val="000000"/>
          <w:szCs w:val="18"/>
          <w:lang w:val="lt-LT"/>
        </w:rPr>
        <w:t>;</w:t>
      </w:r>
    </w:p>
    <w:p w14:paraId="4014B4BE" w14:textId="09425725" w:rsidR="00825431" w:rsidRPr="00560087" w:rsidRDefault="005E4106" w:rsidP="00560087">
      <w:pPr>
        <w:pStyle w:val="ListParagraph"/>
        <w:numPr>
          <w:ilvl w:val="0"/>
          <w:numId w:val="13"/>
        </w:numPr>
        <w:shd w:val="clear" w:color="auto" w:fill="FFFFFF"/>
        <w:spacing w:after="0"/>
        <w:jc w:val="both"/>
        <w:rPr>
          <w:color w:val="000000"/>
          <w:szCs w:val="18"/>
          <w:lang w:val="lt-LT"/>
        </w:rPr>
      </w:pPr>
      <w:r>
        <w:rPr>
          <w:color w:val="000000"/>
          <w:szCs w:val="18"/>
          <w:lang w:val="lt-LT"/>
        </w:rPr>
        <w:t>V</w:t>
      </w:r>
      <w:r w:rsidR="00560087">
        <w:rPr>
          <w:color w:val="000000"/>
          <w:szCs w:val="18"/>
          <w:lang w:val="lt-LT"/>
        </w:rPr>
        <w:t>VĮ vidutiniškai kėlėsi 2</w:t>
      </w:r>
      <w:r w:rsidR="00A547F0">
        <w:rPr>
          <w:color w:val="000000"/>
          <w:szCs w:val="18"/>
          <w:lang w:val="lt-LT"/>
        </w:rPr>
        <w:t>5</w:t>
      </w:r>
      <w:r w:rsidR="00560087">
        <w:rPr>
          <w:color w:val="000000"/>
          <w:szCs w:val="18"/>
          <w:lang w:val="lt-LT"/>
        </w:rPr>
        <w:t xml:space="preserve"> rodiklius, tačiau žemiausia ir aukščiausia ribos labai ženkliai skiriasi (minimalus rodiklių skaičius – </w:t>
      </w:r>
      <w:r w:rsidR="00A547F0">
        <w:rPr>
          <w:color w:val="000000"/>
          <w:szCs w:val="18"/>
          <w:lang w:val="lt-LT"/>
        </w:rPr>
        <w:t>6</w:t>
      </w:r>
      <w:r w:rsidR="00560087">
        <w:rPr>
          <w:color w:val="000000"/>
          <w:szCs w:val="18"/>
          <w:lang w:val="lt-LT"/>
        </w:rPr>
        <w:t>, didžiausias – 1</w:t>
      </w:r>
      <w:r w:rsidR="00A547F0">
        <w:rPr>
          <w:color w:val="000000"/>
          <w:szCs w:val="18"/>
          <w:lang w:val="lt-LT"/>
        </w:rPr>
        <w:t>19</w:t>
      </w:r>
      <w:r w:rsidR="00560087">
        <w:rPr>
          <w:color w:val="000000"/>
          <w:szCs w:val="18"/>
          <w:lang w:val="lt-LT"/>
        </w:rPr>
        <w:t xml:space="preserve">). </w:t>
      </w:r>
      <w:r w:rsidR="00825431" w:rsidRPr="00560087">
        <w:rPr>
          <w:color w:val="000000"/>
          <w:szCs w:val="18"/>
          <w:lang w:val="lt-LT"/>
        </w:rPr>
        <w:t xml:space="preserve">Tai parodo, </w:t>
      </w:r>
      <w:r w:rsidR="00EB6926" w:rsidRPr="00560087">
        <w:rPr>
          <w:color w:val="000000"/>
          <w:szCs w:val="18"/>
          <w:lang w:val="lt-LT"/>
        </w:rPr>
        <w:t xml:space="preserve">kad </w:t>
      </w:r>
      <w:r w:rsidR="00825431" w:rsidRPr="00560087">
        <w:rPr>
          <w:color w:val="000000"/>
          <w:szCs w:val="18"/>
          <w:lang w:val="lt-LT"/>
        </w:rPr>
        <w:t xml:space="preserve">dalies </w:t>
      </w:r>
      <w:r>
        <w:rPr>
          <w:color w:val="000000"/>
          <w:szCs w:val="18"/>
          <w:lang w:val="lt-LT"/>
        </w:rPr>
        <w:t>V</w:t>
      </w:r>
      <w:r w:rsidR="00825431" w:rsidRPr="00560087">
        <w:rPr>
          <w:color w:val="000000"/>
          <w:szCs w:val="18"/>
          <w:lang w:val="lt-LT"/>
        </w:rPr>
        <w:t xml:space="preserve">VĮ strateginių tikslų ir uždavinių </w:t>
      </w:r>
      <w:r w:rsidR="00EB6926" w:rsidRPr="00560087">
        <w:rPr>
          <w:color w:val="000000"/>
          <w:szCs w:val="18"/>
          <w:lang w:val="lt-LT"/>
        </w:rPr>
        <w:t>žemėlapių ir rodiklių nustatymo praktika ženkliai skiriasi</w:t>
      </w:r>
      <w:r w:rsidR="00893C96">
        <w:rPr>
          <w:color w:val="000000"/>
          <w:szCs w:val="18"/>
          <w:lang w:val="lt-LT"/>
        </w:rPr>
        <w:t>,</w:t>
      </w:r>
      <w:r w:rsidR="00EB6926" w:rsidRPr="00560087">
        <w:rPr>
          <w:color w:val="000000"/>
          <w:szCs w:val="18"/>
          <w:lang w:val="lt-LT"/>
        </w:rPr>
        <w:t xml:space="preserve"> ir kad </w:t>
      </w:r>
      <w:r w:rsidR="00825431" w:rsidRPr="00560087">
        <w:rPr>
          <w:color w:val="000000"/>
          <w:szCs w:val="18"/>
          <w:lang w:val="lt-LT"/>
        </w:rPr>
        <w:t xml:space="preserve">keliama </w:t>
      </w:r>
      <w:r w:rsidR="00A547F0">
        <w:rPr>
          <w:color w:val="000000"/>
          <w:szCs w:val="18"/>
          <w:lang w:val="lt-LT"/>
        </w:rPr>
        <w:t xml:space="preserve">per daug nefinansinių veiklos matavimo rodiklių (kurie dažnai tėra vienkartinis veiksmo atlikimo faktas) ir </w:t>
      </w:r>
      <w:r w:rsidR="00825431" w:rsidRPr="00560087">
        <w:rPr>
          <w:color w:val="000000"/>
          <w:szCs w:val="18"/>
          <w:lang w:val="lt-LT"/>
        </w:rPr>
        <w:t>per mažai</w:t>
      </w:r>
      <w:r w:rsidR="00EB6926" w:rsidRPr="00560087">
        <w:rPr>
          <w:color w:val="000000"/>
          <w:szCs w:val="18"/>
          <w:lang w:val="lt-LT"/>
        </w:rPr>
        <w:t xml:space="preserve"> veiklos rezultatus</w:t>
      </w:r>
      <w:r w:rsidR="00A547F0">
        <w:rPr>
          <w:color w:val="000000"/>
          <w:szCs w:val="18"/>
          <w:lang w:val="lt-LT"/>
        </w:rPr>
        <w:t xml:space="preserve"> finansine išraiška </w:t>
      </w:r>
      <w:r w:rsidR="00EB6926" w:rsidRPr="00560087">
        <w:rPr>
          <w:color w:val="000000"/>
          <w:szCs w:val="18"/>
          <w:lang w:val="lt-LT"/>
        </w:rPr>
        <w:t>atskleidžiančių</w:t>
      </w:r>
      <w:r w:rsidR="00825431" w:rsidRPr="00560087">
        <w:rPr>
          <w:color w:val="000000"/>
          <w:szCs w:val="18"/>
          <w:lang w:val="lt-LT"/>
        </w:rPr>
        <w:t xml:space="preserve"> siektinų rodiklių</w:t>
      </w:r>
      <w:r w:rsidR="00A547F0">
        <w:rPr>
          <w:color w:val="000000"/>
          <w:szCs w:val="18"/>
          <w:lang w:val="lt-LT"/>
        </w:rPr>
        <w:t>.</w:t>
      </w:r>
    </w:p>
    <w:p w14:paraId="4EA970E8" w14:textId="77777777" w:rsidR="00560087" w:rsidRPr="00560087" w:rsidRDefault="00560087" w:rsidP="00560087">
      <w:pPr>
        <w:pStyle w:val="ListParagraph"/>
        <w:shd w:val="clear" w:color="auto" w:fill="FFFFFF"/>
        <w:spacing w:after="0"/>
        <w:jc w:val="both"/>
        <w:rPr>
          <w:color w:val="000000"/>
          <w:szCs w:val="18"/>
          <w:lang w:val="lt-LT"/>
        </w:rPr>
      </w:pPr>
    </w:p>
    <w:p w14:paraId="2711D13E" w14:textId="06DC3E47" w:rsidR="008C1679" w:rsidRPr="00EC6A6C" w:rsidRDefault="008C1679" w:rsidP="00FE3C4F">
      <w:pPr>
        <w:shd w:val="clear" w:color="auto" w:fill="FFFFFF"/>
        <w:spacing w:after="0"/>
        <w:ind w:left="360"/>
        <w:jc w:val="both"/>
        <w:rPr>
          <w:b/>
          <w:bCs/>
          <w:color w:val="000000"/>
          <w:szCs w:val="18"/>
          <w:lang w:val="lt-LT"/>
        </w:rPr>
      </w:pPr>
      <w:r w:rsidRPr="00EC6A6C">
        <w:rPr>
          <w:b/>
          <w:bCs/>
          <w:color w:val="000000"/>
          <w:szCs w:val="18"/>
          <w:lang w:val="lt-LT"/>
        </w:rPr>
        <w:t>Rekomenduojama</w:t>
      </w:r>
      <w:r w:rsidR="009A5497">
        <w:rPr>
          <w:b/>
          <w:bCs/>
          <w:color w:val="000000"/>
          <w:szCs w:val="18"/>
          <w:lang w:val="lt-LT"/>
        </w:rPr>
        <w:t xml:space="preserve"> </w:t>
      </w:r>
      <w:r w:rsidR="00F34D71">
        <w:rPr>
          <w:b/>
          <w:bCs/>
          <w:color w:val="000000"/>
          <w:szCs w:val="18"/>
          <w:lang w:val="lt-LT"/>
        </w:rPr>
        <w:t>V</w:t>
      </w:r>
      <w:r w:rsidR="009A5497">
        <w:rPr>
          <w:b/>
          <w:bCs/>
          <w:color w:val="000000"/>
          <w:szCs w:val="18"/>
          <w:lang w:val="lt-LT"/>
        </w:rPr>
        <w:t>VĮ atsakingiems kolegialiems valdymo organams užtikrinti, kad</w:t>
      </w:r>
      <w:r w:rsidRPr="00EC6A6C">
        <w:rPr>
          <w:b/>
          <w:bCs/>
          <w:color w:val="000000"/>
          <w:szCs w:val="18"/>
          <w:lang w:val="lt-LT"/>
        </w:rPr>
        <w:t>:</w:t>
      </w:r>
    </w:p>
    <w:p w14:paraId="08EE8A9C" w14:textId="6379B031" w:rsidR="008C1679" w:rsidRPr="00893C96" w:rsidRDefault="00893C96" w:rsidP="00893C96">
      <w:pPr>
        <w:pStyle w:val="ListParagraph"/>
        <w:numPr>
          <w:ilvl w:val="0"/>
          <w:numId w:val="15"/>
        </w:numPr>
        <w:shd w:val="clear" w:color="auto" w:fill="FFFFFF"/>
        <w:spacing w:after="0"/>
        <w:jc w:val="both"/>
        <w:rPr>
          <w:color w:val="000000"/>
          <w:szCs w:val="18"/>
          <w:lang w:val="lt-LT"/>
        </w:rPr>
      </w:pPr>
      <w:r>
        <w:rPr>
          <w:color w:val="000000"/>
          <w:szCs w:val="18"/>
          <w:lang w:val="lt-LT"/>
        </w:rPr>
        <w:t>V</w:t>
      </w:r>
      <w:r w:rsidR="008C1679">
        <w:rPr>
          <w:color w:val="000000"/>
          <w:szCs w:val="18"/>
          <w:lang w:val="lt-LT"/>
        </w:rPr>
        <w:t xml:space="preserve">VĮ savo </w:t>
      </w:r>
      <w:r w:rsidR="004D17AE">
        <w:rPr>
          <w:color w:val="000000"/>
          <w:szCs w:val="18"/>
          <w:lang w:val="lt-LT"/>
        </w:rPr>
        <w:t>strateginiuose veiklos planuose</w:t>
      </w:r>
      <w:r w:rsidR="008C1679">
        <w:rPr>
          <w:color w:val="000000"/>
          <w:szCs w:val="18"/>
          <w:lang w:val="lt-LT"/>
        </w:rPr>
        <w:t xml:space="preserve"> keltų</w:t>
      </w:r>
      <w:r>
        <w:rPr>
          <w:color w:val="000000"/>
          <w:szCs w:val="18"/>
          <w:lang w:val="lt-LT"/>
        </w:rPr>
        <w:t xml:space="preserve"> akcininko</w:t>
      </w:r>
      <w:r w:rsidR="008C1679">
        <w:rPr>
          <w:color w:val="000000"/>
          <w:szCs w:val="18"/>
          <w:lang w:val="lt-LT"/>
        </w:rPr>
        <w:t xml:space="preserve"> </w:t>
      </w:r>
      <w:r>
        <w:rPr>
          <w:color w:val="000000"/>
          <w:szCs w:val="18"/>
          <w:lang w:val="lt-LT"/>
        </w:rPr>
        <w:t xml:space="preserve">lūkesčių raštuose nurodytus pelningumo rodiklius (vidutinę metinė siektiną nuosavo kapitalo grąžą ROE, eliminavus specialiuosius įpareigojimus, arba – minimalios EBITDA dydį, ir t.t.). </w:t>
      </w:r>
      <w:r w:rsidR="004D0E4F" w:rsidRPr="00893C96">
        <w:rPr>
          <w:color w:val="000000"/>
          <w:szCs w:val="18"/>
          <w:lang w:val="lt-LT"/>
        </w:rPr>
        <w:t xml:space="preserve">Jei rodikliai </w:t>
      </w:r>
      <w:r>
        <w:rPr>
          <w:color w:val="000000"/>
          <w:szCs w:val="18"/>
          <w:lang w:val="lt-LT"/>
        </w:rPr>
        <w:t>akcininko</w:t>
      </w:r>
      <w:r w:rsidR="004D0E4F" w:rsidRPr="00893C96">
        <w:rPr>
          <w:color w:val="000000"/>
          <w:szCs w:val="18"/>
          <w:lang w:val="lt-LT"/>
        </w:rPr>
        <w:t xml:space="preserve"> nenustatyti – VĮ privalo siekti veikti nenuostolingai ir kaip vieną iš rodiklių kelti grynąjį pelną, kurio reikšmė būtų teigiama</w:t>
      </w:r>
      <w:r w:rsidR="004D17AE" w:rsidRPr="00893C96">
        <w:rPr>
          <w:color w:val="000000"/>
          <w:szCs w:val="18"/>
          <w:lang w:val="lt-LT"/>
        </w:rPr>
        <w:t>;</w:t>
      </w:r>
    </w:p>
    <w:p w14:paraId="77D47E5D" w14:textId="4E6924C9" w:rsidR="004D17AE" w:rsidRDefault="00EB6926" w:rsidP="00FE3C4F">
      <w:pPr>
        <w:pStyle w:val="ListParagraph"/>
        <w:numPr>
          <w:ilvl w:val="0"/>
          <w:numId w:val="15"/>
        </w:numPr>
        <w:shd w:val="clear" w:color="auto" w:fill="FFFFFF"/>
        <w:spacing w:after="0"/>
        <w:jc w:val="both"/>
        <w:rPr>
          <w:color w:val="000000"/>
          <w:szCs w:val="18"/>
          <w:lang w:val="lt-LT"/>
        </w:rPr>
      </w:pPr>
      <w:r>
        <w:rPr>
          <w:color w:val="000000"/>
          <w:szCs w:val="18"/>
          <w:lang w:val="lt-LT"/>
        </w:rPr>
        <w:t xml:space="preserve">Visos </w:t>
      </w:r>
      <w:r w:rsidR="00893C96">
        <w:rPr>
          <w:color w:val="000000"/>
          <w:szCs w:val="18"/>
          <w:lang w:val="lt-LT"/>
        </w:rPr>
        <w:t>V</w:t>
      </w:r>
      <w:r w:rsidR="004D17AE">
        <w:rPr>
          <w:color w:val="000000"/>
          <w:szCs w:val="18"/>
          <w:lang w:val="lt-LT"/>
        </w:rPr>
        <w:t>VĮ rengtų ir laiku</w:t>
      </w:r>
      <w:r w:rsidR="009A5497">
        <w:rPr>
          <w:color w:val="000000"/>
          <w:szCs w:val="18"/>
          <w:lang w:val="lt-LT"/>
        </w:rPr>
        <w:t>, remiantis teisės aktais nustatytais terminais,</w:t>
      </w:r>
      <w:r w:rsidR="004D17AE">
        <w:rPr>
          <w:color w:val="000000"/>
          <w:szCs w:val="18"/>
          <w:lang w:val="lt-LT"/>
        </w:rPr>
        <w:t xml:space="preserve"> teiktų VKC strateginių veiklos planų projektus bei patvirtintas įmonių strategijas;</w:t>
      </w:r>
    </w:p>
    <w:p w14:paraId="757E4AA0" w14:textId="3C46E2AE" w:rsidR="00EC6A6C" w:rsidRDefault="005E4106" w:rsidP="00FE3C4F">
      <w:pPr>
        <w:pStyle w:val="ListParagraph"/>
        <w:numPr>
          <w:ilvl w:val="0"/>
          <w:numId w:val="15"/>
        </w:numPr>
        <w:shd w:val="clear" w:color="auto" w:fill="FFFFFF"/>
        <w:spacing w:after="0"/>
        <w:jc w:val="both"/>
        <w:rPr>
          <w:color w:val="000000"/>
          <w:szCs w:val="18"/>
          <w:lang w:val="lt-LT"/>
        </w:rPr>
      </w:pPr>
      <w:r>
        <w:rPr>
          <w:color w:val="000000"/>
          <w:szCs w:val="18"/>
          <w:lang w:val="lt-LT"/>
        </w:rPr>
        <w:t>V</w:t>
      </w:r>
      <w:r w:rsidR="00EC6A6C">
        <w:rPr>
          <w:color w:val="000000"/>
          <w:szCs w:val="18"/>
          <w:lang w:val="lt-LT"/>
        </w:rPr>
        <w:t>VĮ kelt</w:t>
      </w:r>
      <w:r w:rsidR="009A5497">
        <w:rPr>
          <w:color w:val="000000"/>
          <w:szCs w:val="18"/>
          <w:lang w:val="lt-LT"/>
        </w:rPr>
        <w:t>ų</w:t>
      </w:r>
      <w:r w:rsidR="00EC6A6C">
        <w:rPr>
          <w:color w:val="000000"/>
          <w:szCs w:val="18"/>
          <w:lang w:val="lt-LT"/>
        </w:rPr>
        <w:t xml:space="preserve"> daugiau </w:t>
      </w:r>
      <w:r w:rsidR="00FE25C6">
        <w:rPr>
          <w:color w:val="000000"/>
          <w:szCs w:val="18"/>
          <w:lang w:val="lt-LT"/>
        </w:rPr>
        <w:t xml:space="preserve">(5-10) </w:t>
      </w:r>
      <w:r w:rsidR="00EC6A6C">
        <w:rPr>
          <w:color w:val="000000"/>
          <w:szCs w:val="18"/>
          <w:lang w:val="lt-LT"/>
        </w:rPr>
        <w:t>siektinų finansinių rodiklių, susijusių su įmonių pelningumu, sąnaudų valdymu, sukuriama verte, skiriamais dividendais</w:t>
      </w:r>
      <w:r w:rsidR="009A5497">
        <w:rPr>
          <w:color w:val="000000"/>
          <w:szCs w:val="18"/>
          <w:lang w:val="lt-LT"/>
        </w:rPr>
        <w:t xml:space="preserve"> (pelno įmokomis)</w:t>
      </w:r>
      <w:r w:rsidR="00EC6A6C">
        <w:rPr>
          <w:color w:val="000000"/>
          <w:szCs w:val="18"/>
          <w:lang w:val="lt-LT"/>
        </w:rPr>
        <w:t>, kapitalo struktūra ir t. t.</w:t>
      </w:r>
    </w:p>
    <w:p w14:paraId="067309AD" w14:textId="50B08BEE" w:rsidR="009E27BA" w:rsidRDefault="009E27BA" w:rsidP="00FE3C4F">
      <w:pPr>
        <w:pStyle w:val="ListParagraph"/>
        <w:numPr>
          <w:ilvl w:val="0"/>
          <w:numId w:val="15"/>
        </w:numPr>
        <w:shd w:val="clear" w:color="auto" w:fill="FFFFFF"/>
        <w:spacing w:after="0"/>
        <w:jc w:val="both"/>
        <w:rPr>
          <w:color w:val="000000"/>
          <w:szCs w:val="18"/>
          <w:lang w:val="lt-LT"/>
        </w:rPr>
      </w:pPr>
      <w:r>
        <w:rPr>
          <w:color w:val="000000"/>
          <w:szCs w:val="18"/>
          <w:lang w:val="lt-LT"/>
        </w:rPr>
        <w:t>VVĮ optimizuotų nefinansinių tikslų ir uždavinių apimtį, atsisakant vienkartinių uždavinių (juos perkeliant į veiksmų planus).</w:t>
      </w:r>
    </w:p>
    <w:p w14:paraId="7AA09109" w14:textId="30B9B121" w:rsidR="00905587" w:rsidRDefault="00905587" w:rsidP="00FE3C4F">
      <w:pPr>
        <w:pStyle w:val="ListParagraph"/>
        <w:numPr>
          <w:ilvl w:val="0"/>
          <w:numId w:val="15"/>
        </w:numPr>
        <w:shd w:val="clear" w:color="auto" w:fill="FFFFFF"/>
        <w:spacing w:after="0"/>
        <w:jc w:val="both"/>
        <w:rPr>
          <w:color w:val="000000"/>
          <w:szCs w:val="18"/>
          <w:lang w:val="lt-LT"/>
        </w:rPr>
      </w:pPr>
      <w:r>
        <w:rPr>
          <w:color w:val="000000"/>
          <w:szCs w:val="18"/>
          <w:lang w:val="lt-LT"/>
        </w:rPr>
        <w:t>VVĮ tobulintų strateginių tikslų ir uždavinių matavimo rodi</w:t>
      </w:r>
      <w:r w:rsidR="00481D90">
        <w:rPr>
          <w:color w:val="000000"/>
          <w:szCs w:val="18"/>
          <w:lang w:val="lt-LT"/>
        </w:rPr>
        <w:t>k</w:t>
      </w:r>
      <w:r>
        <w:rPr>
          <w:color w:val="000000"/>
          <w:szCs w:val="18"/>
          <w:lang w:val="lt-LT"/>
        </w:rPr>
        <w:t>lių pasirinkimą</w:t>
      </w:r>
      <w:r w:rsidR="00481D90">
        <w:rPr>
          <w:color w:val="000000"/>
          <w:szCs w:val="18"/>
          <w:lang w:val="lt-LT"/>
        </w:rPr>
        <w:t xml:space="preserve">, </w:t>
      </w:r>
      <w:proofErr w:type="spellStart"/>
      <w:r w:rsidR="00481D90">
        <w:rPr>
          <w:color w:val="000000"/>
          <w:szCs w:val="18"/>
          <w:lang w:val="lt-LT"/>
        </w:rPr>
        <w:t>t.y</w:t>
      </w:r>
      <w:proofErr w:type="spellEnd"/>
      <w:r w:rsidR="00481D90">
        <w:rPr>
          <w:color w:val="000000"/>
          <w:szCs w:val="18"/>
          <w:lang w:val="lt-LT"/>
        </w:rPr>
        <w:t xml:space="preserve">. </w:t>
      </w:r>
      <w:r>
        <w:rPr>
          <w:color w:val="000000"/>
          <w:szCs w:val="18"/>
          <w:lang w:val="lt-LT"/>
        </w:rPr>
        <w:t>labiau vadovautųsi S.M.A.R.T. kriterijais, leidžiančiais stebėti rodiklių siekimo progresą visu st</w:t>
      </w:r>
      <w:r w:rsidR="00922540">
        <w:rPr>
          <w:color w:val="000000"/>
          <w:szCs w:val="18"/>
          <w:lang w:val="lt-LT"/>
        </w:rPr>
        <w:t>r</w:t>
      </w:r>
      <w:r>
        <w:rPr>
          <w:color w:val="000000"/>
          <w:szCs w:val="18"/>
          <w:lang w:val="lt-LT"/>
        </w:rPr>
        <w:t>ategijos periodu.</w:t>
      </w:r>
    </w:p>
    <w:p w14:paraId="523E0DDE" w14:textId="61DA6BA1" w:rsidR="00301EBD" w:rsidRPr="006953FB" w:rsidRDefault="00696B51" w:rsidP="006D0B67">
      <w:pPr>
        <w:pStyle w:val="ListParagraph"/>
        <w:numPr>
          <w:ilvl w:val="0"/>
          <w:numId w:val="15"/>
        </w:numPr>
        <w:shd w:val="clear" w:color="auto" w:fill="FFFFFF"/>
        <w:spacing w:after="0"/>
        <w:jc w:val="both"/>
        <w:rPr>
          <w:lang w:val="lt-LT"/>
        </w:rPr>
      </w:pPr>
      <w:r>
        <w:rPr>
          <w:color w:val="000000"/>
          <w:szCs w:val="18"/>
          <w:lang w:val="lt-LT"/>
        </w:rPr>
        <w:t>V</w:t>
      </w:r>
      <w:r w:rsidR="00EC6A6C" w:rsidRPr="006953FB">
        <w:rPr>
          <w:color w:val="000000"/>
          <w:szCs w:val="18"/>
          <w:lang w:val="lt-LT"/>
        </w:rPr>
        <w:t>VĮ teiktų kokybiškas strategijų įgyvendinimo ataskaitas, kuriose detaliai nurodytų aplinkos veiksnius, turėjusius ar turėsiančius įtakos įmonės veiklai bei rezultatams, aiškią strateginių tikslų ir uždavinių hierarchiją bei detalias priežastis ir paaiškinimus, kodėl tam tikri rodikliai nebuvo pasiekti.</w:t>
      </w:r>
      <w:r w:rsidR="006953FB" w:rsidRPr="006953FB">
        <w:rPr>
          <w:color w:val="000000"/>
          <w:szCs w:val="18"/>
          <w:lang w:val="lt-LT"/>
        </w:rPr>
        <w:t xml:space="preserve"> Šios ataskaitos turi leisti V</w:t>
      </w:r>
      <w:r w:rsidR="00560087">
        <w:rPr>
          <w:color w:val="000000"/>
          <w:szCs w:val="18"/>
          <w:lang w:val="lt-LT"/>
        </w:rPr>
        <w:t>Į</w:t>
      </w:r>
      <w:r w:rsidR="006953FB" w:rsidRPr="006953FB">
        <w:rPr>
          <w:color w:val="000000"/>
          <w:szCs w:val="18"/>
          <w:lang w:val="lt-LT"/>
        </w:rPr>
        <w:t xml:space="preserve"> įvertinti, ar dėl pagrįstų priežasčių strategija nebuvo įgyvendinta pilna apimtimi – nebuvo pasiekti numatyti rodikliai.</w:t>
      </w:r>
    </w:p>
    <w:p w14:paraId="70AE9613" w14:textId="347614EB" w:rsidR="001F6DB9" w:rsidRPr="00914C75" w:rsidRDefault="001F6DB9" w:rsidP="003F012D">
      <w:pPr>
        <w:jc w:val="center"/>
        <w:rPr>
          <w:lang w:val="lt-LT"/>
        </w:rPr>
      </w:pPr>
    </w:p>
    <w:sectPr w:rsidR="001F6DB9" w:rsidRPr="00914C75" w:rsidSect="00634351">
      <w:headerReference w:type="even" r:id="rId17"/>
      <w:headerReference w:type="default" r:id="rId18"/>
      <w:footerReference w:type="even" r:id="rId19"/>
      <w:footerReference w:type="default" r:id="rId20"/>
      <w:headerReference w:type="first" r:id="rId21"/>
      <w:footerReference w:type="first" r:id="rId22"/>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3BE07" w14:textId="77777777" w:rsidR="00B50782" w:rsidRDefault="00B50782" w:rsidP="00A33F9A">
      <w:pPr>
        <w:spacing w:after="0" w:line="240" w:lineRule="auto"/>
      </w:pPr>
      <w:r>
        <w:separator/>
      </w:r>
    </w:p>
  </w:endnote>
  <w:endnote w:type="continuationSeparator" w:id="0">
    <w:p w14:paraId="18F9B89F" w14:textId="77777777" w:rsidR="00B50782" w:rsidRDefault="00B50782" w:rsidP="00A33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10022FF" w:usb1="C000E47F" w:usb2="00000029" w:usb3="00000000" w:csb0="000001D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6369B" w14:textId="77777777" w:rsidR="00BB5B7C" w:rsidRDefault="00BB5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222188"/>
      <w:docPartObj>
        <w:docPartGallery w:val="Page Numbers (Bottom of Page)"/>
        <w:docPartUnique/>
      </w:docPartObj>
    </w:sdtPr>
    <w:sdtEndPr/>
    <w:sdtContent>
      <w:p w14:paraId="6E43FAF0" w14:textId="5ECF0895" w:rsidR="00FD1749" w:rsidRDefault="00FD1749" w:rsidP="00A33F9A">
        <w:pPr>
          <w:pStyle w:val="Footer"/>
          <w:rPr>
            <w:color w:val="3071C3" w:themeColor="text2" w:themeTint="BF"/>
          </w:rPr>
        </w:pPr>
      </w:p>
      <w:p w14:paraId="40FEB5D5" w14:textId="3AAC443F" w:rsidR="00FD1749" w:rsidRDefault="00FD1749" w:rsidP="00A33F9A">
        <w:pPr>
          <w:pStyle w:val="Footer"/>
          <w:rPr>
            <w:color w:val="3071C3" w:themeColor="text2" w:themeTint="BF"/>
          </w:rPr>
        </w:pPr>
      </w:p>
      <w:p w14:paraId="069294E8" w14:textId="171879BB" w:rsidR="00FD1749" w:rsidRDefault="00B50782">
        <w:pPr>
          <w:pStyle w:val="Footer"/>
          <w:jc w:val="right"/>
        </w:pPr>
      </w:p>
    </w:sdtContent>
  </w:sdt>
  <w:p w14:paraId="40674AAB" w14:textId="453302BB" w:rsidR="00FD1749" w:rsidRPr="00AD21B3" w:rsidRDefault="00FD1749" w:rsidP="00A33F9A">
    <w:pPr>
      <w:pStyle w:val="Footer"/>
      <w:jc w:val="right"/>
    </w:pPr>
    <w:r w:rsidRPr="00AD21B3">
      <w:fldChar w:fldCharType="begin"/>
    </w:r>
    <w:r w:rsidRPr="00AD21B3">
      <w:instrText xml:space="preserve"> PAGE   \* MERGEFORMAT </w:instrText>
    </w:r>
    <w:r w:rsidRPr="00AD21B3">
      <w:fldChar w:fldCharType="separate"/>
    </w:r>
    <w:r w:rsidR="002D033D">
      <w:rPr>
        <w:noProof/>
      </w:rPr>
      <w:t>10</w:t>
    </w:r>
    <w:r w:rsidRPr="00AD21B3">
      <w:rPr>
        <w:noProof/>
      </w:rPr>
      <w:fldChar w:fldCharType="end"/>
    </w:r>
  </w:p>
  <w:p w14:paraId="55A85969" w14:textId="77777777" w:rsidR="00FD1749" w:rsidRDefault="00FD1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8CD5" w14:textId="77777777" w:rsidR="00BB5B7C" w:rsidRDefault="00BB5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8CE4E" w14:textId="77777777" w:rsidR="00B50782" w:rsidRDefault="00B50782" w:rsidP="00A33F9A">
      <w:pPr>
        <w:spacing w:after="0" w:line="240" w:lineRule="auto"/>
      </w:pPr>
      <w:r>
        <w:separator/>
      </w:r>
    </w:p>
  </w:footnote>
  <w:footnote w:type="continuationSeparator" w:id="0">
    <w:p w14:paraId="16239FBA" w14:textId="77777777" w:rsidR="00B50782" w:rsidRDefault="00B50782" w:rsidP="00A33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80749" w14:textId="77777777" w:rsidR="00BB5B7C" w:rsidRDefault="00BB5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7F50C" w14:textId="77777777" w:rsidR="00FD1749" w:rsidRDefault="00FD17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83AB" w14:textId="5E87AEAE" w:rsidR="00FD1749" w:rsidRPr="0095734A" w:rsidRDefault="00FD1749">
    <w:pPr>
      <w:pStyle w:val="Header"/>
      <w:rPr>
        <w:b/>
        <w:bCs/>
        <w:lang w:val="lt-LT"/>
      </w:rPr>
    </w:pPr>
    <w:r w:rsidRPr="0095734A">
      <w:rPr>
        <w:b/>
        <w:bCs/>
        <w:lang w:val="lt-LT"/>
      </w:rPr>
      <w:t>KONFIDENCIALU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7FE0"/>
    <w:multiLevelType w:val="hybridMultilevel"/>
    <w:tmpl w:val="33826E1C"/>
    <w:lvl w:ilvl="0" w:tplc="975E969C">
      <w:start w:val="1"/>
      <w:numFmt w:val="decimal"/>
      <w:lvlText w:val="%1."/>
      <w:lvlJc w:val="left"/>
      <w:pPr>
        <w:ind w:left="720" w:hanging="360"/>
      </w:pPr>
      <w:rPr>
        <w:rFonts w:eastAsiaTheme="minorHAnsi" w:cstheme="minorBidi" w:hint="default"/>
        <w:sz w:val="16"/>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F67B0"/>
    <w:multiLevelType w:val="multilevel"/>
    <w:tmpl w:val="A6325462"/>
    <w:lvl w:ilvl="0">
      <w:start w:val="1"/>
      <w:numFmt w:val="upperRoman"/>
      <w:lvlText w:val="%1."/>
      <w:lvlJc w:val="left"/>
      <w:pPr>
        <w:ind w:left="1080" w:hanging="720"/>
      </w:pPr>
      <w:rPr>
        <w:rFonts w:hint="default"/>
      </w:rPr>
    </w:lvl>
    <w:lvl w:ilvl="1">
      <w:start w:val="1"/>
      <w:numFmt w:val="decimal"/>
      <w:isLgl/>
      <w:lvlText w:val="%1.%2"/>
      <w:lvlJc w:val="left"/>
      <w:pPr>
        <w:ind w:left="918" w:hanging="52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212" w:hanging="72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638" w:hanging="108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2" w15:restartNumberingAfterBreak="0">
    <w:nsid w:val="04653326"/>
    <w:multiLevelType w:val="hybridMultilevel"/>
    <w:tmpl w:val="D41CD6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1064EF"/>
    <w:multiLevelType w:val="hybridMultilevel"/>
    <w:tmpl w:val="BDEA72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5640040"/>
    <w:multiLevelType w:val="hybridMultilevel"/>
    <w:tmpl w:val="6C12724E"/>
    <w:lvl w:ilvl="0" w:tplc="14F8D370">
      <w:start w:val="1"/>
      <w:numFmt w:val="decimal"/>
      <w:lvlText w:val="%1."/>
      <w:lvlJc w:val="left"/>
      <w:pPr>
        <w:ind w:left="720" w:hanging="360"/>
      </w:pPr>
      <w:rPr>
        <w:rFonts w:eastAsiaTheme="minorHAnsi" w:cstheme="minorBidi"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566A77"/>
    <w:multiLevelType w:val="hybridMultilevel"/>
    <w:tmpl w:val="3A426246"/>
    <w:lvl w:ilvl="0" w:tplc="7FFE9E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8C04BEC"/>
    <w:multiLevelType w:val="hybridMultilevel"/>
    <w:tmpl w:val="A35EEC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D5C3475"/>
    <w:multiLevelType w:val="hybridMultilevel"/>
    <w:tmpl w:val="AA249B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5A351D6"/>
    <w:multiLevelType w:val="hybridMultilevel"/>
    <w:tmpl w:val="30102F12"/>
    <w:lvl w:ilvl="0" w:tplc="1F24183C">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9237972"/>
    <w:multiLevelType w:val="hybridMultilevel"/>
    <w:tmpl w:val="AE5E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A6CDF"/>
    <w:multiLevelType w:val="hybridMultilevel"/>
    <w:tmpl w:val="10B8ABBA"/>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1" w15:restartNumberingAfterBreak="0">
    <w:nsid w:val="1DA85EBF"/>
    <w:multiLevelType w:val="hybridMultilevel"/>
    <w:tmpl w:val="0DD88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B33AC0"/>
    <w:multiLevelType w:val="multilevel"/>
    <w:tmpl w:val="ACA009B4"/>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258B789F"/>
    <w:multiLevelType w:val="multilevel"/>
    <w:tmpl w:val="567C4F50"/>
    <w:lvl w:ilvl="0">
      <w:numFmt w:val="bullet"/>
      <w:lvlText w:val="-"/>
      <w:lvlJc w:val="left"/>
      <w:pPr>
        <w:ind w:left="756" w:hanging="360"/>
      </w:pPr>
      <w:rPr>
        <w:rFonts w:ascii="Segoe UI" w:eastAsia="Calibri" w:hAnsi="Segoe UI" w:cs="Segoe UI"/>
      </w:rPr>
    </w:lvl>
    <w:lvl w:ilvl="1">
      <w:numFmt w:val="bullet"/>
      <w:lvlText w:val="o"/>
      <w:lvlJc w:val="left"/>
      <w:pPr>
        <w:ind w:left="1476" w:hanging="360"/>
      </w:pPr>
      <w:rPr>
        <w:rFonts w:ascii="Courier New" w:hAnsi="Courier New" w:cs="Courier New"/>
      </w:rPr>
    </w:lvl>
    <w:lvl w:ilvl="2">
      <w:numFmt w:val="bullet"/>
      <w:lvlText w:val=""/>
      <w:lvlJc w:val="left"/>
      <w:pPr>
        <w:ind w:left="2196" w:hanging="360"/>
      </w:pPr>
      <w:rPr>
        <w:rFonts w:ascii="Wingdings" w:hAnsi="Wingdings"/>
      </w:rPr>
    </w:lvl>
    <w:lvl w:ilvl="3">
      <w:numFmt w:val="bullet"/>
      <w:lvlText w:val=""/>
      <w:lvlJc w:val="left"/>
      <w:pPr>
        <w:ind w:left="2916" w:hanging="360"/>
      </w:pPr>
      <w:rPr>
        <w:rFonts w:ascii="Symbol" w:hAnsi="Symbol"/>
      </w:rPr>
    </w:lvl>
    <w:lvl w:ilvl="4">
      <w:numFmt w:val="bullet"/>
      <w:lvlText w:val="o"/>
      <w:lvlJc w:val="left"/>
      <w:pPr>
        <w:ind w:left="3636" w:hanging="360"/>
      </w:pPr>
      <w:rPr>
        <w:rFonts w:ascii="Courier New" w:hAnsi="Courier New" w:cs="Courier New"/>
      </w:rPr>
    </w:lvl>
    <w:lvl w:ilvl="5">
      <w:numFmt w:val="bullet"/>
      <w:lvlText w:val=""/>
      <w:lvlJc w:val="left"/>
      <w:pPr>
        <w:ind w:left="4356" w:hanging="360"/>
      </w:pPr>
      <w:rPr>
        <w:rFonts w:ascii="Wingdings" w:hAnsi="Wingdings"/>
      </w:rPr>
    </w:lvl>
    <w:lvl w:ilvl="6">
      <w:numFmt w:val="bullet"/>
      <w:lvlText w:val=""/>
      <w:lvlJc w:val="left"/>
      <w:pPr>
        <w:ind w:left="5076" w:hanging="360"/>
      </w:pPr>
      <w:rPr>
        <w:rFonts w:ascii="Symbol" w:hAnsi="Symbol"/>
      </w:rPr>
    </w:lvl>
    <w:lvl w:ilvl="7">
      <w:numFmt w:val="bullet"/>
      <w:lvlText w:val="o"/>
      <w:lvlJc w:val="left"/>
      <w:pPr>
        <w:ind w:left="5796" w:hanging="360"/>
      </w:pPr>
      <w:rPr>
        <w:rFonts w:ascii="Courier New" w:hAnsi="Courier New" w:cs="Courier New"/>
      </w:rPr>
    </w:lvl>
    <w:lvl w:ilvl="8">
      <w:numFmt w:val="bullet"/>
      <w:lvlText w:val=""/>
      <w:lvlJc w:val="left"/>
      <w:pPr>
        <w:ind w:left="6516" w:hanging="360"/>
      </w:pPr>
      <w:rPr>
        <w:rFonts w:ascii="Wingdings" w:hAnsi="Wingdings"/>
      </w:rPr>
    </w:lvl>
  </w:abstractNum>
  <w:abstractNum w:abstractNumId="14" w15:restartNumberingAfterBreak="0">
    <w:nsid w:val="288704F6"/>
    <w:multiLevelType w:val="multilevel"/>
    <w:tmpl w:val="067E67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9171F18"/>
    <w:multiLevelType w:val="multilevel"/>
    <w:tmpl w:val="76D8BA98"/>
    <w:lvl w:ilvl="0">
      <w:start w:val="1"/>
      <w:numFmt w:val="decimal"/>
      <w:lvlText w:val="%1."/>
      <w:lvlJc w:val="left"/>
      <w:pPr>
        <w:ind w:left="1146" w:hanging="360"/>
      </w:pPr>
      <w:rPr>
        <w:rFonts w:ascii="Segoe UI" w:eastAsiaTheme="minorHAnsi" w:hAnsi="Segoe UI" w:cs="Segoe UI"/>
      </w:r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16" w15:restartNumberingAfterBreak="0">
    <w:nsid w:val="2D321C2C"/>
    <w:multiLevelType w:val="multilevel"/>
    <w:tmpl w:val="01B6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E978F0"/>
    <w:multiLevelType w:val="multilevel"/>
    <w:tmpl w:val="C7CC6262"/>
    <w:lvl w:ilvl="0">
      <w:start w:val="1"/>
      <w:numFmt w:val="upperRoman"/>
      <w:lvlText w:val="%1."/>
      <w:lvlJc w:val="left"/>
      <w:pPr>
        <w:ind w:left="1080" w:hanging="720"/>
      </w:pPr>
    </w:lvl>
    <w:lvl w:ilvl="1">
      <w:start w:val="2"/>
      <w:numFmt w:val="decimal"/>
      <w:lvlText w:val="%1.%2"/>
      <w:lvlJc w:val="left"/>
      <w:pPr>
        <w:ind w:left="873" w:hanging="480"/>
      </w:pPr>
    </w:lvl>
    <w:lvl w:ilvl="2">
      <w:start w:val="2"/>
      <w:numFmt w:val="decimal"/>
      <w:lvlText w:val="%1.%2.%3"/>
      <w:lvlJc w:val="left"/>
      <w:pPr>
        <w:ind w:left="1146" w:hanging="720"/>
      </w:pPr>
    </w:lvl>
    <w:lvl w:ilvl="3">
      <w:start w:val="1"/>
      <w:numFmt w:val="decimal"/>
      <w:lvlText w:val="%1.%2.%3.%4"/>
      <w:lvlJc w:val="left"/>
      <w:pPr>
        <w:ind w:left="1179" w:hanging="720"/>
      </w:pPr>
    </w:lvl>
    <w:lvl w:ilvl="4">
      <w:start w:val="1"/>
      <w:numFmt w:val="decimal"/>
      <w:lvlText w:val="%1.%2.%3.%4.%5"/>
      <w:lvlJc w:val="left"/>
      <w:pPr>
        <w:ind w:left="1572" w:hanging="1080"/>
      </w:pPr>
    </w:lvl>
    <w:lvl w:ilvl="5">
      <w:start w:val="1"/>
      <w:numFmt w:val="decimal"/>
      <w:lvlText w:val="%1.%2.%3.%4.%5.%6"/>
      <w:lvlJc w:val="left"/>
      <w:pPr>
        <w:ind w:left="1605" w:hanging="1080"/>
      </w:pPr>
    </w:lvl>
    <w:lvl w:ilvl="6">
      <w:start w:val="1"/>
      <w:numFmt w:val="decimal"/>
      <w:lvlText w:val="%1.%2.%3.%4.%5.%6.%7"/>
      <w:lvlJc w:val="left"/>
      <w:pPr>
        <w:ind w:left="1998" w:hanging="1440"/>
      </w:pPr>
    </w:lvl>
    <w:lvl w:ilvl="7">
      <w:start w:val="1"/>
      <w:numFmt w:val="decimal"/>
      <w:lvlText w:val="%1.%2.%3.%4.%5.%6.%7.%8"/>
      <w:lvlJc w:val="left"/>
      <w:pPr>
        <w:ind w:left="2031" w:hanging="1440"/>
      </w:pPr>
    </w:lvl>
    <w:lvl w:ilvl="8">
      <w:start w:val="1"/>
      <w:numFmt w:val="decimal"/>
      <w:lvlText w:val="%1.%2.%3.%4.%5.%6.%7.%8.%9"/>
      <w:lvlJc w:val="left"/>
      <w:pPr>
        <w:ind w:left="2424" w:hanging="1800"/>
      </w:pPr>
    </w:lvl>
  </w:abstractNum>
  <w:abstractNum w:abstractNumId="18" w15:restartNumberingAfterBreak="0">
    <w:nsid w:val="323C553C"/>
    <w:multiLevelType w:val="hybridMultilevel"/>
    <w:tmpl w:val="9D869E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7794E09"/>
    <w:multiLevelType w:val="multilevel"/>
    <w:tmpl w:val="A6325462"/>
    <w:lvl w:ilvl="0">
      <w:start w:val="1"/>
      <w:numFmt w:val="upperRoman"/>
      <w:lvlText w:val="%1."/>
      <w:lvlJc w:val="left"/>
      <w:pPr>
        <w:ind w:left="1080" w:hanging="720"/>
      </w:pPr>
      <w:rPr>
        <w:rFonts w:hint="default"/>
      </w:rPr>
    </w:lvl>
    <w:lvl w:ilvl="1">
      <w:start w:val="1"/>
      <w:numFmt w:val="decimal"/>
      <w:isLgl/>
      <w:lvlText w:val="%1.%2"/>
      <w:lvlJc w:val="left"/>
      <w:pPr>
        <w:ind w:left="918" w:hanging="52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212" w:hanging="72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638" w:hanging="108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20" w15:restartNumberingAfterBreak="0">
    <w:nsid w:val="438F059B"/>
    <w:multiLevelType w:val="hybridMultilevel"/>
    <w:tmpl w:val="767610F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15:restartNumberingAfterBreak="0">
    <w:nsid w:val="43E32333"/>
    <w:multiLevelType w:val="hybridMultilevel"/>
    <w:tmpl w:val="2C2CFCB2"/>
    <w:lvl w:ilvl="0" w:tplc="04270001">
      <w:start w:val="1"/>
      <w:numFmt w:val="bullet"/>
      <w:lvlText w:val=""/>
      <w:lvlJc w:val="left"/>
      <w:pPr>
        <w:ind w:left="3585" w:hanging="360"/>
      </w:pPr>
      <w:rPr>
        <w:rFonts w:ascii="Symbol" w:hAnsi="Symbol" w:hint="default"/>
      </w:rPr>
    </w:lvl>
    <w:lvl w:ilvl="1" w:tplc="04270003" w:tentative="1">
      <w:start w:val="1"/>
      <w:numFmt w:val="bullet"/>
      <w:lvlText w:val="o"/>
      <w:lvlJc w:val="left"/>
      <w:pPr>
        <w:ind w:left="4305" w:hanging="360"/>
      </w:pPr>
      <w:rPr>
        <w:rFonts w:ascii="Courier New" w:hAnsi="Courier New" w:cs="Courier New" w:hint="default"/>
      </w:rPr>
    </w:lvl>
    <w:lvl w:ilvl="2" w:tplc="04270005" w:tentative="1">
      <w:start w:val="1"/>
      <w:numFmt w:val="bullet"/>
      <w:lvlText w:val=""/>
      <w:lvlJc w:val="left"/>
      <w:pPr>
        <w:ind w:left="5025" w:hanging="360"/>
      </w:pPr>
      <w:rPr>
        <w:rFonts w:ascii="Wingdings" w:hAnsi="Wingdings" w:hint="default"/>
      </w:rPr>
    </w:lvl>
    <w:lvl w:ilvl="3" w:tplc="04270001" w:tentative="1">
      <w:start w:val="1"/>
      <w:numFmt w:val="bullet"/>
      <w:lvlText w:val=""/>
      <w:lvlJc w:val="left"/>
      <w:pPr>
        <w:ind w:left="5745" w:hanging="360"/>
      </w:pPr>
      <w:rPr>
        <w:rFonts w:ascii="Symbol" w:hAnsi="Symbol" w:hint="default"/>
      </w:rPr>
    </w:lvl>
    <w:lvl w:ilvl="4" w:tplc="04270003" w:tentative="1">
      <w:start w:val="1"/>
      <w:numFmt w:val="bullet"/>
      <w:lvlText w:val="o"/>
      <w:lvlJc w:val="left"/>
      <w:pPr>
        <w:ind w:left="6465" w:hanging="360"/>
      </w:pPr>
      <w:rPr>
        <w:rFonts w:ascii="Courier New" w:hAnsi="Courier New" w:cs="Courier New" w:hint="default"/>
      </w:rPr>
    </w:lvl>
    <w:lvl w:ilvl="5" w:tplc="04270005" w:tentative="1">
      <w:start w:val="1"/>
      <w:numFmt w:val="bullet"/>
      <w:lvlText w:val=""/>
      <w:lvlJc w:val="left"/>
      <w:pPr>
        <w:ind w:left="7185" w:hanging="360"/>
      </w:pPr>
      <w:rPr>
        <w:rFonts w:ascii="Wingdings" w:hAnsi="Wingdings" w:hint="default"/>
      </w:rPr>
    </w:lvl>
    <w:lvl w:ilvl="6" w:tplc="04270001" w:tentative="1">
      <w:start w:val="1"/>
      <w:numFmt w:val="bullet"/>
      <w:lvlText w:val=""/>
      <w:lvlJc w:val="left"/>
      <w:pPr>
        <w:ind w:left="7905" w:hanging="360"/>
      </w:pPr>
      <w:rPr>
        <w:rFonts w:ascii="Symbol" w:hAnsi="Symbol" w:hint="default"/>
      </w:rPr>
    </w:lvl>
    <w:lvl w:ilvl="7" w:tplc="04270003" w:tentative="1">
      <w:start w:val="1"/>
      <w:numFmt w:val="bullet"/>
      <w:lvlText w:val="o"/>
      <w:lvlJc w:val="left"/>
      <w:pPr>
        <w:ind w:left="8625" w:hanging="360"/>
      </w:pPr>
      <w:rPr>
        <w:rFonts w:ascii="Courier New" w:hAnsi="Courier New" w:cs="Courier New" w:hint="default"/>
      </w:rPr>
    </w:lvl>
    <w:lvl w:ilvl="8" w:tplc="04270005" w:tentative="1">
      <w:start w:val="1"/>
      <w:numFmt w:val="bullet"/>
      <w:lvlText w:val=""/>
      <w:lvlJc w:val="left"/>
      <w:pPr>
        <w:ind w:left="9345" w:hanging="360"/>
      </w:pPr>
      <w:rPr>
        <w:rFonts w:ascii="Wingdings" w:hAnsi="Wingdings" w:hint="default"/>
      </w:rPr>
    </w:lvl>
  </w:abstractNum>
  <w:abstractNum w:abstractNumId="22" w15:restartNumberingAfterBreak="0">
    <w:nsid w:val="457E348B"/>
    <w:multiLevelType w:val="hybridMultilevel"/>
    <w:tmpl w:val="AF9ED8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6526B13"/>
    <w:multiLevelType w:val="hybridMultilevel"/>
    <w:tmpl w:val="235E56EA"/>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4" w15:restartNumberingAfterBreak="0">
    <w:nsid w:val="47E01F49"/>
    <w:multiLevelType w:val="multilevel"/>
    <w:tmpl w:val="D54A113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8790EEB"/>
    <w:multiLevelType w:val="hybridMultilevel"/>
    <w:tmpl w:val="E71482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6" w15:restartNumberingAfterBreak="0">
    <w:nsid w:val="50813123"/>
    <w:multiLevelType w:val="hybridMultilevel"/>
    <w:tmpl w:val="91FCF2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52816715"/>
    <w:multiLevelType w:val="hybridMultilevel"/>
    <w:tmpl w:val="7D9C5C0A"/>
    <w:lvl w:ilvl="0" w:tplc="A0BAA850">
      <w:start w:val="1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3E95C30"/>
    <w:multiLevelType w:val="hybridMultilevel"/>
    <w:tmpl w:val="00B2FE4E"/>
    <w:lvl w:ilvl="0" w:tplc="1694AC6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5183EE1"/>
    <w:multiLevelType w:val="hybridMultilevel"/>
    <w:tmpl w:val="B3F8B190"/>
    <w:lvl w:ilvl="0" w:tplc="5380B372">
      <w:start w:val="14"/>
      <w:numFmt w:val="decimal"/>
      <w:lvlText w:val="%1"/>
      <w:lvlJc w:val="left"/>
      <w:pPr>
        <w:ind w:left="786" w:hanging="360"/>
      </w:pPr>
      <w:rPr>
        <w:rFonts w:hint="default"/>
      </w:rPr>
    </w:lvl>
    <w:lvl w:ilvl="1" w:tplc="04270019">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30" w15:restartNumberingAfterBreak="0">
    <w:nsid w:val="57AF2F9B"/>
    <w:multiLevelType w:val="multilevel"/>
    <w:tmpl w:val="A6325462"/>
    <w:lvl w:ilvl="0">
      <w:start w:val="1"/>
      <w:numFmt w:val="upperRoman"/>
      <w:lvlText w:val="%1."/>
      <w:lvlJc w:val="left"/>
      <w:pPr>
        <w:ind w:left="1080" w:hanging="720"/>
      </w:pPr>
      <w:rPr>
        <w:rFonts w:hint="default"/>
      </w:rPr>
    </w:lvl>
    <w:lvl w:ilvl="1">
      <w:start w:val="1"/>
      <w:numFmt w:val="decimal"/>
      <w:isLgl/>
      <w:lvlText w:val="%1.%2"/>
      <w:lvlJc w:val="left"/>
      <w:pPr>
        <w:ind w:left="918" w:hanging="52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212" w:hanging="72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638" w:hanging="108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31" w15:restartNumberingAfterBreak="0">
    <w:nsid w:val="5A5E0FD2"/>
    <w:multiLevelType w:val="multilevel"/>
    <w:tmpl w:val="525ADCC4"/>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EFE114C"/>
    <w:multiLevelType w:val="multilevel"/>
    <w:tmpl w:val="A4247610"/>
    <w:lvl w:ilvl="0">
      <w:start w:val="1"/>
      <w:numFmt w:val="upperRoman"/>
      <w:lvlText w:val="%1."/>
      <w:lvlJc w:val="left"/>
      <w:pPr>
        <w:ind w:left="1080" w:hanging="720"/>
      </w:pPr>
      <w:rPr>
        <w:rFonts w:hint="default"/>
      </w:rPr>
    </w:lvl>
    <w:lvl w:ilvl="1">
      <w:start w:val="2"/>
      <w:numFmt w:val="decimal"/>
      <w:isLgl/>
      <w:lvlText w:val="%1.%2"/>
      <w:lvlJc w:val="left"/>
      <w:pPr>
        <w:ind w:left="873" w:hanging="48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33" w15:restartNumberingAfterBreak="0">
    <w:nsid w:val="60E860E5"/>
    <w:multiLevelType w:val="multilevel"/>
    <w:tmpl w:val="123E11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080" w:hanging="72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440" w:hanging="108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34" w15:restartNumberingAfterBreak="0">
    <w:nsid w:val="62290D87"/>
    <w:multiLevelType w:val="multilevel"/>
    <w:tmpl w:val="5C9C67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24D760E"/>
    <w:multiLevelType w:val="multilevel"/>
    <w:tmpl w:val="B6AA073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AEA63BB"/>
    <w:multiLevelType w:val="multilevel"/>
    <w:tmpl w:val="A6325462"/>
    <w:lvl w:ilvl="0">
      <w:start w:val="1"/>
      <w:numFmt w:val="upperRoman"/>
      <w:lvlText w:val="%1."/>
      <w:lvlJc w:val="left"/>
      <w:pPr>
        <w:ind w:left="1080" w:hanging="720"/>
      </w:pPr>
      <w:rPr>
        <w:rFonts w:hint="default"/>
      </w:rPr>
    </w:lvl>
    <w:lvl w:ilvl="1">
      <w:start w:val="1"/>
      <w:numFmt w:val="decimal"/>
      <w:isLgl/>
      <w:lvlText w:val="%1.%2"/>
      <w:lvlJc w:val="left"/>
      <w:pPr>
        <w:ind w:left="918" w:hanging="52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212" w:hanging="72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638" w:hanging="108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37" w15:restartNumberingAfterBreak="0">
    <w:nsid w:val="750A5042"/>
    <w:multiLevelType w:val="hybridMultilevel"/>
    <w:tmpl w:val="1E40E210"/>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8" w15:restartNumberingAfterBreak="0">
    <w:nsid w:val="7A817528"/>
    <w:multiLevelType w:val="hybridMultilevel"/>
    <w:tmpl w:val="978C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9066C5"/>
    <w:multiLevelType w:val="hybridMultilevel"/>
    <w:tmpl w:val="A9FE0B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D783371"/>
    <w:multiLevelType w:val="hybridMultilevel"/>
    <w:tmpl w:val="17B49340"/>
    <w:lvl w:ilvl="0" w:tplc="AFA28976">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12"/>
  </w:num>
  <w:num w:numId="2">
    <w:abstractNumId w:val="2"/>
  </w:num>
  <w:num w:numId="3">
    <w:abstractNumId w:val="30"/>
  </w:num>
  <w:num w:numId="4">
    <w:abstractNumId w:val="0"/>
  </w:num>
  <w:num w:numId="5">
    <w:abstractNumId w:val="32"/>
  </w:num>
  <w:num w:numId="6">
    <w:abstractNumId w:val="4"/>
  </w:num>
  <w:num w:numId="7">
    <w:abstractNumId w:val="21"/>
  </w:num>
  <w:num w:numId="8">
    <w:abstractNumId w:val="20"/>
  </w:num>
  <w:num w:numId="9">
    <w:abstractNumId w:val="1"/>
  </w:num>
  <w:num w:numId="10">
    <w:abstractNumId w:val="36"/>
  </w:num>
  <w:num w:numId="11">
    <w:abstractNumId w:val="19"/>
  </w:num>
  <w:num w:numId="12">
    <w:abstractNumId w:val="6"/>
  </w:num>
  <w:num w:numId="13">
    <w:abstractNumId w:val="38"/>
  </w:num>
  <w:num w:numId="14">
    <w:abstractNumId w:val="11"/>
  </w:num>
  <w:num w:numId="15">
    <w:abstractNumId w:val="9"/>
  </w:num>
  <w:num w:numId="16">
    <w:abstractNumId w:val="23"/>
  </w:num>
  <w:num w:numId="17">
    <w:abstractNumId w:val="10"/>
  </w:num>
  <w:num w:numId="18">
    <w:abstractNumId w:val="7"/>
  </w:num>
  <w:num w:numId="19">
    <w:abstractNumId w:val="3"/>
  </w:num>
  <w:num w:numId="20">
    <w:abstractNumId w:val="18"/>
  </w:num>
  <w:num w:numId="21">
    <w:abstractNumId w:val="26"/>
  </w:num>
  <w:num w:numId="22">
    <w:abstractNumId w:val="22"/>
  </w:num>
  <w:num w:numId="23">
    <w:abstractNumId w:val="17"/>
  </w:num>
  <w:num w:numId="24">
    <w:abstractNumId w:val="14"/>
  </w:num>
  <w:num w:numId="25">
    <w:abstractNumId w:val="13"/>
  </w:num>
  <w:num w:numId="26">
    <w:abstractNumId w:val="25"/>
  </w:num>
  <w:num w:numId="27">
    <w:abstractNumId w:val="37"/>
  </w:num>
  <w:num w:numId="28">
    <w:abstractNumId w:val="16"/>
  </w:num>
  <w:num w:numId="29">
    <w:abstractNumId w:val="15"/>
  </w:num>
  <w:num w:numId="30">
    <w:abstractNumId w:val="29"/>
  </w:num>
  <w:num w:numId="31">
    <w:abstractNumId w:val="27"/>
  </w:num>
  <w:num w:numId="32">
    <w:abstractNumId w:val="39"/>
  </w:num>
  <w:num w:numId="33">
    <w:abstractNumId w:val="28"/>
  </w:num>
  <w:num w:numId="34">
    <w:abstractNumId w:val="33"/>
  </w:num>
  <w:num w:numId="35">
    <w:abstractNumId w:val="5"/>
  </w:num>
  <w:num w:numId="36">
    <w:abstractNumId w:val="8"/>
  </w:num>
  <w:num w:numId="37">
    <w:abstractNumId w:val="40"/>
  </w:num>
  <w:num w:numId="38">
    <w:abstractNumId w:val="34"/>
  </w:num>
  <w:num w:numId="39">
    <w:abstractNumId w:val="35"/>
  </w:num>
  <w:num w:numId="40">
    <w:abstractNumId w:val="24"/>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3EA"/>
    <w:rsid w:val="000002FF"/>
    <w:rsid w:val="00000BAE"/>
    <w:rsid w:val="00000F92"/>
    <w:rsid w:val="00002017"/>
    <w:rsid w:val="0000224E"/>
    <w:rsid w:val="00003A61"/>
    <w:rsid w:val="0000684C"/>
    <w:rsid w:val="00007918"/>
    <w:rsid w:val="00007F9E"/>
    <w:rsid w:val="00011672"/>
    <w:rsid w:val="00011A9A"/>
    <w:rsid w:val="0001404A"/>
    <w:rsid w:val="000148DC"/>
    <w:rsid w:val="000150BB"/>
    <w:rsid w:val="000155F0"/>
    <w:rsid w:val="0001589E"/>
    <w:rsid w:val="000158AF"/>
    <w:rsid w:val="00015F68"/>
    <w:rsid w:val="00021D9B"/>
    <w:rsid w:val="00026B11"/>
    <w:rsid w:val="00026BC3"/>
    <w:rsid w:val="00030575"/>
    <w:rsid w:val="00033AC2"/>
    <w:rsid w:val="00033B19"/>
    <w:rsid w:val="00034B67"/>
    <w:rsid w:val="00034C99"/>
    <w:rsid w:val="00034F37"/>
    <w:rsid w:val="0003628D"/>
    <w:rsid w:val="0003658A"/>
    <w:rsid w:val="00036E66"/>
    <w:rsid w:val="0003731D"/>
    <w:rsid w:val="0004020E"/>
    <w:rsid w:val="00040B7D"/>
    <w:rsid w:val="00041ED2"/>
    <w:rsid w:val="00043BC4"/>
    <w:rsid w:val="00043FCE"/>
    <w:rsid w:val="000469DD"/>
    <w:rsid w:val="0005013E"/>
    <w:rsid w:val="00052866"/>
    <w:rsid w:val="00052D62"/>
    <w:rsid w:val="000530B8"/>
    <w:rsid w:val="00054109"/>
    <w:rsid w:val="00054ACE"/>
    <w:rsid w:val="00054C01"/>
    <w:rsid w:val="00054CAA"/>
    <w:rsid w:val="000565C5"/>
    <w:rsid w:val="00056B82"/>
    <w:rsid w:val="00061287"/>
    <w:rsid w:val="0006276E"/>
    <w:rsid w:val="00064883"/>
    <w:rsid w:val="000656B5"/>
    <w:rsid w:val="000661EB"/>
    <w:rsid w:val="0006641A"/>
    <w:rsid w:val="000665FB"/>
    <w:rsid w:val="00066708"/>
    <w:rsid w:val="00066ECC"/>
    <w:rsid w:val="0006748F"/>
    <w:rsid w:val="000710F9"/>
    <w:rsid w:val="00073175"/>
    <w:rsid w:val="0007379F"/>
    <w:rsid w:val="000740ED"/>
    <w:rsid w:val="000761FB"/>
    <w:rsid w:val="00076420"/>
    <w:rsid w:val="00080FD1"/>
    <w:rsid w:val="0008182D"/>
    <w:rsid w:val="0008250B"/>
    <w:rsid w:val="00084BD2"/>
    <w:rsid w:val="00084F2E"/>
    <w:rsid w:val="00085532"/>
    <w:rsid w:val="00085AF8"/>
    <w:rsid w:val="00086A5D"/>
    <w:rsid w:val="0008718A"/>
    <w:rsid w:val="000873DF"/>
    <w:rsid w:val="0008765E"/>
    <w:rsid w:val="00087AE0"/>
    <w:rsid w:val="000911DF"/>
    <w:rsid w:val="00091669"/>
    <w:rsid w:val="000927A3"/>
    <w:rsid w:val="000936FE"/>
    <w:rsid w:val="000938EB"/>
    <w:rsid w:val="00094685"/>
    <w:rsid w:val="00094DAE"/>
    <w:rsid w:val="00094E6D"/>
    <w:rsid w:val="00094F45"/>
    <w:rsid w:val="00095E02"/>
    <w:rsid w:val="00096E5A"/>
    <w:rsid w:val="00097F0A"/>
    <w:rsid w:val="000A0A2E"/>
    <w:rsid w:val="000A1F1E"/>
    <w:rsid w:val="000A35AB"/>
    <w:rsid w:val="000A44A7"/>
    <w:rsid w:val="000A4C67"/>
    <w:rsid w:val="000A5BAD"/>
    <w:rsid w:val="000A66E5"/>
    <w:rsid w:val="000A783C"/>
    <w:rsid w:val="000A7F8B"/>
    <w:rsid w:val="000B2B88"/>
    <w:rsid w:val="000B31C7"/>
    <w:rsid w:val="000B325A"/>
    <w:rsid w:val="000B35F3"/>
    <w:rsid w:val="000B399F"/>
    <w:rsid w:val="000B6373"/>
    <w:rsid w:val="000B680B"/>
    <w:rsid w:val="000B6F35"/>
    <w:rsid w:val="000C1CC4"/>
    <w:rsid w:val="000C24AA"/>
    <w:rsid w:val="000C3F0F"/>
    <w:rsid w:val="000C4402"/>
    <w:rsid w:val="000C4EDF"/>
    <w:rsid w:val="000C51E0"/>
    <w:rsid w:val="000C53FC"/>
    <w:rsid w:val="000C5540"/>
    <w:rsid w:val="000D2DC4"/>
    <w:rsid w:val="000D317A"/>
    <w:rsid w:val="000D347D"/>
    <w:rsid w:val="000D4776"/>
    <w:rsid w:val="000D5062"/>
    <w:rsid w:val="000D55C0"/>
    <w:rsid w:val="000D6921"/>
    <w:rsid w:val="000D7A95"/>
    <w:rsid w:val="000E0D12"/>
    <w:rsid w:val="000E127A"/>
    <w:rsid w:val="000E1D07"/>
    <w:rsid w:val="000E2F23"/>
    <w:rsid w:val="000E50E2"/>
    <w:rsid w:val="000E55AB"/>
    <w:rsid w:val="000E5B2F"/>
    <w:rsid w:val="000E70AE"/>
    <w:rsid w:val="000E780E"/>
    <w:rsid w:val="000F0D3F"/>
    <w:rsid w:val="000F0DB9"/>
    <w:rsid w:val="000F1211"/>
    <w:rsid w:val="000F2160"/>
    <w:rsid w:val="000F273A"/>
    <w:rsid w:val="000F6417"/>
    <w:rsid w:val="000F6C36"/>
    <w:rsid w:val="001008E8"/>
    <w:rsid w:val="0010145F"/>
    <w:rsid w:val="00102478"/>
    <w:rsid w:val="00104A29"/>
    <w:rsid w:val="001065DF"/>
    <w:rsid w:val="00111546"/>
    <w:rsid w:val="0011188C"/>
    <w:rsid w:val="001137EC"/>
    <w:rsid w:val="00113F60"/>
    <w:rsid w:val="00115387"/>
    <w:rsid w:val="00115856"/>
    <w:rsid w:val="00115989"/>
    <w:rsid w:val="00116BC8"/>
    <w:rsid w:val="00120A2A"/>
    <w:rsid w:val="00120E48"/>
    <w:rsid w:val="001220D4"/>
    <w:rsid w:val="0012350A"/>
    <w:rsid w:val="00123893"/>
    <w:rsid w:val="00124492"/>
    <w:rsid w:val="001251B5"/>
    <w:rsid w:val="00125C31"/>
    <w:rsid w:val="00132DB2"/>
    <w:rsid w:val="00133132"/>
    <w:rsid w:val="0013585D"/>
    <w:rsid w:val="00135EC8"/>
    <w:rsid w:val="00136340"/>
    <w:rsid w:val="00136EB8"/>
    <w:rsid w:val="00137CC0"/>
    <w:rsid w:val="0014032B"/>
    <w:rsid w:val="001406CC"/>
    <w:rsid w:val="00140728"/>
    <w:rsid w:val="00140A4B"/>
    <w:rsid w:val="00140D78"/>
    <w:rsid w:val="00140ECB"/>
    <w:rsid w:val="00141DF1"/>
    <w:rsid w:val="001424BC"/>
    <w:rsid w:val="00143D6A"/>
    <w:rsid w:val="00147670"/>
    <w:rsid w:val="0015127A"/>
    <w:rsid w:val="00153E95"/>
    <w:rsid w:val="001556F6"/>
    <w:rsid w:val="00160E89"/>
    <w:rsid w:val="00162CEC"/>
    <w:rsid w:val="00163026"/>
    <w:rsid w:val="00165BF4"/>
    <w:rsid w:val="001702AB"/>
    <w:rsid w:val="00170D55"/>
    <w:rsid w:val="00172175"/>
    <w:rsid w:val="00173C86"/>
    <w:rsid w:val="00176F23"/>
    <w:rsid w:val="00180BFF"/>
    <w:rsid w:val="00181323"/>
    <w:rsid w:val="001831F3"/>
    <w:rsid w:val="00184DB9"/>
    <w:rsid w:val="00185A96"/>
    <w:rsid w:val="00190749"/>
    <w:rsid w:val="00190E2F"/>
    <w:rsid w:val="001923CC"/>
    <w:rsid w:val="0019251F"/>
    <w:rsid w:val="001928C1"/>
    <w:rsid w:val="00192C4B"/>
    <w:rsid w:val="001938E3"/>
    <w:rsid w:val="00193FD9"/>
    <w:rsid w:val="001950C6"/>
    <w:rsid w:val="001A0CB2"/>
    <w:rsid w:val="001A19D4"/>
    <w:rsid w:val="001A1FF7"/>
    <w:rsid w:val="001A23CC"/>
    <w:rsid w:val="001A274E"/>
    <w:rsid w:val="001A3299"/>
    <w:rsid w:val="001A44AE"/>
    <w:rsid w:val="001A58FC"/>
    <w:rsid w:val="001A5F67"/>
    <w:rsid w:val="001A7A45"/>
    <w:rsid w:val="001A7E0F"/>
    <w:rsid w:val="001B109C"/>
    <w:rsid w:val="001B2E8F"/>
    <w:rsid w:val="001B4C1C"/>
    <w:rsid w:val="001B5164"/>
    <w:rsid w:val="001B51A9"/>
    <w:rsid w:val="001B58C2"/>
    <w:rsid w:val="001B5B3A"/>
    <w:rsid w:val="001B6EEF"/>
    <w:rsid w:val="001B70EE"/>
    <w:rsid w:val="001B79C9"/>
    <w:rsid w:val="001C0C82"/>
    <w:rsid w:val="001C0F5E"/>
    <w:rsid w:val="001C20B6"/>
    <w:rsid w:val="001C2129"/>
    <w:rsid w:val="001C22E7"/>
    <w:rsid w:val="001C28BC"/>
    <w:rsid w:val="001C2F42"/>
    <w:rsid w:val="001C4661"/>
    <w:rsid w:val="001C4E4C"/>
    <w:rsid w:val="001C5332"/>
    <w:rsid w:val="001C59B8"/>
    <w:rsid w:val="001D2CE9"/>
    <w:rsid w:val="001D3934"/>
    <w:rsid w:val="001D46FF"/>
    <w:rsid w:val="001D4FE1"/>
    <w:rsid w:val="001D68E8"/>
    <w:rsid w:val="001D7DEB"/>
    <w:rsid w:val="001E0CBF"/>
    <w:rsid w:val="001E1815"/>
    <w:rsid w:val="001E28A7"/>
    <w:rsid w:val="001E29B0"/>
    <w:rsid w:val="001E33E2"/>
    <w:rsid w:val="001E4177"/>
    <w:rsid w:val="001E7DFB"/>
    <w:rsid w:val="001F08C9"/>
    <w:rsid w:val="001F2902"/>
    <w:rsid w:val="001F2C33"/>
    <w:rsid w:val="001F38AB"/>
    <w:rsid w:val="001F5267"/>
    <w:rsid w:val="001F5B7E"/>
    <w:rsid w:val="001F6DB9"/>
    <w:rsid w:val="001F7B60"/>
    <w:rsid w:val="001F7CD6"/>
    <w:rsid w:val="0020039C"/>
    <w:rsid w:val="00201E91"/>
    <w:rsid w:val="002024CB"/>
    <w:rsid w:val="00202671"/>
    <w:rsid w:val="002035B1"/>
    <w:rsid w:val="0020671C"/>
    <w:rsid w:val="0020752A"/>
    <w:rsid w:val="00211AD5"/>
    <w:rsid w:val="00211FD7"/>
    <w:rsid w:val="0021215F"/>
    <w:rsid w:val="00213B61"/>
    <w:rsid w:val="00214ED2"/>
    <w:rsid w:val="0021729D"/>
    <w:rsid w:val="002200C0"/>
    <w:rsid w:val="00220CE8"/>
    <w:rsid w:val="002224D0"/>
    <w:rsid w:val="00225A84"/>
    <w:rsid w:val="00225E6E"/>
    <w:rsid w:val="00225E92"/>
    <w:rsid w:val="00225F93"/>
    <w:rsid w:val="0022671D"/>
    <w:rsid w:val="00226C7A"/>
    <w:rsid w:val="00227844"/>
    <w:rsid w:val="00230A2A"/>
    <w:rsid w:val="00230BD8"/>
    <w:rsid w:val="00231004"/>
    <w:rsid w:val="002324F6"/>
    <w:rsid w:val="0023498E"/>
    <w:rsid w:val="00235A46"/>
    <w:rsid w:val="0023646C"/>
    <w:rsid w:val="00240351"/>
    <w:rsid w:val="002404CA"/>
    <w:rsid w:val="00240C2A"/>
    <w:rsid w:val="00241082"/>
    <w:rsid w:val="002418A1"/>
    <w:rsid w:val="00241C2E"/>
    <w:rsid w:val="0024273C"/>
    <w:rsid w:val="00242E1F"/>
    <w:rsid w:val="00246FA0"/>
    <w:rsid w:val="00247A7C"/>
    <w:rsid w:val="00250457"/>
    <w:rsid w:val="00251259"/>
    <w:rsid w:val="00251635"/>
    <w:rsid w:val="002531A7"/>
    <w:rsid w:val="00253A7F"/>
    <w:rsid w:val="00253B60"/>
    <w:rsid w:val="002544F0"/>
    <w:rsid w:val="002559F7"/>
    <w:rsid w:val="00260048"/>
    <w:rsid w:val="0026094D"/>
    <w:rsid w:val="00260B4B"/>
    <w:rsid w:val="002616A7"/>
    <w:rsid w:val="00261BC9"/>
    <w:rsid w:val="00261E36"/>
    <w:rsid w:val="0026443E"/>
    <w:rsid w:val="0026554D"/>
    <w:rsid w:val="002657EA"/>
    <w:rsid w:val="00265A44"/>
    <w:rsid w:val="00266E7F"/>
    <w:rsid w:val="0026791B"/>
    <w:rsid w:val="0027031E"/>
    <w:rsid w:val="002735E3"/>
    <w:rsid w:val="00274201"/>
    <w:rsid w:val="00274336"/>
    <w:rsid w:val="00275919"/>
    <w:rsid w:val="00275ED7"/>
    <w:rsid w:val="00276234"/>
    <w:rsid w:val="00277924"/>
    <w:rsid w:val="00277E6A"/>
    <w:rsid w:val="0028152D"/>
    <w:rsid w:val="002818DC"/>
    <w:rsid w:val="00282823"/>
    <w:rsid w:val="0028288A"/>
    <w:rsid w:val="00282AC2"/>
    <w:rsid w:val="00282DCB"/>
    <w:rsid w:val="00283948"/>
    <w:rsid w:val="00286D5D"/>
    <w:rsid w:val="00287E3B"/>
    <w:rsid w:val="00291DFE"/>
    <w:rsid w:val="00293106"/>
    <w:rsid w:val="00296A32"/>
    <w:rsid w:val="002A01A6"/>
    <w:rsid w:val="002A0472"/>
    <w:rsid w:val="002A0C87"/>
    <w:rsid w:val="002A0ED0"/>
    <w:rsid w:val="002A18D5"/>
    <w:rsid w:val="002A2A34"/>
    <w:rsid w:val="002A32FB"/>
    <w:rsid w:val="002A52FC"/>
    <w:rsid w:val="002A66D3"/>
    <w:rsid w:val="002A79A0"/>
    <w:rsid w:val="002A79F9"/>
    <w:rsid w:val="002B274B"/>
    <w:rsid w:val="002B287E"/>
    <w:rsid w:val="002B29A1"/>
    <w:rsid w:val="002B5323"/>
    <w:rsid w:val="002B6140"/>
    <w:rsid w:val="002B712D"/>
    <w:rsid w:val="002B7888"/>
    <w:rsid w:val="002B7B8B"/>
    <w:rsid w:val="002B7FA1"/>
    <w:rsid w:val="002C1784"/>
    <w:rsid w:val="002C20F7"/>
    <w:rsid w:val="002C5AEB"/>
    <w:rsid w:val="002C721D"/>
    <w:rsid w:val="002C773E"/>
    <w:rsid w:val="002D0077"/>
    <w:rsid w:val="002D033D"/>
    <w:rsid w:val="002D0D74"/>
    <w:rsid w:val="002D1483"/>
    <w:rsid w:val="002D38E9"/>
    <w:rsid w:val="002D4F8D"/>
    <w:rsid w:val="002D5F82"/>
    <w:rsid w:val="002D73FC"/>
    <w:rsid w:val="002D76F5"/>
    <w:rsid w:val="002D79E7"/>
    <w:rsid w:val="002E16EC"/>
    <w:rsid w:val="002E1A69"/>
    <w:rsid w:val="002E311A"/>
    <w:rsid w:val="002E4104"/>
    <w:rsid w:val="002E57E3"/>
    <w:rsid w:val="002E6AB9"/>
    <w:rsid w:val="002F09FD"/>
    <w:rsid w:val="002F313B"/>
    <w:rsid w:val="002F3389"/>
    <w:rsid w:val="002F458E"/>
    <w:rsid w:val="002F4EBE"/>
    <w:rsid w:val="002F57BB"/>
    <w:rsid w:val="002F5D67"/>
    <w:rsid w:val="002F651C"/>
    <w:rsid w:val="002F6AC1"/>
    <w:rsid w:val="002F7EBF"/>
    <w:rsid w:val="00301EBD"/>
    <w:rsid w:val="00302042"/>
    <w:rsid w:val="00302D30"/>
    <w:rsid w:val="00302F50"/>
    <w:rsid w:val="0030417A"/>
    <w:rsid w:val="003043C5"/>
    <w:rsid w:val="00304A6A"/>
    <w:rsid w:val="00305EF6"/>
    <w:rsid w:val="00305FD2"/>
    <w:rsid w:val="003068F5"/>
    <w:rsid w:val="003138FB"/>
    <w:rsid w:val="003163A2"/>
    <w:rsid w:val="00317D7F"/>
    <w:rsid w:val="003206A2"/>
    <w:rsid w:val="00322BFF"/>
    <w:rsid w:val="003268CF"/>
    <w:rsid w:val="00326A05"/>
    <w:rsid w:val="00326C0B"/>
    <w:rsid w:val="003313C1"/>
    <w:rsid w:val="00331D61"/>
    <w:rsid w:val="00333254"/>
    <w:rsid w:val="00334A93"/>
    <w:rsid w:val="00335520"/>
    <w:rsid w:val="0033628C"/>
    <w:rsid w:val="003370D0"/>
    <w:rsid w:val="003371BE"/>
    <w:rsid w:val="003378B2"/>
    <w:rsid w:val="003400F3"/>
    <w:rsid w:val="00341BF6"/>
    <w:rsid w:val="00341DAB"/>
    <w:rsid w:val="003431BC"/>
    <w:rsid w:val="0034361B"/>
    <w:rsid w:val="00343C1B"/>
    <w:rsid w:val="00343DF0"/>
    <w:rsid w:val="00344195"/>
    <w:rsid w:val="0034456B"/>
    <w:rsid w:val="00344FD8"/>
    <w:rsid w:val="0034520E"/>
    <w:rsid w:val="003454EE"/>
    <w:rsid w:val="00345D3A"/>
    <w:rsid w:val="00346FA7"/>
    <w:rsid w:val="0034795F"/>
    <w:rsid w:val="003504B1"/>
    <w:rsid w:val="00351451"/>
    <w:rsid w:val="00352CE9"/>
    <w:rsid w:val="003549E2"/>
    <w:rsid w:val="00355132"/>
    <w:rsid w:val="00356002"/>
    <w:rsid w:val="003568F8"/>
    <w:rsid w:val="003579A1"/>
    <w:rsid w:val="00357D58"/>
    <w:rsid w:val="00362BCD"/>
    <w:rsid w:val="00363A86"/>
    <w:rsid w:val="00364F04"/>
    <w:rsid w:val="003668DD"/>
    <w:rsid w:val="0036699F"/>
    <w:rsid w:val="00367A95"/>
    <w:rsid w:val="00370073"/>
    <w:rsid w:val="00370248"/>
    <w:rsid w:val="003716E6"/>
    <w:rsid w:val="00372557"/>
    <w:rsid w:val="0037484D"/>
    <w:rsid w:val="00377379"/>
    <w:rsid w:val="00377AAC"/>
    <w:rsid w:val="00377D88"/>
    <w:rsid w:val="00380530"/>
    <w:rsid w:val="003806F2"/>
    <w:rsid w:val="0038133D"/>
    <w:rsid w:val="003832B6"/>
    <w:rsid w:val="0038397E"/>
    <w:rsid w:val="003840FD"/>
    <w:rsid w:val="00384E1F"/>
    <w:rsid w:val="00385B84"/>
    <w:rsid w:val="00385B97"/>
    <w:rsid w:val="00386716"/>
    <w:rsid w:val="0038698A"/>
    <w:rsid w:val="003872F4"/>
    <w:rsid w:val="00387454"/>
    <w:rsid w:val="0038768E"/>
    <w:rsid w:val="00387705"/>
    <w:rsid w:val="00387F8A"/>
    <w:rsid w:val="003914AE"/>
    <w:rsid w:val="00391873"/>
    <w:rsid w:val="003923BD"/>
    <w:rsid w:val="003930BE"/>
    <w:rsid w:val="003951A7"/>
    <w:rsid w:val="00395CD4"/>
    <w:rsid w:val="0039617A"/>
    <w:rsid w:val="00396720"/>
    <w:rsid w:val="003A0484"/>
    <w:rsid w:val="003A0B7A"/>
    <w:rsid w:val="003A38AD"/>
    <w:rsid w:val="003A39CE"/>
    <w:rsid w:val="003A3E55"/>
    <w:rsid w:val="003A43C5"/>
    <w:rsid w:val="003A5031"/>
    <w:rsid w:val="003B0E15"/>
    <w:rsid w:val="003B2535"/>
    <w:rsid w:val="003B2887"/>
    <w:rsid w:val="003B6452"/>
    <w:rsid w:val="003B663E"/>
    <w:rsid w:val="003B681B"/>
    <w:rsid w:val="003C02B4"/>
    <w:rsid w:val="003C0B5B"/>
    <w:rsid w:val="003C135F"/>
    <w:rsid w:val="003C15D1"/>
    <w:rsid w:val="003C19A5"/>
    <w:rsid w:val="003C4924"/>
    <w:rsid w:val="003C6498"/>
    <w:rsid w:val="003D032B"/>
    <w:rsid w:val="003D0C3A"/>
    <w:rsid w:val="003D1844"/>
    <w:rsid w:val="003D3C3D"/>
    <w:rsid w:val="003D3EEC"/>
    <w:rsid w:val="003D41A7"/>
    <w:rsid w:val="003D56CE"/>
    <w:rsid w:val="003D5B39"/>
    <w:rsid w:val="003D71DF"/>
    <w:rsid w:val="003D78AB"/>
    <w:rsid w:val="003E04B3"/>
    <w:rsid w:val="003E207F"/>
    <w:rsid w:val="003E26C0"/>
    <w:rsid w:val="003E3559"/>
    <w:rsid w:val="003E3D5F"/>
    <w:rsid w:val="003E44B0"/>
    <w:rsid w:val="003E4D65"/>
    <w:rsid w:val="003E4F2F"/>
    <w:rsid w:val="003E5B6B"/>
    <w:rsid w:val="003E5EB0"/>
    <w:rsid w:val="003E6D74"/>
    <w:rsid w:val="003E6F2E"/>
    <w:rsid w:val="003F012D"/>
    <w:rsid w:val="003F077F"/>
    <w:rsid w:val="003F0BA0"/>
    <w:rsid w:val="003F1D76"/>
    <w:rsid w:val="003F2139"/>
    <w:rsid w:val="003F3B15"/>
    <w:rsid w:val="003F4100"/>
    <w:rsid w:val="003F521B"/>
    <w:rsid w:val="003F7891"/>
    <w:rsid w:val="0040078A"/>
    <w:rsid w:val="0040147F"/>
    <w:rsid w:val="004027A2"/>
    <w:rsid w:val="00402C1C"/>
    <w:rsid w:val="00403A6E"/>
    <w:rsid w:val="00405249"/>
    <w:rsid w:val="004072FA"/>
    <w:rsid w:val="00413E42"/>
    <w:rsid w:val="0042050C"/>
    <w:rsid w:val="0042069B"/>
    <w:rsid w:val="0042087C"/>
    <w:rsid w:val="004209BF"/>
    <w:rsid w:val="0042292E"/>
    <w:rsid w:val="00426479"/>
    <w:rsid w:val="00430E09"/>
    <w:rsid w:val="00436032"/>
    <w:rsid w:val="00451E45"/>
    <w:rsid w:val="0045223F"/>
    <w:rsid w:val="0045386A"/>
    <w:rsid w:val="004549FE"/>
    <w:rsid w:val="00455D86"/>
    <w:rsid w:val="004573A1"/>
    <w:rsid w:val="00457C7A"/>
    <w:rsid w:val="00457D5B"/>
    <w:rsid w:val="00460383"/>
    <w:rsid w:val="0046043F"/>
    <w:rsid w:val="00462971"/>
    <w:rsid w:val="00462C6A"/>
    <w:rsid w:val="00463110"/>
    <w:rsid w:val="004638F7"/>
    <w:rsid w:val="00463FC5"/>
    <w:rsid w:val="00465348"/>
    <w:rsid w:val="00467CDB"/>
    <w:rsid w:val="0047086B"/>
    <w:rsid w:val="00470F0C"/>
    <w:rsid w:val="0047121A"/>
    <w:rsid w:val="00472D28"/>
    <w:rsid w:val="004737BE"/>
    <w:rsid w:val="00473DD0"/>
    <w:rsid w:val="0047571E"/>
    <w:rsid w:val="00475998"/>
    <w:rsid w:val="00476824"/>
    <w:rsid w:val="00476DA8"/>
    <w:rsid w:val="004771FA"/>
    <w:rsid w:val="00481260"/>
    <w:rsid w:val="00481D90"/>
    <w:rsid w:val="0048220D"/>
    <w:rsid w:val="00483588"/>
    <w:rsid w:val="00483867"/>
    <w:rsid w:val="00484EB3"/>
    <w:rsid w:val="0048639E"/>
    <w:rsid w:val="00490DF5"/>
    <w:rsid w:val="004912CA"/>
    <w:rsid w:val="00491401"/>
    <w:rsid w:val="0049295D"/>
    <w:rsid w:val="004930E0"/>
    <w:rsid w:val="00493917"/>
    <w:rsid w:val="0049629D"/>
    <w:rsid w:val="00497949"/>
    <w:rsid w:val="00497AAF"/>
    <w:rsid w:val="004A0AF1"/>
    <w:rsid w:val="004A2E5B"/>
    <w:rsid w:val="004A625B"/>
    <w:rsid w:val="004A7369"/>
    <w:rsid w:val="004B0CBA"/>
    <w:rsid w:val="004B358C"/>
    <w:rsid w:val="004B3DB8"/>
    <w:rsid w:val="004B4AD0"/>
    <w:rsid w:val="004B5903"/>
    <w:rsid w:val="004B5D61"/>
    <w:rsid w:val="004B6DAD"/>
    <w:rsid w:val="004B74A5"/>
    <w:rsid w:val="004B7BBF"/>
    <w:rsid w:val="004C1D18"/>
    <w:rsid w:val="004C3BE1"/>
    <w:rsid w:val="004C55E8"/>
    <w:rsid w:val="004C5F8D"/>
    <w:rsid w:val="004C5F96"/>
    <w:rsid w:val="004C67CA"/>
    <w:rsid w:val="004C7BD3"/>
    <w:rsid w:val="004D0A2F"/>
    <w:rsid w:val="004D0E4F"/>
    <w:rsid w:val="004D17AE"/>
    <w:rsid w:val="004D505D"/>
    <w:rsid w:val="004D5AD1"/>
    <w:rsid w:val="004D67B1"/>
    <w:rsid w:val="004D7D8D"/>
    <w:rsid w:val="004D7E26"/>
    <w:rsid w:val="004D7EFB"/>
    <w:rsid w:val="004E1ECC"/>
    <w:rsid w:val="004E3211"/>
    <w:rsid w:val="004E3278"/>
    <w:rsid w:val="004E53AF"/>
    <w:rsid w:val="004E5A9A"/>
    <w:rsid w:val="004E6719"/>
    <w:rsid w:val="004E694F"/>
    <w:rsid w:val="004F0835"/>
    <w:rsid w:val="004F2002"/>
    <w:rsid w:val="004F237B"/>
    <w:rsid w:val="004F2F1D"/>
    <w:rsid w:val="004F4D70"/>
    <w:rsid w:val="004F53A5"/>
    <w:rsid w:val="004F6AC3"/>
    <w:rsid w:val="005001A3"/>
    <w:rsid w:val="0050084E"/>
    <w:rsid w:val="0050211F"/>
    <w:rsid w:val="0050365A"/>
    <w:rsid w:val="00503A8D"/>
    <w:rsid w:val="0050686B"/>
    <w:rsid w:val="00510F0E"/>
    <w:rsid w:val="00511A58"/>
    <w:rsid w:val="005156A6"/>
    <w:rsid w:val="00515B06"/>
    <w:rsid w:val="00515CBA"/>
    <w:rsid w:val="00515D73"/>
    <w:rsid w:val="00516CAD"/>
    <w:rsid w:val="005177F1"/>
    <w:rsid w:val="00524850"/>
    <w:rsid w:val="00524F9C"/>
    <w:rsid w:val="00525036"/>
    <w:rsid w:val="005259FC"/>
    <w:rsid w:val="005276A7"/>
    <w:rsid w:val="005301ED"/>
    <w:rsid w:val="00530E68"/>
    <w:rsid w:val="00531277"/>
    <w:rsid w:val="0053177D"/>
    <w:rsid w:val="0053220A"/>
    <w:rsid w:val="005322D8"/>
    <w:rsid w:val="00535F94"/>
    <w:rsid w:val="00537652"/>
    <w:rsid w:val="005410EB"/>
    <w:rsid w:val="00541C28"/>
    <w:rsid w:val="005426FD"/>
    <w:rsid w:val="005430C3"/>
    <w:rsid w:val="00546FB7"/>
    <w:rsid w:val="00546FF9"/>
    <w:rsid w:val="0054730A"/>
    <w:rsid w:val="00550221"/>
    <w:rsid w:val="00550325"/>
    <w:rsid w:val="0055099F"/>
    <w:rsid w:val="00552FFC"/>
    <w:rsid w:val="005548D8"/>
    <w:rsid w:val="00556604"/>
    <w:rsid w:val="00560087"/>
    <w:rsid w:val="0056037B"/>
    <w:rsid w:val="005619F1"/>
    <w:rsid w:val="00561A73"/>
    <w:rsid w:val="005622F2"/>
    <w:rsid w:val="00562917"/>
    <w:rsid w:val="00563935"/>
    <w:rsid w:val="0056477A"/>
    <w:rsid w:val="00567D6F"/>
    <w:rsid w:val="005708FC"/>
    <w:rsid w:val="00570BF9"/>
    <w:rsid w:val="00572B5C"/>
    <w:rsid w:val="00572B64"/>
    <w:rsid w:val="00572F36"/>
    <w:rsid w:val="0057365D"/>
    <w:rsid w:val="00575AB6"/>
    <w:rsid w:val="00576A8B"/>
    <w:rsid w:val="00581026"/>
    <w:rsid w:val="005810B5"/>
    <w:rsid w:val="00581956"/>
    <w:rsid w:val="00582AEC"/>
    <w:rsid w:val="00582CA0"/>
    <w:rsid w:val="00582F86"/>
    <w:rsid w:val="005832E9"/>
    <w:rsid w:val="00583C09"/>
    <w:rsid w:val="00590D47"/>
    <w:rsid w:val="005914D6"/>
    <w:rsid w:val="00591855"/>
    <w:rsid w:val="00591E34"/>
    <w:rsid w:val="00591F18"/>
    <w:rsid w:val="005952F7"/>
    <w:rsid w:val="00595372"/>
    <w:rsid w:val="00596BF5"/>
    <w:rsid w:val="00597EC9"/>
    <w:rsid w:val="005A05CC"/>
    <w:rsid w:val="005A25B4"/>
    <w:rsid w:val="005A2D15"/>
    <w:rsid w:val="005A4420"/>
    <w:rsid w:val="005A44A2"/>
    <w:rsid w:val="005A60C3"/>
    <w:rsid w:val="005A6825"/>
    <w:rsid w:val="005A7141"/>
    <w:rsid w:val="005B07A5"/>
    <w:rsid w:val="005B11FB"/>
    <w:rsid w:val="005B253D"/>
    <w:rsid w:val="005B3486"/>
    <w:rsid w:val="005B61A4"/>
    <w:rsid w:val="005B656E"/>
    <w:rsid w:val="005B6AE8"/>
    <w:rsid w:val="005B739F"/>
    <w:rsid w:val="005B7888"/>
    <w:rsid w:val="005C24A0"/>
    <w:rsid w:val="005C334A"/>
    <w:rsid w:val="005C3E0B"/>
    <w:rsid w:val="005C4070"/>
    <w:rsid w:val="005C601E"/>
    <w:rsid w:val="005C6774"/>
    <w:rsid w:val="005C6F52"/>
    <w:rsid w:val="005C7BA6"/>
    <w:rsid w:val="005C7EEF"/>
    <w:rsid w:val="005D13FD"/>
    <w:rsid w:val="005D1A50"/>
    <w:rsid w:val="005D20FE"/>
    <w:rsid w:val="005D27B6"/>
    <w:rsid w:val="005D3485"/>
    <w:rsid w:val="005D38E7"/>
    <w:rsid w:val="005D5A58"/>
    <w:rsid w:val="005D6EC9"/>
    <w:rsid w:val="005E1E01"/>
    <w:rsid w:val="005E4106"/>
    <w:rsid w:val="005E512D"/>
    <w:rsid w:val="005E7054"/>
    <w:rsid w:val="005F1CC7"/>
    <w:rsid w:val="005F232F"/>
    <w:rsid w:val="005F41C5"/>
    <w:rsid w:val="005F6627"/>
    <w:rsid w:val="00600638"/>
    <w:rsid w:val="00600865"/>
    <w:rsid w:val="00601BF1"/>
    <w:rsid w:val="006030B7"/>
    <w:rsid w:val="00603DD0"/>
    <w:rsid w:val="00605677"/>
    <w:rsid w:val="00605B6C"/>
    <w:rsid w:val="00607DD5"/>
    <w:rsid w:val="006127FD"/>
    <w:rsid w:val="006133AC"/>
    <w:rsid w:val="00613B98"/>
    <w:rsid w:val="00614BE6"/>
    <w:rsid w:val="006156FD"/>
    <w:rsid w:val="00616A4D"/>
    <w:rsid w:val="00620545"/>
    <w:rsid w:val="00621305"/>
    <w:rsid w:val="006229A5"/>
    <w:rsid w:val="00623FE7"/>
    <w:rsid w:val="00625139"/>
    <w:rsid w:val="00625AE6"/>
    <w:rsid w:val="00625FB0"/>
    <w:rsid w:val="006264ED"/>
    <w:rsid w:val="00626924"/>
    <w:rsid w:val="00626C9D"/>
    <w:rsid w:val="0063114B"/>
    <w:rsid w:val="00634351"/>
    <w:rsid w:val="00635BE4"/>
    <w:rsid w:val="00636FA7"/>
    <w:rsid w:val="006376E3"/>
    <w:rsid w:val="006420EE"/>
    <w:rsid w:val="00642B91"/>
    <w:rsid w:val="00642EEE"/>
    <w:rsid w:val="006466E7"/>
    <w:rsid w:val="00646F70"/>
    <w:rsid w:val="0065164C"/>
    <w:rsid w:val="0065233F"/>
    <w:rsid w:val="00653BC9"/>
    <w:rsid w:val="00653FC4"/>
    <w:rsid w:val="00655A9B"/>
    <w:rsid w:val="00657B89"/>
    <w:rsid w:val="00657BC9"/>
    <w:rsid w:val="00657CF9"/>
    <w:rsid w:val="00661127"/>
    <w:rsid w:val="0066171B"/>
    <w:rsid w:val="00663191"/>
    <w:rsid w:val="0066534A"/>
    <w:rsid w:val="00665687"/>
    <w:rsid w:val="0067010D"/>
    <w:rsid w:val="00671288"/>
    <w:rsid w:val="00673777"/>
    <w:rsid w:val="00673BD8"/>
    <w:rsid w:val="00673CBB"/>
    <w:rsid w:val="00674323"/>
    <w:rsid w:val="0067656C"/>
    <w:rsid w:val="006809A3"/>
    <w:rsid w:val="00680E80"/>
    <w:rsid w:val="006812C4"/>
    <w:rsid w:val="00681C7B"/>
    <w:rsid w:val="006823A1"/>
    <w:rsid w:val="00682781"/>
    <w:rsid w:val="00683E89"/>
    <w:rsid w:val="006845E1"/>
    <w:rsid w:val="00685199"/>
    <w:rsid w:val="006857A2"/>
    <w:rsid w:val="00685B76"/>
    <w:rsid w:val="00690B2F"/>
    <w:rsid w:val="006918DC"/>
    <w:rsid w:val="00691C09"/>
    <w:rsid w:val="00691C52"/>
    <w:rsid w:val="00691FBC"/>
    <w:rsid w:val="00692A3E"/>
    <w:rsid w:val="006943CC"/>
    <w:rsid w:val="006953FB"/>
    <w:rsid w:val="00696B14"/>
    <w:rsid w:val="00696B51"/>
    <w:rsid w:val="006973EA"/>
    <w:rsid w:val="00697751"/>
    <w:rsid w:val="006A03BB"/>
    <w:rsid w:val="006A0769"/>
    <w:rsid w:val="006A293F"/>
    <w:rsid w:val="006A36A9"/>
    <w:rsid w:val="006A5AB4"/>
    <w:rsid w:val="006A6331"/>
    <w:rsid w:val="006A72A4"/>
    <w:rsid w:val="006A7B57"/>
    <w:rsid w:val="006B189E"/>
    <w:rsid w:val="006B3E13"/>
    <w:rsid w:val="006B53B7"/>
    <w:rsid w:val="006B58A1"/>
    <w:rsid w:val="006B710E"/>
    <w:rsid w:val="006C11C8"/>
    <w:rsid w:val="006C20E5"/>
    <w:rsid w:val="006C3676"/>
    <w:rsid w:val="006C4033"/>
    <w:rsid w:val="006C4806"/>
    <w:rsid w:val="006C4F8D"/>
    <w:rsid w:val="006C528B"/>
    <w:rsid w:val="006C7ADF"/>
    <w:rsid w:val="006D039B"/>
    <w:rsid w:val="006D03C4"/>
    <w:rsid w:val="006D08B7"/>
    <w:rsid w:val="006D0B67"/>
    <w:rsid w:val="006D35FD"/>
    <w:rsid w:val="006D5C43"/>
    <w:rsid w:val="006E13C7"/>
    <w:rsid w:val="006E43AA"/>
    <w:rsid w:val="006E4744"/>
    <w:rsid w:val="006E50F5"/>
    <w:rsid w:val="006E66D3"/>
    <w:rsid w:val="006E75D3"/>
    <w:rsid w:val="006F17E2"/>
    <w:rsid w:val="006F2A0C"/>
    <w:rsid w:val="006F30BC"/>
    <w:rsid w:val="006F4D54"/>
    <w:rsid w:val="006F6EE9"/>
    <w:rsid w:val="0070072E"/>
    <w:rsid w:val="007013C8"/>
    <w:rsid w:val="00702AA9"/>
    <w:rsid w:val="007054C6"/>
    <w:rsid w:val="007065B3"/>
    <w:rsid w:val="00706827"/>
    <w:rsid w:val="00706B7C"/>
    <w:rsid w:val="00707BB1"/>
    <w:rsid w:val="00710F8D"/>
    <w:rsid w:val="007112D3"/>
    <w:rsid w:val="007116EF"/>
    <w:rsid w:val="007136A2"/>
    <w:rsid w:val="007137A8"/>
    <w:rsid w:val="007150CF"/>
    <w:rsid w:val="00715487"/>
    <w:rsid w:val="00715CE6"/>
    <w:rsid w:val="007168FE"/>
    <w:rsid w:val="00717151"/>
    <w:rsid w:val="00717438"/>
    <w:rsid w:val="007176F9"/>
    <w:rsid w:val="00720322"/>
    <w:rsid w:val="00721DD5"/>
    <w:rsid w:val="00723D13"/>
    <w:rsid w:val="00723E66"/>
    <w:rsid w:val="00724FFC"/>
    <w:rsid w:val="00725BBA"/>
    <w:rsid w:val="0072640E"/>
    <w:rsid w:val="0072681E"/>
    <w:rsid w:val="007278D8"/>
    <w:rsid w:val="00730A0B"/>
    <w:rsid w:val="00730B52"/>
    <w:rsid w:val="00731D9C"/>
    <w:rsid w:val="00731EEE"/>
    <w:rsid w:val="007325CC"/>
    <w:rsid w:val="0073298D"/>
    <w:rsid w:val="00733A2C"/>
    <w:rsid w:val="007350D0"/>
    <w:rsid w:val="00735F42"/>
    <w:rsid w:val="00736E98"/>
    <w:rsid w:val="00737D98"/>
    <w:rsid w:val="00741C68"/>
    <w:rsid w:val="00741CA9"/>
    <w:rsid w:val="0074279A"/>
    <w:rsid w:val="00743E68"/>
    <w:rsid w:val="00744D0B"/>
    <w:rsid w:val="00745A7A"/>
    <w:rsid w:val="007460BB"/>
    <w:rsid w:val="007464B6"/>
    <w:rsid w:val="00746DA2"/>
    <w:rsid w:val="00747016"/>
    <w:rsid w:val="007472ED"/>
    <w:rsid w:val="00751565"/>
    <w:rsid w:val="00751624"/>
    <w:rsid w:val="00751A80"/>
    <w:rsid w:val="0075298D"/>
    <w:rsid w:val="00752A59"/>
    <w:rsid w:val="00752C39"/>
    <w:rsid w:val="00753085"/>
    <w:rsid w:val="00756DCB"/>
    <w:rsid w:val="00756E41"/>
    <w:rsid w:val="00756FF0"/>
    <w:rsid w:val="00757346"/>
    <w:rsid w:val="00761C75"/>
    <w:rsid w:val="00762295"/>
    <w:rsid w:val="00766AAF"/>
    <w:rsid w:val="007672C0"/>
    <w:rsid w:val="00767DBB"/>
    <w:rsid w:val="00771EFD"/>
    <w:rsid w:val="0077306D"/>
    <w:rsid w:val="00773830"/>
    <w:rsid w:val="007738EA"/>
    <w:rsid w:val="007739AF"/>
    <w:rsid w:val="00774442"/>
    <w:rsid w:val="007750DD"/>
    <w:rsid w:val="00775E07"/>
    <w:rsid w:val="00776A99"/>
    <w:rsid w:val="0077719A"/>
    <w:rsid w:val="0077753C"/>
    <w:rsid w:val="00777E9E"/>
    <w:rsid w:val="00777F26"/>
    <w:rsid w:val="00781D85"/>
    <w:rsid w:val="00781FCE"/>
    <w:rsid w:val="00782089"/>
    <w:rsid w:val="00784080"/>
    <w:rsid w:val="00784343"/>
    <w:rsid w:val="00784FE2"/>
    <w:rsid w:val="00785232"/>
    <w:rsid w:val="00786126"/>
    <w:rsid w:val="00787065"/>
    <w:rsid w:val="007873C6"/>
    <w:rsid w:val="007874E3"/>
    <w:rsid w:val="007878D8"/>
    <w:rsid w:val="00787FAD"/>
    <w:rsid w:val="00791B91"/>
    <w:rsid w:val="00791E63"/>
    <w:rsid w:val="007932EB"/>
    <w:rsid w:val="007950ED"/>
    <w:rsid w:val="0079540C"/>
    <w:rsid w:val="00795707"/>
    <w:rsid w:val="00796EF4"/>
    <w:rsid w:val="00797582"/>
    <w:rsid w:val="007A078B"/>
    <w:rsid w:val="007A0CAB"/>
    <w:rsid w:val="007A221C"/>
    <w:rsid w:val="007A2C84"/>
    <w:rsid w:val="007A366B"/>
    <w:rsid w:val="007A42D6"/>
    <w:rsid w:val="007A62E3"/>
    <w:rsid w:val="007A7313"/>
    <w:rsid w:val="007B14EB"/>
    <w:rsid w:val="007B19F4"/>
    <w:rsid w:val="007B2773"/>
    <w:rsid w:val="007B4078"/>
    <w:rsid w:val="007B6FA0"/>
    <w:rsid w:val="007B79DC"/>
    <w:rsid w:val="007C022B"/>
    <w:rsid w:val="007C6396"/>
    <w:rsid w:val="007C74C6"/>
    <w:rsid w:val="007D0774"/>
    <w:rsid w:val="007D0854"/>
    <w:rsid w:val="007D39B7"/>
    <w:rsid w:val="007D65C1"/>
    <w:rsid w:val="007D6924"/>
    <w:rsid w:val="007D7539"/>
    <w:rsid w:val="007E026B"/>
    <w:rsid w:val="007E1A54"/>
    <w:rsid w:val="007E4E8F"/>
    <w:rsid w:val="007E5FDB"/>
    <w:rsid w:val="007E7036"/>
    <w:rsid w:val="007F0179"/>
    <w:rsid w:val="007F06F9"/>
    <w:rsid w:val="007F096B"/>
    <w:rsid w:val="007F1605"/>
    <w:rsid w:val="007F1E30"/>
    <w:rsid w:val="007F24C2"/>
    <w:rsid w:val="007F36C3"/>
    <w:rsid w:val="007F3A92"/>
    <w:rsid w:val="007F46BD"/>
    <w:rsid w:val="007F79A1"/>
    <w:rsid w:val="00801464"/>
    <w:rsid w:val="0080476F"/>
    <w:rsid w:val="00805055"/>
    <w:rsid w:val="0080532A"/>
    <w:rsid w:val="008053C6"/>
    <w:rsid w:val="008069D9"/>
    <w:rsid w:val="0080745F"/>
    <w:rsid w:val="008116D0"/>
    <w:rsid w:val="00813140"/>
    <w:rsid w:val="008142FF"/>
    <w:rsid w:val="008152EC"/>
    <w:rsid w:val="0081626C"/>
    <w:rsid w:val="00817326"/>
    <w:rsid w:val="00817CDE"/>
    <w:rsid w:val="0082013F"/>
    <w:rsid w:val="00820A17"/>
    <w:rsid w:val="0082357D"/>
    <w:rsid w:val="00825431"/>
    <w:rsid w:val="00826572"/>
    <w:rsid w:val="00826B0D"/>
    <w:rsid w:val="00827FEA"/>
    <w:rsid w:val="00830347"/>
    <w:rsid w:val="00832B2E"/>
    <w:rsid w:val="0083497D"/>
    <w:rsid w:val="008349C6"/>
    <w:rsid w:val="008362FB"/>
    <w:rsid w:val="00837771"/>
    <w:rsid w:val="00837D05"/>
    <w:rsid w:val="00840854"/>
    <w:rsid w:val="00841C01"/>
    <w:rsid w:val="00843660"/>
    <w:rsid w:val="0084377B"/>
    <w:rsid w:val="00845ACC"/>
    <w:rsid w:val="00846794"/>
    <w:rsid w:val="00847013"/>
    <w:rsid w:val="0084705C"/>
    <w:rsid w:val="0085007F"/>
    <w:rsid w:val="008507AE"/>
    <w:rsid w:val="00850F20"/>
    <w:rsid w:val="00851BF5"/>
    <w:rsid w:val="0085289C"/>
    <w:rsid w:val="00852FBC"/>
    <w:rsid w:val="00854DAC"/>
    <w:rsid w:val="008558D2"/>
    <w:rsid w:val="008561B0"/>
    <w:rsid w:val="008570A2"/>
    <w:rsid w:val="00862D4D"/>
    <w:rsid w:val="00862FC2"/>
    <w:rsid w:val="00863917"/>
    <w:rsid w:val="00863E25"/>
    <w:rsid w:val="00865BFE"/>
    <w:rsid w:val="008665F2"/>
    <w:rsid w:val="00867302"/>
    <w:rsid w:val="00873419"/>
    <w:rsid w:val="00874B46"/>
    <w:rsid w:val="0087567C"/>
    <w:rsid w:val="00877547"/>
    <w:rsid w:val="00880851"/>
    <w:rsid w:val="0088211E"/>
    <w:rsid w:val="008821BF"/>
    <w:rsid w:val="008828A4"/>
    <w:rsid w:val="008853CF"/>
    <w:rsid w:val="00891E6B"/>
    <w:rsid w:val="00891EB1"/>
    <w:rsid w:val="00893C96"/>
    <w:rsid w:val="00895710"/>
    <w:rsid w:val="00897464"/>
    <w:rsid w:val="0089758A"/>
    <w:rsid w:val="00897DB9"/>
    <w:rsid w:val="008A13AB"/>
    <w:rsid w:val="008A22DC"/>
    <w:rsid w:val="008A2AD1"/>
    <w:rsid w:val="008A334E"/>
    <w:rsid w:val="008A651D"/>
    <w:rsid w:val="008A74E8"/>
    <w:rsid w:val="008B10B2"/>
    <w:rsid w:val="008B130E"/>
    <w:rsid w:val="008B2EBC"/>
    <w:rsid w:val="008B3F15"/>
    <w:rsid w:val="008B5128"/>
    <w:rsid w:val="008B5E01"/>
    <w:rsid w:val="008B6B55"/>
    <w:rsid w:val="008C1679"/>
    <w:rsid w:val="008C1E07"/>
    <w:rsid w:val="008C52EA"/>
    <w:rsid w:val="008C6618"/>
    <w:rsid w:val="008C7AC0"/>
    <w:rsid w:val="008D18E5"/>
    <w:rsid w:val="008D2F1E"/>
    <w:rsid w:val="008D4C36"/>
    <w:rsid w:val="008D6EA4"/>
    <w:rsid w:val="008E12BF"/>
    <w:rsid w:val="008E1FF0"/>
    <w:rsid w:val="008E3F5E"/>
    <w:rsid w:val="008E5566"/>
    <w:rsid w:val="008E58FE"/>
    <w:rsid w:val="008E5CCE"/>
    <w:rsid w:val="008E658A"/>
    <w:rsid w:val="008E66DE"/>
    <w:rsid w:val="008E702A"/>
    <w:rsid w:val="008F00B4"/>
    <w:rsid w:val="008F09B0"/>
    <w:rsid w:val="008F1463"/>
    <w:rsid w:val="008F1FA4"/>
    <w:rsid w:val="008F2E22"/>
    <w:rsid w:val="008F3EC2"/>
    <w:rsid w:val="008F47A8"/>
    <w:rsid w:val="008F4ADC"/>
    <w:rsid w:val="008F7B9C"/>
    <w:rsid w:val="00900619"/>
    <w:rsid w:val="0090123A"/>
    <w:rsid w:val="0090134C"/>
    <w:rsid w:val="0090212A"/>
    <w:rsid w:val="009028B1"/>
    <w:rsid w:val="00902A6A"/>
    <w:rsid w:val="00903D7A"/>
    <w:rsid w:val="00905587"/>
    <w:rsid w:val="00905AD2"/>
    <w:rsid w:val="00905ADF"/>
    <w:rsid w:val="00906368"/>
    <w:rsid w:val="00907066"/>
    <w:rsid w:val="00907A03"/>
    <w:rsid w:val="00910024"/>
    <w:rsid w:val="009126C2"/>
    <w:rsid w:val="009137F4"/>
    <w:rsid w:val="00914667"/>
    <w:rsid w:val="00914912"/>
    <w:rsid w:val="00914C75"/>
    <w:rsid w:val="00914D05"/>
    <w:rsid w:val="0091576D"/>
    <w:rsid w:val="009163D4"/>
    <w:rsid w:val="00917105"/>
    <w:rsid w:val="009217AE"/>
    <w:rsid w:val="00922540"/>
    <w:rsid w:val="0092304B"/>
    <w:rsid w:val="009278BC"/>
    <w:rsid w:val="00927C25"/>
    <w:rsid w:val="00930E2F"/>
    <w:rsid w:val="00932AAF"/>
    <w:rsid w:val="009338CF"/>
    <w:rsid w:val="00934E33"/>
    <w:rsid w:val="00935661"/>
    <w:rsid w:val="00936BB3"/>
    <w:rsid w:val="00941940"/>
    <w:rsid w:val="00941BD0"/>
    <w:rsid w:val="00941C6C"/>
    <w:rsid w:val="00942781"/>
    <w:rsid w:val="00944AE4"/>
    <w:rsid w:val="00947C5C"/>
    <w:rsid w:val="00951FBA"/>
    <w:rsid w:val="009530C2"/>
    <w:rsid w:val="009542B4"/>
    <w:rsid w:val="0095473F"/>
    <w:rsid w:val="009550DB"/>
    <w:rsid w:val="00955D27"/>
    <w:rsid w:val="009570A5"/>
    <w:rsid w:val="0095734A"/>
    <w:rsid w:val="009602AA"/>
    <w:rsid w:val="00960C62"/>
    <w:rsid w:val="00962C85"/>
    <w:rsid w:val="00962D78"/>
    <w:rsid w:val="00963363"/>
    <w:rsid w:val="009649F7"/>
    <w:rsid w:val="00965E20"/>
    <w:rsid w:val="009664DF"/>
    <w:rsid w:val="0096674F"/>
    <w:rsid w:val="00967209"/>
    <w:rsid w:val="0096772B"/>
    <w:rsid w:val="009700B2"/>
    <w:rsid w:val="00971F42"/>
    <w:rsid w:val="009754EE"/>
    <w:rsid w:val="00976755"/>
    <w:rsid w:val="00980066"/>
    <w:rsid w:val="00981094"/>
    <w:rsid w:val="009811B1"/>
    <w:rsid w:val="009820BE"/>
    <w:rsid w:val="0098453E"/>
    <w:rsid w:val="00984D50"/>
    <w:rsid w:val="009870C0"/>
    <w:rsid w:val="00991560"/>
    <w:rsid w:val="00992916"/>
    <w:rsid w:val="009936A8"/>
    <w:rsid w:val="00993F90"/>
    <w:rsid w:val="00994227"/>
    <w:rsid w:val="009965EB"/>
    <w:rsid w:val="00997BD6"/>
    <w:rsid w:val="00997E89"/>
    <w:rsid w:val="009A01AE"/>
    <w:rsid w:val="009A0C07"/>
    <w:rsid w:val="009A17C0"/>
    <w:rsid w:val="009A20F6"/>
    <w:rsid w:val="009A2535"/>
    <w:rsid w:val="009A2A06"/>
    <w:rsid w:val="009A339A"/>
    <w:rsid w:val="009A5497"/>
    <w:rsid w:val="009A628D"/>
    <w:rsid w:val="009A696C"/>
    <w:rsid w:val="009B0016"/>
    <w:rsid w:val="009B13E3"/>
    <w:rsid w:val="009B1C9F"/>
    <w:rsid w:val="009B30C4"/>
    <w:rsid w:val="009B3D9C"/>
    <w:rsid w:val="009B3E9A"/>
    <w:rsid w:val="009B4422"/>
    <w:rsid w:val="009B4FF9"/>
    <w:rsid w:val="009B6AFF"/>
    <w:rsid w:val="009B6E0B"/>
    <w:rsid w:val="009B6FEC"/>
    <w:rsid w:val="009B7C3F"/>
    <w:rsid w:val="009C0A66"/>
    <w:rsid w:val="009C183B"/>
    <w:rsid w:val="009C402F"/>
    <w:rsid w:val="009C483C"/>
    <w:rsid w:val="009C4C0E"/>
    <w:rsid w:val="009C65FB"/>
    <w:rsid w:val="009C7AA6"/>
    <w:rsid w:val="009D2614"/>
    <w:rsid w:val="009D373A"/>
    <w:rsid w:val="009D3989"/>
    <w:rsid w:val="009D7BC2"/>
    <w:rsid w:val="009E05F2"/>
    <w:rsid w:val="009E10CB"/>
    <w:rsid w:val="009E2102"/>
    <w:rsid w:val="009E27BA"/>
    <w:rsid w:val="009E36CB"/>
    <w:rsid w:val="009E4C94"/>
    <w:rsid w:val="009E4CE5"/>
    <w:rsid w:val="009E683D"/>
    <w:rsid w:val="009F259F"/>
    <w:rsid w:val="009F4FAE"/>
    <w:rsid w:val="009F6EA9"/>
    <w:rsid w:val="00A00F6A"/>
    <w:rsid w:val="00A01588"/>
    <w:rsid w:val="00A02597"/>
    <w:rsid w:val="00A025B3"/>
    <w:rsid w:val="00A02F33"/>
    <w:rsid w:val="00A032F3"/>
    <w:rsid w:val="00A0616E"/>
    <w:rsid w:val="00A061BC"/>
    <w:rsid w:val="00A064AF"/>
    <w:rsid w:val="00A06F3B"/>
    <w:rsid w:val="00A10672"/>
    <w:rsid w:val="00A106E3"/>
    <w:rsid w:val="00A107F1"/>
    <w:rsid w:val="00A10D9F"/>
    <w:rsid w:val="00A11B0C"/>
    <w:rsid w:val="00A120C9"/>
    <w:rsid w:val="00A14770"/>
    <w:rsid w:val="00A14F07"/>
    <w:rsid w:val="00A14F30"/>
    <w:rsid w:val="00A20A56"/>
    <w:rsid w:val="00A22674"/>
    <w:rsid w:val="00A237CF"/>
    <w:rsid w:val="00A243F5"/>
    <w:rsid w:val="00A24F00"/>
    <w:rsid w:val="00A25BD7"/>
    <w:rsid w:val="00A25D3A"/>
    <w:rsid w:val="00A27839"/>
    <w:rsid w:val="00A27FF1"/>
    <w:rsid w:val="00A30A5F"/>
    <w:rsid w:val="00A31187"/>
    <w:rsid w:val="00A324E4"/>
    <w:rsid w:val="00A326AE"/>
    <w:rsid w:val="00A33EA6"/>
    <w:rsid w:val="00A33F9A"/>
    <w:rsid w:val="00A346DD"/>
    <w:rsid w:val="00A355E3"/>
    <w:rsid w:val="00A3580A"/>
    <w:rsid w:val="00A36AAB"/>
    <w:rsid w:val="00A36B37"/>
    <w:rsid w:val="00A36DB2"/>
    <w:rsid w:val="00A40458"/>
    <w:rsid w:val="00A40512"/>
    <w:rsid w:val="00A414A1"/>
    <w:rsid w:val="00A428F0"/>
    <w:rsid w:val="00A42D6C"/>
    <w:rsid w:val="00A42DA8"/>
    <w:rsid w:val="00A43612"/>
    <w:rsid w:val="00A436C1"/>
    <w:rsid w:val="00A43C0D"/>
    <w:rsid w:val="00A4468F"/>
    <w:rsid w:val="00A44D2A"/>
    <w:rsid w:val="00A4553A"/>
    <w:rsid w:val="00A477DD"/>
    <w:rsid w:val="00A479FE"/>
    <w:rsid w:val="00A47A8A"/>
    <w:rsid w:val="00A51FDD"/>
    <w:rsid w:val="00A52B84"/>
    <w:rsid w:val="00A5328F"/>
    <w:rsid w:val="00A547F0"/>
    <w:rsid w:val="00A55188"/>
    <w:rsid w:val="00A55D1D"/>
    <w:rsid w:val="00A566E2"/>
    <w:rsid w:val="00A56FBF"/>
    <w:rsid w:val="00A5766E"/>
    <w:rsid w:val="00A60236"/>
    <w:rsid w:val="00A61C75"/>
    <w:rsid w:val="00A62976"/>
    <w:rsid w:val="00A62D47"/>
    <w:rsid w:val="00A66BED"/>
    <w:rsid w:val="00A67C48"/>
    <w:rsid w:val="00A70DD6"/>
    <w:rsid w:val="00A71302"/>
    <w:rsid w:val="00A72DAE"/>
    <w:rsid w:val="00A7337C"/>
    <w:rsid w:val="00A73988"/>
    <w:rsid w:val="00A75A52"/>
    <w:rsid w:val="00A76B52"/>
    <w:rsid w:val="00A803A4"/>
    <w:rsid w:val="00A8141C"/>
    <w:rsid w:val="00A829CD"/>
    <w:rsid w:val="00A82E3D"/>
    <w:rsid w:val="00A86170"/>
    <w:rsid w:val="00A8638C"/>
    <w:rsid w:val="00A863CE"/>
    <w:rsid w:val="00A90879"/>
    <w:rsid w:val="00A90AA4"/>
    <w:rsid w:val="00A965AF"/>
    <w:rsid w:val="00A96C30"/>
    <w:rsid w:val="00A972C0"/>
    <w:rsid w:val="00A97669"/>
    <w:rsid w:val="00AA119D"/>
    <w:rsid w:val="00AA1BEC"/>
    <w:rsid w:val="00AA3401"/>
    <w:rsid w:val="00AA34EB"/>
    <w:rsid w:val="00AA3901"/>
    <w:rsid w:val="00AA55A9"/>
    <w:rsid w:val="00AA62CB"/>
    <w:rsid w:val="00AA62E8"/>
    <w:rsid w:val="00AA7EA4"/>
    <w:rsid w:val="00AB0786"/>
    <w:rsid w:val="00AB0FAF"/>
    <w:rsid w:val="00AB2283"/>
    <w:rsid w:val="00AB318C"/>
    <w:rsid w:val="00AB52F6"/>
    <w:rsid w:val="00AB5B48"/>
    <w:rsid w:val="00AB6132"/>
    <w:rsid w:val="00AB634D"/>
    <w:rsid w:val="00AB63A9"/>
    <w:rsid w:val="00AC0201"/>
    <w:rsid w:val="00AC1802"/>
    <w:rsid w:val="00AC1B5A"/>
    <w:rsid w:val="00AC234D"/>
    <w:rsid w:val="00AC2858"/>
    <w:rsid w:val="00AC2EC9"/>
    <w:rsid w:val="00AC324F"/>
    <w:rsid w:val="00AC45BF"/>
    <w:rsid w:val="00AC6222"/>
    <w:rsid w:val="00AC7238"/>
    <w:rsid w:val="00AC73E1"/>
    <w:rsid w:val="00AD21B3"/>
    <w:rsid w:val="00AD2295"/>
    <w:rsid w:val="00AD2647"/>
    <w:rsid w:val="00AD2A97"/>
    <w:rsid w:val="00AD3336"/>
    <w:rsid w:val="00AD3425"/>
    <w:rsid w:val="00AD49A7"/>
    <w:rsid w:val="00AD4D6B"/>
    <w:rsid w:val="00AE3521"/>
    <w:rsid w:val="00AE35CF"/>
    <w:rsid w:val="00AE3F09"/>
    <w:rsid w:val="00AE412C"/>
    <w:rsid w:val="00AE423F"/>
    <w:rsid w:val="00AE4A37"/>
    <w:rsid w:val="00AE5BC3"/>
    <w:rsid w:val="00AE5BCF"/>
    <w:rsid w:val="00AE6E0D"/>
    <w:rsid w:val="00AE759E"/>
    <w:rsid w:val="00AF0ED7"/>
    <w:rsid w:val="00AF2531"/>
    <w:rsid w:val="00AF2B90"/>
    <w:rsid w:val="00AF3502"/>
    <w:rsid w:val="00AF37FF"/>
    <w:rsid w:val="00AF69E7"/>
    <w:rsid w:val="00AF6F28"/>
    <w:rsid w:val="00B01344"/>
    <w:rsid w:val="00B0229E"/>
    <w:rsid w:val="00B0389A"/>
    <w:rsid w:val="00B040E4"/>
    <w:rsid w:val="00B04D15"/>
    <w:rsid w:val="00B06C2D"/>
    <w:rsid w:val="00B106A8"/>
    <w:rsid w:val="00B1136E"/>
    <w:rsid w:val="00B126EB"/>
    <w:rsid w:val="00B13F47"/>
    <w:rsid w:val="00B16C74"/>
    <w:rsid w:val="00B17190"/>
    <w:rsid w:val="00B175D6"/>
    <w:rsid w:val="00B17BD7"/>
    <w:rsid w:val="00B2016D"/>
    <w:rsid w:val="00B2017F"/>
    <w:rsid w:val="00B20689"/>
    <w:rsid w:val="00B20AA3"/>
    <w:rsid w:val="00B21878"/>
    <w:rsid w:val="00B22D95"/>
    <w:rsid w:val="00B2323D"/>
    <w:rsid w:val="00B23B0C"/>
    <w:rsid w:val="00B24B06"/>
    <w:rsid w:val="00B25DAD"/>
    <w:rsid w:val="00B260DB"/>
    <w:rsid w:val="00B26614"/>
    <w:rsid w:val="00B27C92"/>
    <w:rsid w:val="00B300CF"/>
    <w:rsid w:val="00B310A8"/>
    <w:rsid w:val="00B322BE"/>
    <w:rsid w:val="00B335B1"/>
    <w:rsid w:val="00B34158"/>
    <w:rsid w:val="00B341E7"/>
    <w:rsid w:val="00B3469F"/>
    <w:rsid w:val="00B349DD"/>
    <w:rsid w:val="00B35CD1"/>
    <w:rsid w:val="00B3653F"/>
    <w:rsid w:val="00B37A93"/>
    <w:rsid w:val="00B40139"/>
    <w:rsid w:val="00B416A0"/>
    <w:rsid w:val="00B4196B"/>
    <w:rsid w:val="00B43650"/>
    <w:rsid w:val="00B4479E"/>
    <w:rsid w:val="00B46962"/>
    <w:rsid w:val="00B47BFB"/>
    <w:rsid w:val="00B50782"/>
    <w:rsid w:val="00B527FB"/>
    <w:rsid w:val="00B52EC8"/>
    <w:rsid w:val="00B53C69"/>
    <w:rsid w:val="00B5494E"/>
    <w:rsid w:val="00B54EA1"/>
    <w:rsid w:val="00B55FA6"/>
    <w:rsid w:val="00B57F25"/>
    <w:rsid w:val="00B607D6"/>
    <w:rsid w:val="00B6143D"/>
    <w:rsid w:val="00B61850"/>
    <w:rsid w:val="00B62501"/>
    <w:rsid w:val="00B64994"/>
    <w:rsid w:val="00B64B33"/>
    <w:rsid w:val="00B65E24"/>
    <w:rsid w:val="00B676A1"/>
    <w:rsid w:val="00B67B7F"/>
    <w:rsid w:val="00B75841"/>
    <w:rsid w:val="00B75C31"/>
    <w:rsid w:val="00B7600A"/>
    <w:rsid w:val="00B7651B"/>
    <w:rsid w:val="00B77290"/>
    <w:rsid w:val="00B80842"/>
    <w:rsid w:val="00B809E1"/>
    <w:rsid w:val="00B81841"/>
    <w:rsid w:val="00B82AD6"/>
    <w:rsid w:val="00B849AB"/>
    <w:rsid w:val="00B85D1A"/>
    <w:rsid w:val="00B86D72"/>
    <w:rsid w:val="00B91B84"/>
    <w:rsid w:val="00B91CBF"/>
    <w:rsid w:val="00B92243"/>
    <w:rsid w:val="00B93326"/>
    <w:rsid w:val="00B943AB"/>
    <w:rsid w:val="00B947AE"/>
    <w:rsid w:val="00B959CE"/>
    <w:rsid w:val="00B95ECF"/>
    <w:rsid w:val="00B96534"/>
    <w:rsid w:val="00B97284"/>
    <w:rsid w:val="00B97314"/>
    <w:rsid w:val="00B977D9"/>
    <w:rsid w:val="00B979E9"/>
    <w:rsid w:val="00BA0400"/>
    <w:rsid w:val="00BA0693"/>
    <w:rsid w:val="00BA0943"/>
    <w:rsid w:val="00BA0A09"/>
    <w:rsid w:val="00BA3775"/>
    <w:rsid w:val="00BA386A"/>
    <w:rsid w:val="00BA3A37"/>
    <w:rsid w:val="00BA5AC6"/>
    <w:rsid w:val="00BA7454"/>
    <w:rsid w:val="00BA7FBD"/>
    <w:rsid w:val="00BB1F76"/>
    <w:rsid w:val="00BB215C"/>
    <w:rsid w:val="00BB2A1E"/>
    <w:rsid w:val="00BB5B7C"/>
    <w:rsid w:val="00BB76AA"/>
    <w:rsid w:val="00BC114E"/>
    <w:rsid w:val="00BC4323"/>
    <w:rsid w:val="00BC4CC0"/>
    <w:rsid w:val="00BC5650"/>
    <w:rsid w:val="00BC74D0"/>
    <w:rsid w:val="00BC7DA8"/>
    <w:rsid w:val="00BD39E2"/>
    <w:rsid w:val="00BD4081"/>
    <w:rsid w:val="00BD4620"/>
    <w:rsid w:val="00BD47F5"/>
    <w:rsid w:val="00BD50EF"/>
    <w:rsid w:val="00BD5E29"/>
    <w:rsid w:val="00BD6170"/>
    <w:rsid w:val="00BE0AD6"/>
    <w:rsid w:val="00BE2306"/>
    <w:rsid w:val="00BE273D"/>
    <w:rsid w:val="00BE2908"/>
    <w:rsid w:val="00BE418E"/>
    <w:rsid w:val="00BE5DFB"/>
    <w:rsid w:val="00BF07B9"/>
    <w:rsid w:val="00BF1D4B"/>
    <w:rsid w:val="00BF40E0"/>
    <w:rsid w:val="00BF5C6B"/>
    <w:rsid w:val="00C00B39"/>
    <w:rsid w:val="00C02287"/>
    <w:rsid w:val="00C0240D"/>
    <w:rsid w:val="00C03310"/>
    <w:rsid w:val="00C03F30"/>
    <w:rsid w:val="00C05153"/>
    <w:rsid w:val="00C05E51"/>
    <w:rsid w:val="00C1031C"/>
    <w:rsid w:val="00C14039"/>
    <w:rsid w:val="00C15FDA"/>
    <w:rsid w:val="00C20CA9"/>
    <w:rsid w:val="00C223CA"/>
    <w:rsid w:val="00C231E4"/>
    <w:rsid w:val="00C25721"/>
    <w:rsid w:val="00C259E6"/>
    <w:rsid w:val="00C25EE3"/>
    <w:rsid w:val="00C27135"/>
    <w:rsid w:val="00C32432"/>
    <w:rsid w:val="00C33337"/>
    <w:rsid w:val="00C33581"/>
    <w:rsid w:val="00C34923"/>
    <w:rsid w:val="00C34C6E"/>
    <w:rsid w:val="00C34E98"/>
    <w:rsid w:val="00C35740"/>
    <w:rsid w:val="00C35BAE"/>
    <w:rsid w:val="00C36D75"/>
    <w:rsid w:val="00C37441"/>
    <w:rsid w:val="00C40B4C"/>
    <w:rsid w:val="00C40DB3"/>
    <w:rsid w:val="00C41C99"/>
    <w:rsid w:val="00C42554"/>
    <w:rsid w:val="00C430E8"/>
    <w:rsid w:val="00C43B9A"/>
    <w:rsid w:val="00C451CB"/>
    <w:rsid w:val="00C46BBE"/>
    <w:rsid w:val="00C47612"/>
    <w:rsid w:val="00C505AD"/>
    <w:rsid w:val="00C51E4B"/>
    <w:rsid w:val="00C5227E"/>
    <w:rsid w:val="00C5291D"/>
    <w:rsid w:val="00C536DB"/>
    <w:rsid w:val="00C53BAC"/>
    <w:rsid w:val="00C56159"/>
    <w:rsid w:val="00C577D0"/>
    <w:rsid w:val="00C61052"/>
    <w:rsid w:val="00C61479"/>
    <w:rsid w:val="00C62915"/>
    <w:rsid w:val="00C63967"/>
    <w:rsid w:val="00C63C40"/>
    <w:rsid w:val="00C64386"/>
    <w:rsid w:val="00C648AB"/>
    <w:rsid w:val="00C67907"/>
    <w:rsid w:val="00C67EDF"/>
    <w:rsid w:val="00C72459"/>
    <w:rsid w:val="00C73364"/>
    <w:rsid w:val="00C756D2"/>
    <w:rsid w:val="00C81407"/>
    <w:rsid w:val="00C81A7A"/>
    <w:rsid w:val="00C837DF"/>
    <w:rsid w:val="00C83FEB"/>
    <w:rsid w:val="00C84EBE"/>
    <w:rsid w:val="00C861CE"/>
    <w:rsid w:val="00C87E8F"/>
    <w:rsid w:val="00C90430"/>
    <w:rsid w:val="00C921F1"/>
    <w:rsid w:val="00C92B20"/>
    <w:rsid w:val="00C92C51"/>
    <w:rsid w:val="00C93681"/>
    <w:rsid w:val="00C96376"/>
    <w:rsid w:val="00C96916"/>
    <w:rsid w:val="00C969B9"/>
    <w:rsid w:val="00C97875"/>
    <w:rsid w:val="00C97E6E"/>
    <w:rsid w:val="00CA1468"/>
    <w:rsid w:val="00CA56D8"/>
    <w:rsid w:val="00CA7654"/>
    <w:rsid w:val="00CB1126"/>
    <w:rsid w:val="00CB212E"/>
    <w:rsid w:val="00CB3D26"/>
    <w:rsid w:val="00CB430C"/>
    <w:rsid w:val="00CB4558"/>
    <w:rsid w:val="00CB4CEE"/>
    <w:rsid w:val="00CB4EE8"/>
    <w:rsid w:val="00CB5354"/>
    <w:rsid w:val="00CB5AA5"/>
    <w:rsid w:val="00CB6633"/>
    <w:rsid w:val="00CB746C"/>
    <w:rsid w:val="00CC3951"/>
    <w:rsid w:val="00CC4362"/>
    <w:rsid w:val="00CC70FE"/>
    <w:rsid w:val="00CD0381"/>
    <w:rsid w:val="00CD1797"/>
    <w:rsid w:val="00CD2201"/>
    <w:rsid w:val="00CD27B9"/>
    <w:rsid w:val="00CD2AAC"/>
    <w:rsid w:val="00CD33D4"/>
    <w:rsid w:val="00CD4AEE"/>
    <w:rsid w:val="00CD729F"/>
    <w:rsid w:val="00CD7D94"/>
    <w:rsid w:val="00CE0A56"/>
    <w:rsid w:val="00CE3182"/>
    <w:rsid w:val="00CE31EC"/>
    <w:rsid w:val="00CE3F3B"/>
    <w:rsid w:val="00CE42D4"/>
    <w:rsid w:val="00CE4959"/>
    <w:rsid w:val="00CE5D12"/>
    <w:rsid w:val="00CE7C9A"/>
    <w:rsid w:val="00CE7E01"/>
    <w:rsid w:val="00CF0ADA"/>
    <w:rsid w:val="00CF1741"/>
    <w:rsid w:val="00CF2497"/>
    <w:rsid w:val="00CF25A9"/>
    <w:rsid w:val="00CF31E6"/>
    <w:rsid w:val="00CF43E7"/>
    <w:rsid w:val="00CF4F16"/>
    <w:rsid w:val="00CF5A83"/>
    <w:rsid w:val="00CF6483"/>
    <w:rsid w:val="00CF7393"/>
    <w:rsid w:val="00D00971"/>
    <w:rsid w:val="00D01917"/>
    <w:rsid w:val="00D01B0F"/>
    <w:rsid w:val="00D0236A"/>
    <w:rsid w:val="00D03156"/>
    <w:rsid w:val="00D05E30"/>
    <w:rsid w:val="00D06662"/>
    <w:rsid w:val="00D07139"/>
    <w:rsid w:val="00D07373"/>
    <w:rsid w:val="00D131D8"/>
    <w:rsid w:val="00D13815"/>
    <w:rsid w:val="00D148DF"/>
    <w:rsid w:val="00D160A0"/>
    <w:rsid w:val="00D16CB2"/>
    <w:rsid w:val="00D172C1"/>
    <w:rsid w:val="00D20CA2"/>
    <w:rsid w:val="00D239F1"/>
    <w:rsid w:val="00D23C72"/>
    <w:rsid w:val="00D23E48"/>
    <w:rsid w:val="00D247C7"/>
    <w:rsid w:val="00D24C78"/>
    <w:rsid w:val="00D3222A"/>
    <w:rsid w:val="00D324E6"/>
    <w:rsid w:val="00D34F5C"/>
    <w:rsid w:val="00D35366"/>
    <w:rsid w:val="00D36293"/>
    <w:rsid w:val="00D36BDF"/>
    <w:rsid w:val="00D372FE"/>
    <w:rsid w:val="00D3773B"/>
    <w:rsid w:val="00D40482"/>
    <w:rsid w:val="00D4063B"/>
    <w:rsid w:val="00D40F93"/>
    <w:rsid w:val="00D41042"/>
    <w:rsid w:val="00D41FD0"/>
    <w:rsid w:val="00D507A8"/>
    <w:rsid w:val="00D51A71"/>
    <w:rsid w:val="00D51B96"/>
    <w:rsid w:val="00D548A8"/>
    <w:rsid w:val="00D54B48"/>
    <w:rsid w:val="00D56454"/>
    <w:rsid w:val="00D60D92"/>
    <w:rsid w:val="00D621B9"/>
    <w:rsid w:val="00D634CD"/>
    <w:rsid w:val="00D63A4D"/>
    <w:rsid w:val="00D64720"/>
    <w:rsid w:val="00D6580C"/>
    <w:rsid w:val="00D65BBF"/>
    <w:rsid w:val="00D65BE9"/>
    <w:rsid w:val="00D65D0E"/>
    <w:rsid w:val="00D663A6"/>
    <w:rsid w:val="00D707D6"/>
    <w:rsid w:val="00D70A4B"/>
    <w:rsid w:val="00D71971"/>
    <w:rsid w:val="00D72234"/>
    <w:rsid w:val="00D72EDD"/>
    <w:rsid w:val="00D75598"/>
    <w:rsid w:val="00D7560F"/>
    <w:rsid w:val="00D76798"/>
    <w:rsid w:val="00D80142"/>
    <w:rsid w:val="00D80795"/>
    <w:rsid w:val="00D824BB"/>
    <w:rsid w:val="00D82B38"/>
    <w:rsid w:val="00D83229"/>
    <w:rsid w:val="00D863D3"/>
    <w:rsid w:val="00D86998"/>
    <w:rsid w:val="00D87B98"/>
    <w:rsid w:val="00D94635"/>
    <w:rsid w:val="00D9613A"/>
    <w:rsid w:val="00D96870"/>
    <w:rsid w:val="00D97365"/>
    <w:rsid w:val="00D97809"/>
    <w:rsid w:val="00DA183C"/>
    <w:rsid w:val="00DA23D2"/>
    <w:rsid w:val="00DA260B"/>
    <w:rsid w:val="00DA3384"/>
    <w:rsid w:val="00DA5EBF"/>
    <w:rsid w:val="00DA69A7"/>
    <w:rsid w:val="00DA7DCE"/>
    <w:rsid w:val="00DB232E"/>
    <w:rsid w:val="00DB40BD"/>
    <w:rsid w:val="00DB54A0"/>
    <w:rsid w:val="00DB7380"/>
    <w:rsid w:val="00DB7BD6"/>
    <w:rsid w:val="00DC0F99"/>
    <w:rsid w:val="00DC12E3"/>
    <w:rsid w:val="00DC234D"/>
    <w:rsid w:val="00DC2516"/>
    <w:rsid w:val="00DC38FE"/>
    <w:rsid w:val="00DC533C"/>
    <w:rsid w:val="00DC5DE8"/>
    <w:rsid w:val="00DC7B20"/>
    <w:rsid w:val="00DD0CF2"/>
    <w:rsid w:val="00DD22ED"/>
    <w:rsid w:val="00DD63AA"/>
    <w:rsid w:val="00DD7BE5"/>
    <w:rsid w:val="00DE0AD0"/>
    <w:rsid w:val="00DE0D1B"/>
    <w:rsid w:val="00DE1704"/>
    <w:rsid w:val="00DE19DB"/>
    <w:rsid w:val="00DE395E"/>
    <w:rsid w:val="00DE6197"/>
    <w:rsid w:val="00DE759C"/>
    <w:rsid w:val="00DE761A"/>
    <w:rsid w:val="00DF0A0D"/>
    <w:rsid w:val="00DF1030"/>
    <w:rsid w:val="00DF338B"/>
    <w:rsid w:val="00E000EC"/>
    <w:rsid w:val="00E02232"/>
    <w:rsid w:val="00E055AA"/>
    <w:rsid w:val="00E0707A"/>
    <w:rsid w:val="00E10272"/>
    <w:rsid w:val="00E12470"/>
    <w:rsid w:val="00E141A9"/>
    <w:rsid w:val="00E15A19"/>
    <w:rsid w:val="00E16BE9"/>
    <w:rsid w:val="00E2092F"/>
    <w:rsid w:val="00E20E3E"/>
    <w:rsid w:val="00E23FB7"/>
    <w:rsid w:val="00E24852"/>
    <w:rsid w:val="00E2582E"/>
    <w:rsid w:val="00E25F61"/>
    <w:rsid w:val="00E27802"/>
    <w:rsid w:val="00E3074B"/>
    <w:rsid w:val="00E32B43"/>
    <w:rsid w:val="00E331DB"/>
    <w:rsid w:val="00E33515"/>
    <w:rsid w:val="00E33F5F"/>
    <w:rsid w:val="00E3486D"/>
    <w:rsid w:val="00E34DDC"/>
    <w:rsid w:val="00E371E5"/>
    <w:rsid w:val="00E37671"/>
    <w:rsid w:val="00E37EBF"/>
    <w:rsid w:val="00E40A8B"/>
    <w:rsid w:val="00E40DC6"/>
    <w:rsid w:val="00E40EF7"/>
    <w:rsid w:val="00E41C26"/>
    <w:rsid w:val="00E4387C"/>
    <w:rsid w:val="00E439EC"/>
    <w:rsid w:val="00E43D89"/>
    <w:rsid w:val="00E471E0"/>
    <w:rsid w:val="00E51839"/>
    <w:rsid w:val="00E523DA"/>
    <w:rsid w:val="00E52782"/>
    <w:rsid w:val="00E53A12"/>
    <w:rsid w:val="00E54EC5"/>
    <w:rsid w:val="00E56722"/>
    <w:rsid w:val="00E57860"/>
    <w:rsid w:val="00E57F92"/>
    <w:rsid w:val="00E6184E"/>
    <w:rsid w:val="00E61E10"/>
    <w:rsid w:val="00E62CA5"/>
    <w:rsid w:val="00E64B79"/>
    <w:rsid w:val="00E64EA0"/>
    <w:rsid w:val="00E65631"/>
    <w:rsid w:val="00E672D3"/>
    <w:rsid w:val="00E700DC"/>
    <w:rsid w:val="00E71379"/>
    <w:rsid w:val="00E71768"/>
    <w:rsid w:val="00E764F5"/>
    <w:rsid w:val="00E803E6"/>
    <w:rsid w:val="00E820C8"/>
    <w:rsid w:val="00E83606"/>
    <w:rsid w:val="00E84A5F"/>
    <w:rsid w:val="00E85055"/>
    <w:rsid w:val="00E90985"/>
    <w:rsid w:val="00E90BF4"/>
    <w:rsid w:val="00E92168"/>
    <w:rsid w:val="00E930FA"/>
    <w:rsid w:val="00E93977"/>
    <w:rsid w:val="00E93EFC"/>
    <w:rsid w:val="00E945DD"/>
    <w:rsid w:val="00E94E08"/>
    <w:rsid w:val="00E96A09"/>
    <w:rsid w:val="00EA5FCD"/>
    <w:rsid w:val="00EA6DA5"/>
    <w:rsid w:val="00EA772D"/>
    <w:rsid w:val="00EB094F"/>
    <w:rsid w:val="00EB0D0A"/>
    <w:rsid w:val="00EB1CE5"/>
    <w:rsid w:val="00EB3151"/>
    <w:rsid w:val="00EB3AD7"/>
    <w:rsid w:val="00EB3D9F"/>
    <w:rsid w:val="00EB3E7C"/>
    <w:rsid w:val="00EB43C1"/>
    <w:rsid w:val="00EB4B33"/>
    <w:rsid w:val="00EB4D28"/>
    <w:rsid w:val="00EB6926"/>
    <w:rsid w:val="00EB6C26"/>
    <w:rsid w:val="00EC0DD3"/>
    <w:rsid w:val="00EC1432"/>
    <w:rsid w:val="00EC154A"/>
    <w:rsid w:val="00EC155F"/>
    <w:rsid w:val="00EC352C"/>
    <w:rsid w:val="00EC354B"/>
    <w:rsid w:val="00EC36BC"/>
    <w:rsid w:val="00EC6681"/>
    <w:rsid w:val="00EC6A6C"/>
    <w:rsid w:val="00EC79A5"/>
    <w:rsid w:val="00ED0004"/>
    <w:rsid w:val="00ED0A3E"/>
    <w:rsid w:val="00ED0D86"/>
    <w:rsid w:val="00ED1AE1"/>
    <w:rsid w:val="00ED1AF3"/>
    <w:rsid w:val="00ED27EF"/>
    <w:rsid w:val="00ED3235"/>
    <w:rsid w:val="00EE043C"/>
    <w:rsid w:val="00EE0552"/>
    <w:rsid w:val="00EE1572"/>
    <w:rsid w:val="00EE1A9D"/>
    <w:rsid w:val="00EE35D0"/>
    <w:rsid w:val="00EE46CF"/>
    <w:rsid w:val="00EE4902"/>
    <w:rsid w:val="00EE548E"/>
    <w:rsid w:val="00EE5C11"/>
    <w:rsid w:val="00EE63F1"/>
    <w:rsid w:val="00EE6977"/>
    <w:rsid w:val="00EE718D"/>
    <w:rsid w:val="00EE7610"/>
    <w:rsid w:val="00EE78B4"/>
    <w:rsid w:val="00EF0001"/>
    <w:rsid w:val="00EF1237"/>
    <w:rsid w:val="00EF196E"/>
    <w:rsid w:val="00EF1A91"/>
    <w:rsid w:val="00EF1BD6"/>
    <w:rsid w:val="00EF2B19"/>
    <w:rsid w:val="00EF31E4"/>
    <w:rsid w:val="00EF6E3E"/>
    <w:rsid w:val="00EF7392"/>
    <w:rsid w:val="00F00615"/>
    <w:rsid w:val="00F0394B"/>
    <w:rsid w:val="00F03BEA"/>
    <w:rsid w:val="00F042EB"/>
    <w:rsid w:val="00F053AF"/>
    <w:rsid w:val="00F07BEB"/>
    <w:rsid w:val="00F102E5"/>
    <w:rsid w:val="00F1140E"/>
    <w:rsid w:val="00F115F2"/>
    <w:rsid w:val="00F12025"/>
    <w:rsid w:val="00F12809"/>
    <w:rsid w:val="00F13F1B"/>
    <w:rsid w:val="00F14C2A"/>
    <w:rsid w:val="00F1517F"/>
    <w:rsid w:val="00F152BF"/>
    <w:rsid w:val="00F15AD2"/>
    <w:rsid w:val="00F15BD7"/>
    <w:rsid w:val="00F165B4"/>
    <w:rsid w:val="00F16A5A"/>
    <w:rsid w:val="00F16D09"/>
    <w:rsid w:val="00F20EC3"/>
    <w:rsid w:val="00F2163F"/>
    <w:rsid w:val="00F2167D"/>
    <w:rsid w:val="00F21CA1"/>
    <w:rsid w:val="00F243E8"/>
    <w:rsid w:val="00F25F5D"/>
    <w:rsid w:val="00F2643B"/>
    <w:rsid w:val="00F26B2C"/>
    <w:rsid w:val="00F275CB"/>
    <w:rsid w:val="00F3145B"/>
    <w:rsid w:val="00F33D19"/>
    <w:rsid w:val="00F34D71"/>
    <w:rsid w:val="00F350B6"/>
    <w:rsid w:val="00F350C0"/>
    <w:rsid w:val="00F358AE"/>
    <w:rsid w:val="00F40C67"/>
    <w:rsid w:val="00F41585"/>
    <w:rsid w:val="00F426D4"/>
    <w:rsid w:val="00F44DA2"/>
    <w:rsid w:val="00F47D37"/>
    <w:rsid w:val="00F501EE"/>
    <w:rsid w:val="00F52B75"/>
    <w:rsid w:val="00F56965"/>
    <w:rsid w:val="00F570EA"/>
    <w:rsid w:val="00F60BD3"/>
    <w:rsid w:val="00F656AF"/>
    <w:rsid w:val="00F7218C"/>
    <w:rsid w:val="00F723A8"/>
    <w:rsid w:val="00F72B3D"/>
    <w:rsid w:val="00F74518"/>
    <w:rsid w:val="00F75132"/>
    <w:rsid w:val="00F759F0"/>
    <w:rsid w:val="00F76126"/>
    <w:rsid w:val="00F8051D"/>
    <w:rsid w:val="00F8277E"/>
    <w:rsid w:val="00F829CC"/>
    <w:rsid w:val="00F84F00"/>
    <w:rsid w:val="00F86F2E"/>
    <w:rsid w:val="00F8797C"/>
    <w:rsid w:val="00F903DC"/>
    <w:rsid w:val="00F919CC"/>
    <w:rsid w:val="00F92717"/>
    <w:rsid w:val="00F929DF"/>
    <w:rsid w:val="00F93C6A"/>
    <w:rsid w:val="00F93E4A"/>
    <w:rsid w:val="00F95141"/>
    <w:rsid w:val="00FA20D3"/>
    <w:rsid w:val="00FA2D71"/>
    <w:rsid w:val="00FA3D57"/>
    <w:rsid w:val="00FA5256"/>
    <w:rsid w:val="00FA5355"/>
    <w:rsid w:val="00FB14C7"/>
    <w:rsid w:val="00FB2F80"/>
    <w:rsid w:val="00FB3C57"/>
    <w:rsid w:val="00FB3E4F"/>
    <w:rsid w:val="00FB4E41"/>
    <w:rsid w:val="00FB4EA8"/>
    <w:rsid w:val="00FB4EAD"/>
    <w:rsid w:val="00FB6D4B"/>
    <w:rsid w:val="00FC013F"/>
    <w:rsid w:val="00FC2DD1"/>
    <w:rsid w:val="00FC461C"/>
    <w:rsid w:val="00FC48DA"/>
    <w:rsid w:val="00FC504C"/>
    <w:rsid w:val="00FC570F"/>
    <w:rsid w:val="00FC7B8B"/>
    <w:rsid w:val="00FD1474"/>
    <w:rsid w:val="00FD1488"/>
    <w:rsid w:val="00FD1749"/>
    <w:rsid w:val="00FD1BB3"/>
    <w:rsid w:val="00FD22D6"/>
    <w:rsid w:val="00FD38D7"/>
    <w:rsid w:val="00FD475A"/>
    <w:rsid w:val="00FD50D6"/>
    <w:rsid w:val="00FE0767"/>
    <w:rsid w:val="00FE25C6"/>
    <w:rsid w:val="00FE3087"/>
    <w:rsid w:val="00FE392A"/>
    <w:rsid w:val="00FE3C4F"/>
    <w:rsid w:val="00FE3DBF"/>
    <w:rsid w:val="00FE3FE9"/>
    <w:rsid w:val="00FE59D7"/>
    <w:rsid w:val="00FF4CC3"/>
    <w:rsid w:val="00FF53C5"/>
    <w:rsid w:val="00FF5505"/>
    <w:rsid w:val="00FF6BD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8B7A1"/>
  <w15:docId w15:val="{A2DAA8B2-524E-4DF6-A970-0947E132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3EA"/>
    <w:rPr>
      <w:rFonts w:ascii="Segoe UI" w:hAnsi="Segoe UI"/>
      <w:sz w:val="18"/>
      <w:lang w:val="en-US"/>
    </w:rPr>
  </w:style>
  <w:style w:type="paragraph" w:styleId="Heading1">
    <w:name w:val="heading 1"/>
    <w:basedOn w:val="Normal"/>
    <w:next w:val="Normal"/>
    <w:link w:val="Heading1Char"/>
    <w:uiPriority w:val="9"/>
    <w:qFormat/>
    <w:rsid w:val="00A33F9A"/>
    <w:pPr>
      <w:keepNext/>
      <w:keepLines/>
      <w:spacing w:before="120" w:after="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A33F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F9A"/>
    <w:rPr>
      <w:rFonts w:ascii="Segoe UI" w:eastAsiaTheme="majorEastAsia" w:hAnsi="Segoe UI" w:cstheme="majorBidi"/>
      <w:b/>
      <w:bCs/>
      <w:sz w:val="24"/>
      <w:szCs w:val="28"/>
      <w:lang w:val="en-US"/>
    </w:rPr>
  </w:style>
  <w:style w:type="character" w:customStyle="1" w:styleId="Heading2Char">
    <w:name w:val="Heading 2 Char"/>
    <w:basedOn w:val="DefaultParagraphFont"/>
    <w:link w:val="Heading2"/>
    <w:uiPriority w:val="9"/>
    <w:rsid w:val="00A33F9A"/>
    <w:rPr>
      <w:rFonts w:asciiTheme="majorHAnsi" w:eastAsiaTheme="majorEastAsia" w:hAnsiTheme="majorHAnsi" w:cstheme="majorBidi"/>
      <w:b/>
      <w:bCs/>
      <w:color w:val="4F81BD" w:themeColor="accent1"/>
      <w:sz w:val="26"/>
      <w:szCs w:val="26"/>
      <w:lang w:val="en-US"/>
    </w:rPr>
  </w:style>
  <w:style w:type="paragraph" w:styleId="Title">
    <w:name w:val="Title"/>
    <w:basedOn w:val="Normal"/>
    <w:next w:val="Normal"/>
    <w:link w:val="TitleChar"/>
    <w:uiPriority w:val="10"/>
    <w:qFormat/>
    <w:rsid w:val="006973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73EA"/>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A33F9A"/>
    <w:pPr>
      <w:tabs>
        <w:tab w:val="center" w:pos="4819"/>
        <w:tab w:val="right" w:pos="9638"/>
      </w:tabs>
      <w:spacing w:after="0" w:line="240" w:lineRule="auto"/>
    </w:pPr>
  </w:style>
  <w:style w:type="character" w:customStyle="1" w:styleId="HeaderChar">
    <w:name w:val="Header Char"/>
    <w:basedOn w:val="DefaultParagraphFont"/>
    <w:link w:val="Header"/>
    <w:uiPriority w:val="99"/>
    <w:rsid w:val="00A33F9A"/>
    <w:rPr>
      <w:rFonts w:ascii="Segoe UI" w:hAnsi="Segoe UI"/>
      <w:sz w:val="18"/>
      <w:lang w:val="en-US"/>
    </w:rPr>
  </w:style>
  <w:style w:type="paragraph" w:styleId="Footer">
    <w:name w:val="footer"/>
    <w:basedOn w:val="Normal"/>
    <w:link w:val="FooterChar"/>
    <w:uiPriority w:val="99"/>
    <w:unhideWhenUsed/>
    <w:rsid w:val="00A33F9A"/>
    <w:pPr>
      <w:tabs>
        <w:tab w:val="center" w:pos="4819"/>
        <w:tab w:val="right" w:pos="9638"/>
      </w:tabs>
      <w:spacing w:after="0" w:line="240" w:lineRule="auto"/>
    </w:pPr>
  </w:style>
  <w:style w:type="character" w:customStyle="1" w:styleId="FooterChar">
    <w:name w:val="Footer Char"/>
    <w:basedOn w:val="DefaultParagraphFont"/>
    <w:link w:val="Footer"/>
    <w:uiPriority w:val="99"/>
    <w:rsid w:val="00A33F9A"/>
    <w:rPr>
      <w:rFonts w:ascii="Segoe UI" w:hAnsi="Segoe UI"/>
      <w:sz w:val="18"/>
      <w:lang w:val="en-US"/>
    </w:rPr>
  </w:style>
  <w:style w:type="paragraph" w:styleId="ListParagraph">
    <w:name w:val="List Paragraph"/>
    <w:basedOn w:val="Normal"/>
    <w:qFormat/>
    <w:rsid w:val="00A33F9A"/>
    <w:pPr>
      <w:ind w:left="720"/>
      <w:contextualSpacing/>
    </w:pPr>
  </w:style>
  <w:style w:type="paragraph" w:styleId="FootnoteText">
    <w:name w:val="footnote text"/>
    <w:basedOn w:val="Normal"/>
    <w:link w:val="FootnoteTextChar"/>
    <w:uiPriority w:val="99"/>
    <w:semiHidden/>
    <w:unhideWhenUsed/>
    <w:rsid w:val="006133AC"/>
    <w:pPr>
      <w:spacing w:after="0" w:line="240" w:lineRule="auto"/>
    </w:pPr>
    <w:rPr>
      <w:rFonts w:asciiTheme="minorHAnsi" w:hAnsiTheme="minorHAnsi"/>
      <w:sz w:val="20"/>
      <w:szCs w:val="20"/>
      <w:lang w:val="lt-LT"/>
    </w:rPr>
  </w:style>
  <w:style w:type="character" w:customStyle="1" w:styleId="FootnoteTextChar">
    <w:name w:val="Footnote Text Char"/>
    <w:basedOn w:val="DefaultParagraphFont"/>
    <w:link w:val="FootnoteText"/>
    <w:uiPriority w:val="99"/>
    <w:semiHidden/>
    <w:rsid w:val="006133AC"/>
    <w:rPr>
      <w:sz w:val="20"/>
      <w:szCs w:val="20"/>
      <w:lang w:val="lt-LT"/>
    </w:rPr>
  </w:style>
  <w:style w:type="character" w:styleId="FootnoteReference">
    <w:name w:val="footnote reference"/>
    <w:basedOn w:val="DefaultParagraphFont"/>
    <w:uiPriority w:val="99"/>
    <w:semiHidden/>
    <w:unhideWhenUsed/>
    <w:rsid w:val="006133AC"/>
    <w:rPr>
      <w:vertAlign w:val="superscript"/>
    </w:rPr>
  </w:style>
  <w:style w:type="paragraph" w:styleId="BalloonText">
    <w:name w:val="Balloon Text"/>
    <w:basedOn w:val="Normal"/>
    <w:link w:val="BalloonTextChar"/>
    <w:uiPriority w:val="99"/>
    <w:semiHidden/>
    <w:unhideWhenUsed/>
    <w:rsid w:val="00B37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A93"/>
    <w:rPr>
      <w:rFonts w:ascii="Tahoma" w:hAnsi="Tahoma" w:cs="Tahoma"/>
      <w:sz w:val="16"/>
      <w:szCs w:val="16"/>
      <w:lang w:val="en-US"/>
    </w:rPr>
  </w:style>
  <w:style w:type="paragraph" w:customStyle="1" w:styleId="Default">
    <w:name w:val="Default"/>
    <w:rsid w:val="00CE3F3B"/>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59"/>
    <w:rsid w:val="00211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0693"/>
    <w:rPr>
      <w:sz w:val="16"/>
      <w:szCs w:val="16"/>
    </w:rPr>
  </w:style>
  <w:style w:type="paragraph" w:styleId="CommentText">
    <w:name w:val="annotation text"/>
    <w:basedOn w:val="Normal"/>
    <w:link w:val="CommentTextChar"/>
    <w:uiPriority w:val="99"/>
    <w:semiHidden/>
    <w:unhideWhenUsed/>
    <w:rsid w:val="00BA0693"/>
    <w:pPr>
      <w:spacing w:line="240" w:lineRule="auto"/>
    </w:pPr>
    <w:rPr>
      <w:sz w:val="20"/>
      <w:szCs w:val="20"/>
    </w:rPr>
  </w:style>
  <w:style w:type="character" w:customStyle="1" w:styleId="CommentTextChar">
    <w:name w:val="Comment Text Char"/>
    <w:basedOn w:val="DefaultParagraphFont"/>
    <w:link w:val="CommentText"/>
    <w:uiPriority w:val="99"/>
    <w:semiHidden/>
    <w:rsid w:val="00BA0693"/>
    <w:rPr>
      <w:rFonts w:ascii="Segoe UI" w:hAnsi="Segoe UI"/>
      <w:sz w:val="20"/>
      <w:szCs w:val="20"/>
      <w:lang w:val="en-US"/>
    </w:rPr>
  </w:style>
  <w:style w:type="paragraph" w:styleId="CommentSubject">
    <w:name w:val="annotation subject"/>
    <w:basedOn w:val="CommentText"/>
    <w:next w:val="CommentText"/>
    <w:link w:val="CommentSubjectChar"/>
    <w:uiPriority w:val="99"/>
    <w:semiHidden/>
    <w:unhideWhenUsed/>
    <w:rsid w:val="00BA0693"/>
    <w:rPr>
      <w:b/>
      <w:bCs/>
    </w:rPr>
  </w:style>
  <w:style w:type="character" w:customStyle="1" w:styleId="CommentSubjectChar">
    <w:name w:val="Comment Subject Char"/>
    <w:basedOn w:val="CommentTextChar"/>
    <w:link w:val="CommentSubject"/>
    <w:uiPriority w:val="99"/>
    <w:semiHidden/>
    <w:rsid w:val="00BA0693"/>
    <w:rPr>
      <w:rFonts w:ascii="Segoe UI" w:hAnsi="Segoe UI"/>
      <w:b/>
      <w:bCs/>
      <w:sz w:val="20"/>
      <w:szCs w:val="20"/>
      <w:lang w:val="en-US"/>
    </w:rPr>
  </w:style>
  <w:style w:type="character" w:styleId="Hyperlink">
    <w:name w:val="Hyperlink"/>
    <w:basedOn w:val="DefaultParagraphFont"/>
    <w:uiPriority w:val="99"/>
    <w:unhideWhenUsed/>
    <w:rsid w:val="00D148DF"/>
    <w:rPr>
      <w:color w:val="0000FF" w:themeColor="hyperlink"/>
      <w:u w:val="single"/>
    </w:rPr>
  </w:style>
  <w:style w:type="paragraph" w:styleId="Revision">
    <w:name w:val="Revision"/>
    <w:hidden/>
    <w:uiPriority w:val="99"/>
    <w:semiHidden/>
    <w:rsid w:val="009D2614"/>
    <w:pPr>
      <w:spacing w:after="0" w:line="240" w:lineRule="auto"/>
    </w:pPr>
    <w:rPr>
      <w:rFonts w:ascii="Segoe UI" w:hAnsi="Segoe UI"/>
      <w:sz w:val="18"/>
      <w:lang w:val="en-US"/>
    </w:rPr>
  </w:style>
  <w:style w:type="paragraph" w:styleId="TOCHeading">
    <w:name w:val="TOC Heading"/>
    <w:basedOn w:val="Heading1"/>
    <w:next w:val="Normal"/>
    <w:uiPriority w:val="39"/>
    <w:unhideWhenUsed/>
    <w:qFormat/>
    <w:rsid w:val="00385B97"/>
    <w:pPr>
      <w:spacing w:before="240" w:after="0" w:line="259" w:lineRule="auto"/>
      <w:outlineLvl w:val="9"/>
    </w:pPr>
    <w:rPr>
      <w:rFonts w:asciiTheme="majorHAnsi" w:hAnsiTheme="majorHAnsi"/>
      <w:b w:val="0"/>
      <w:bCs w:val="0"/>
      <w:color w:val="365F91" w:themeColor="accent1" w:themeShade="BF"/>
      <w:sz w:val="32"/>
      <w:szCs w:val="32"/>
      <w:lang w:val="lt-LT" w:eastAsia="lt-LT"/>
    </w:rPr>
  </w:style>
  <w:style w:type="paragraph" w:styleId="TOC1">
    <w:name w:val="toc 1"/>
    <w:basedOn w:val="Normal"/>
    <w:next w:val="Normal"/>
    <w:autoRedefine/>
    <w:uiPriority w:val="39"/>
    <w:unhideWhenUsed/>
    <w:rsid w:val="00385B97"/>
    <w:pPr>
      <w:spacing w:after="100"/>
    </w:pPr>
  </w:style>
  <w:style w:type="paragraph" w:customStyle="1" w:styleId="paragraph">
    <w:name w:val="paragraph"/>
    <w:basedOn w:val="Normal"/>
    <w:rsid w:val="000E2F23"/>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normaltextrun">
    <w:name w:val="normaltextrun"/>
    <w:basedOn w:val="DefaultParagraphFont"/>
    <w:rsid w:val="000E2F23"/>
  </w:style>
  <w:style w:type="character" w:customStyle="1" w:styleId="eop">
    <w:name w:val="eop"/>
    <w:basedOn w:val="DefaultParagraphFont"/>
    <w:rsid w:val="000E2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8342">
      <w:bodyDiv w:val="1"/>
      <w:marLeft w:val="0"/>
      <w:marRight w:val="0"/>
      <w:marTop w:val="0"/>
      <w:marBottom w:val="0"/>
      <w:divBdr>
        <w:top w:val="none" w:sz="0" w:space="0" w:color="auto"/>
        <w:left w:val="none" w:sz="0" w:space="0" w:color="auto"/>
        <w:bottom w:val="none" w:sz="0" w:space="0" w:color="auto"/>
        <w:right w:val="none" w:sz="0" w:space="0" w:color="auto"/>
      </w:divBdr>
    </w:div>
    <w:div w:id="98567332">
      <w:bodyDiv w:val="1"/>
      <w:marLeft w:val="0"/>
      <w:marRight w:val="0"/>
      <w:marTop w:val="0"/>
      <w:marBottom w:val="0"/>
      <w:divBdr>
        <w:top w:val="none" w:sz="0" w:space="0" w:color="auto"/>
        <w:left w:val="none" w:sz="0" w:space="0" w:color="auto"/>
        <w:bottom w:val="none" w:sz="0" w:space="0" w:color="auto"/>
        <w:right w:val="none" w:sz="0" w:space="0" w:color="auto"/>
      </w:divBdr>
    </w:div>
    <w:div w:id="99223960">
      <w:bodyDiv w:val="1"/>
      <w:marLeft w:val="0"/>
      <w:marRight w:val="0"/>
      <w:marTop w:val="0"/>
      <w:marBottom w:val="0"/>
      <w:divBdr>
        <w:top w:val="none" w:sz="0" w:space="0" w:color="auto"/>
        <w:left w:val="none" w:sz="0" w:space="0" w:color="auto"/>
        <w:bottom w:val="none" w:sz="0" w:space="0" w:color="auto"/>
        <w:right w:val="none" w:sz="0" w:space="0" w:color="auto"/>
      </w:divBdr>
    </w:div>
    <w:div w:id="105976518">
      <w:bodyDiv w:val="1"/>
      <w:marLeft w:val="0"/>
      <w:marRight w:val="0"/>
      <w:marTop w:val="0"/>
      <w:marBottom w:val="0"/>
      <w:divBdr>
        <w:top w:val="none" w:sz="0" w:space="0" w:color="auto"/>
        <w:left w:val="none" w:sz="0" w:space="0" w:color="auto"/>
        <w:bottom w:val="none" w:sz="0" w:space="0" w:color="auto"/>
        <w:right w:val="none" w:sz="0" w:space="0" w:color="auto"/>
      </w:divBdr>
    </w:div>
    <w:div w:id="114641976">
      <w:bodyDiv w:val="1"/>
      <w:marLeft w:val="0"/>
      <w:marRight w:val="0"/>
      <w:marTop w:val="0"/>
      <w:marBottom w:val="0"/>
      <w:divBdr>
        <w:top w:val="none" w:sz="0" w:space="0" w:color="auto"/>
        <w:left w:val="none" w:sz="0" w:space="0" w:color="auto"/>
        <w:bottom w:val="none" w:sz="0" w:space="0" w:color="auto"/>
        <w:right w:val="none" w:sz="0" w:space="0" w:color="auto"/>
      </w:divBdr>
    </w:div>
    <w:div w:id="205989730">
      <w:bodyDiv w:val="1"/>
      <w:marLeft w:val="0"/>
      <w:marRight w:val="0"/>
      <w:marTop w:val="0"/>
      <w:marBottom w:val="0"/>
      <w:divBdr>
        <w:top w:val="none" w:sz="0" w:space="0" w:color="auto"/>
        <w:left w:val="none" w:sz="0" w:space="0" w:color="auto"/>
        <w:bottom w:val="none" w:sz="0" w:space="0" w:color="auto"/>
        <w:right w:val="none" w:sz="0" w:space="0" w:color="auto"/>
      </w:divBdr>
    </w:div>
    <w:div w:id="216430122">
      <w:bodyDiv w:val="1"/>
      <w:marLeft w:val="0"/>
      <w:marRight w:val="0"/>
      <w:marTop w:val="0"/>
      <w:marBottom w:val="0"/>
      <w:divBdr>
        <w:top w:val="none" w:sz="0" w:space="0" w:color="auto"/>
        <w:left w:val="none" w:sz="0" w:space="0" w:color="auto"/>
        <w:bottom w:val="none" w:sz="0" w:space="0" w:color="auto"/>
        <w:right w:val="none" w:sz="0" w:space="0" w:color="auto"/>
      </w:divBdr>
      <w:divsChild>
        <w:div w:id="141967669">
          <w:marLeft w:val="0"/>
          <w:marRight w:val="0"/>
          <w:marTop w:val="0"/>
          <w:marBottom w:val="0"/>
          <w:divBdr>
            <w:top w:val="none" w:sz="0" w:space="0" w:color="auto"/>
            <w:left w:val="none" w:sz="0" w:space="0" w:color="auto"/>
            <w:bottom w:val="none" w:sz="0" w:space="0" w:color="auto"/>
            <w:right w:val="none" w:sz="0" w:space="0" w:color="auto"/>
          </w:divBdr>
        </w:div>
        <w:div w:id="986592982">
          <w:marLeft w:val="0"/>
          <w:marRight w:val="0"/>
          <w:marTop w:val="0"/>
          <w:marBottom w:val="0"/>
          <w:divBdr>
            <w:top w:val="none" w:sz="0" w:space="0" w:color="auto"/>
            <w:left w:val="none" w:sz="0" w:space="0" w:color="auto"/>
            <w:bottom w:val="none" w:sz="0" w:space="0" w:color="auto"/>
            <w:right w:val="none" w:sz="0" w:space="0" w:color="auto"/>
          </w:divBdr>
        </w:div>
        <w:div w:id="1166046149">
          <w:marLeft w:val="0"/>
          <w:marRight w:val="0"/>
          <w:marTop w:val="0"/>
          <w:marBottom w:val="0"/>
          <w:divBdr>
            <w:top w:val="none" w:sz="0" w:space="0" w:color="auto"/>
            <w:left w:val="none" w:sz="0" w:space="0" w:color="auto"/>
            <w:bottom w:val="none" w:sz="0" w:space="0" w:color="auto"/>
            <w:right w:val="none" w:sz="0" w:space="0" w:color="auto"/>
          </w:divBdr>
        </w:div>
        <w:div w:id="2029139840">
          <w:marLeft w:val="0"/>
          <w:marRight w:val="0"/>
          <w:marTop w:val="0"/>
          <w:marBottom w:val="0"/>
          <w:divBdr>
            <w:top w:val="none" w:sz="0" w:space="0" w:color="auto"/>
            <w:left w:val="none" w:sz="0" w:space="0" w:color="auto"/>
            <w:bottom w:val="none" w:sz="0" w:space="0" w:color="auto"/>
            <w:right w:val="none" w:sz="0" w:space="0" w:color="auto"/>
          </w:divBdr>
        </w:div>
        <w:div w:id="1275206436">
          <w:marLeft w:val="0"/>
          <w:marRight w:val="0"/>
          <w:marTop w:val="0"/>
          <w:marBottom w:val="0"/>
          <w:divBdr>
            <w:top w:val="none" w:sz="0" w:space="0" w:color="auto"/>
            <w:left w:val="none" w:sz="0" w:space="0" w:color="auto"/>
            <w:bottom w:val="none" w:sz="0" w:space="0" w:color="auto"/>
            <w:right w:val="none" w:sz="0" w:space="0" w:color="auto"/>
          </w:divBdr>
        </w:div>
      </w:divsChild>
    </w:div>
    <w:div w:id="234242717">
      <w:bodyDiv w:val="1"/>
      <w:marLeft w:val="0"/>
      <w:marRight w:val="0"/>
      <w:marTop w:val="0"/>
      <w:marBottom w:val="0"/>
      <w:divBdr>
        <w:top w:val="none" w:sz="0" w:space="0" w:color="auto"/>
        <w:left w:val="none" w:sz="0" w:space="0" w:color="auto"/>
        <w:bottom w:val="none" w:sz="0" w:space="0" w:color="auto"/>
        <w:right w:val="none" w:sz="0" w:space="0" w:color="auto"/>
      </w:divBdr>
    </w:div>
    <w:div w:id="368384250">
      <w:bodyDiv w:val="1"/>
      <w:marLeft w:val="0"/>
      <w:marRight w:val="0"/>
      <w:marTop w:val="0"/>
      <w:marBottom w:val="0"/>
      <w:divBdr>
        <w:top w:val="none" w:sz="0" w:space="0" w:color="auto"/>
        <w:left w:val="none" w:sz="0" w:space="0" w:color="auto"/>
        <w:bottom w:val="none" w:sz="0" w:space="0" w:color="auto"/>
        <w:right w:val="none" w:sz="0" w:space="0" w:color="auto"/>
      </w:divBdr>
      <w:divsChild>
        <w:div w:id="98721149">
          <w:marLeft w:val="0"/>
          <w:marRight w:val="0"/>
          <w:marTop w:val="0"/>
          <w:marBottom w:val="0"/>
          <w:divBdr>
            <w:top w:val="none" w:sz="0" w:space="0" w:color="auto"/>
            <w:left w:val="none" w:sz="0" w:space="0" w:color="auto"/>
            <w:bottom w:val="none" w:sz="0" w:space="0" w:color="auto"/>
            <w:right w:val="none" w:sz="0" w:space="0" w:color="auto"/>
          </w:divBdr>
        </w:div>
        <w:div w:id="1854149834">
          <w:marLeft w:val="0"/>
          <w:marRight w:val="0"/>
          <w:marTop w:val="0"/>
          <w:marBottom w:val="0"/>
          <w:divBdr>
            <w:top w:val="none" w:sz="0" w:space="0" w:color="auto"/>
            <w:left w:val="none" w:sz="0" w:space="0" w:color="auto"/>
            <w:bottom w:val="none" w:sz="0" w:space="0" w:color="auto"/>
            <w:right w:val="none" w:sz="0" w:space="0" w:color="auto"/>
          </w:divBdr>
        </w:div>
      </w:divsChild>
    </w:div>
    <w:div w:id="383215048">
      <w:bodyDiv w:val="1"/>
      <w:marLeft w:val="0"/>
      <w:marRight w:val="0"/>
      <w:marTop w:val="0"/>
      <w:marBottom w:val="0"/>
      <w:divBdr>
        <w:top w:val="none" w:sz="0" w:space="0" w:color="auto"/>
        <w:left w:val="none" w:sz="0" w:space="0" w:color="auto"/>
        <w:bottom w:val="none" w:sz="0" w:space="0" w:color="auto"/>
        <w:right w:val="none" w:sz="0" w:space="0" w:color="auto"/>
      </w:divBdr>
    </w:div>
    <w:div w:id="454064443">
      <w:bodyDiv w:val="1"/>
      <w:marLeft w:val="0"/>
      <w:marRight w:val="0"/>
      <w:marTop w:val="0"/>
      <w:marBottom w:val="0"/>
      <w:divBdr>
        <w:top w:val="none" w:sz="0" w:space="0" w:color="auto"/>
        <w:left w:val="none" w:sz="0" w:space="0" w:color="auto"/>
        <w:bottom w:val="none" w:sz="0" w:space="0" w:color="auto"/>
        <w:right w:val="none" w:sz="0" w:space="0" w:color="auto"/>
      </w:divBdr>
    </w:div>
    <w:div w:id="462305909">
      <w:bodyDiv w:val="1"/>
      <w:marLeft w:val="0"/>
      <w:marRight w:val="0"/>
      <w:marTop w:val="0"/>
      <w:marBottom w:val="0"/>
      <w:divBdr>
        <w:top w:val="none" w:sz="0" w:space="0" w:color="auto"/>
        <w:left w:val="none" w:sz="0" w:space="0" w:color="auto"/>
        <w:bottom w:val="none" w:sz="0" w:space="0" w:color="auto"/>
        <w:right w:val="none" w:sz="0" w:space="0" w:color="auto"/>
      </w:divBdr>
    </w:div>
    <w:div w:id="469785966">
      <w:bodyDiv w:val="1"/>
      <w:marLeft w:val="0"/>
      <w:marRight w:val="0"/>
      <w:marTop w:val="0"/>
      <w:marBottom w:val="0"/>
      <w:divBdr>
        <w:top w:val="none" w:sz="0" w:space="0" w:color="auto"/>
        <w:left w:val="none" w:sz="0" w:space="0" w:color="auto"/>
        <w:bottom w:val="none" w:sz="0" w:space="0" w:color="auto"/>
        <w:right w:val="none" w:sz="0" w:space="0" w:color="auto"/>
      </w:divBdr>
    </w:div>
    <w:div w:id="499319670">
      <w:bodyDiv w:val="1"/>
      <w:marLeft w:val="0"/>
      <w:marRight w:val="0"/>
      <w:marTop w:val="0"/>
      <w:marBottom w:val="0"/>
      <w:divBdr>
        <w:top w:val="none" w:sz="0" w:space="0" w:color="auto"/>
        <w:left w:val="none" w:sz="0" w:space="0" w:color="auto"/>
        <w:bottom w:val="none" w:sz="0" w:space="0" w:color="auto"/>
        <w:right w:val="none" w:sz="0" w:space="0" w:color="auto"/>
      </w:divBdr>
    </w:div>
    <w:div w:id="570384164">
      <w:bodyDiv w:val="1"/>
      <w:marLeft w:val="0"/>
      <w:marRight w:val="0"/>
      <w:marTop w:val="0"/>
      <w:marBottom w:val="0"/>
      <w:divBdr>
        <w:top w:val="none" w:sz="0" w:space="0" w:color="auto"/>
        <w:left w:val="none" w:sz="0" w:space="0" w:color="auto"/>
        <w:bottom w:val="none" w:sz="0" w:space="0" w:color="auto"/>
        <w:right w:val="none" w:sz="0" w:space="0" w:color="auto"/>
      </w:divBdr>
    </w:div>
    <w:div w:id="601767036">
      <w:bodyDiv w:val="1"/>
      <w:marLeft w:val="0"/>
      <w:marRight w:val="0"/>
      <w:marTop w:val="0"/>
      <w:marBottom w:val="0"/>
      <w:divBdr>
        <w:top w:val="none" w:sz="0" w:space="0" w:color="auto"/>
        <w:left w:val="none" w:sz="0" w:space="0" w:color="auto"/>
        <w:bottom w:val="none" w:sz="0" w:space="0" w:color="auto"/>
        <w:right w:val="none" w:sz="0" w:space="0" w:color="auto"/>
      </w:divBdr>
    </w:div>
    <w:div w:id="658313217">
      <w:bodyDiv w:val="1"/>
      <w:marLeft w:val="0"/>
      <w:marRight w:val="0"/>
      <w:marTop w:val="0"/>
      <w:marBottom w:val="0"/>
      <w:divBdr>
        <w:top w:val="none" w:sz="0" w:space="0" w:color="auto"/>
        <w:left w:val="none" w:sz="0" w:space="0" w:color="auto"/>
        <w:bottom w:val="none" w:sz="0" w:space="0" w:color="auto"/>
        <w:right w:val="none" w:sz="0" w:space="0" w:color="auto"/>
      </w:divBdr>
      <w:divsChild>
        <w:div w:id="1152480324">
          <w:marLeft w:val="0"/>
          <w:marRight w:val="0"/>
          <w:marTop w:val="0"/>
          <w:marBottom w:val="0"/>
          <w:divBdr>
            <w:top w:val="none" w:sz="0" w:space="0" w:color="auto"/>
            <w:left w:val="none" w:sz="0" w:space="0" w:color="auto"/>
            <w:bottom w:val="none" w:sz="0" w:space="0" w:color="auto"/>
            <w:right w:val="none" w:sz="0" w:space="0" w:color="auto"/>
          </w:divBdr>
        </w:div>
        <w:div w:id="1913544854">
          <w:marLeft w:val="0"/>
          <w:marRight w:val="0"/>
          <w:marTop w:val="0"/>
          <w:marBottom w:val="0"/>
          <w:divBdr>
            <w:top w:val="none" w:sz="0" w:space="0" w:color="auto"/>
            <w:left w:val="none" w:sz="0" w:space="0" w:color="auto"/>
            <w:bottom w:val="none" w:sz="0" w:space="0" w:color="auto"/>
            <w:right w:val="none" w:sz="0" w:space="0" w:color="auto"/>
          </w:divBdr>
        </w:div>
        <w:div w:id="73628080">
          <w:marLeft w:val="0"/>
          <w:marRight w:val="0"/>
          <w:marTop w:val="0"/>
          <w:marBottom w:val="0"/>
          <w:divBdr>
            <w:top w:val="none" w:sz="0" w:space="0" w:color="auto"/>
            <w:left w:val="none" w:sz="0" w:space="0" w:color="auto"/>
            <w:bottom w:val="none" w:sz="0" w:space="0" w:color="auto"/>
            <w:right w:val="none" w:sz="0" w:space="0" w:color="auto"/>
          </w:divBdr>
        </w:div>
        <w:div w:id="310911473">
          <w:marLeft w:val="0"/>
          <w:marRight w:val="0"/>
          <w:marTop w:val="0"/>
          <w:marBottom w:val="0"/>
          <w:divBdr>
            <w:top w:val="none" w:sz="0" w:space="0" w:color="auto"/>
            <w:left w:val="none" w:sz="0" w:space="0" w:color="auto"/>
            <w:bottom w:val="none" w:sz="0" w:space="0" w:color="auto"/>
            <w:right w:val="none" w:sz="0" w:space="0" w:color="auto"/>
          </w:divBdr>
        </w:div>
        <w:div w:id="995835987">
          <w:marLeft w:val="0"/>
          <w:marRight w:val="0"/>
          <w:marTop w:val="0"/>
          <w:marBottom w:val="0"/>
          <w:divBdr>
            <w:top w:val="none" w:sz="0" w:space="0" w:color="auto"/>
            <w:left w:val="none" w:sz="0" w:space="0" w:color="auto"/>
            <w:bottom w:val="none" w:sz="0" w:space="0" w:color="auto"/>
            <w:right w:val="none" w:sz="0" w:space="0" w:color="auto"/>
          </w:divBdr>
        </w:div>
        <w:div w:id="1411152169">
          <w:marLeft w:val="0"/>
          <w:marRight w:val="0"/>
          <w:marTop w:val="0"/>
          <w:marBottom w:val="0"/>
          <w:divBdr>
            <w:top w:val="none" w:sz="0" w:space="0" w:color="auto"/>
            <w:left w:val="none" w:sz="0" w:space="0" w:color="auto"/>
            <w:bottom w:val="none" w:sz="0" w:space="0" w:color="auto"/>
            <w:right w:val="none" w:sz="0" w:space="0" w:color="auto"/>
          </w:divBdr>
        </w:div>
        <w:div w:id="998800965">
          <w:marLeft w:val="0"/>
          <w:marRight w:val="0"/>
          <w:marTop w:val="0"/>
          <w:marBottom w:val="0"/>
          <w:divBdr>
            <w:top w:val="none" w:sz="0" w:space="0" w:color="auto"/>
            <w:left w:val="none" w:sz="0" w:space="0" w:color="auto"/>
            <w:bottom w:val="none" w:sz="0" w:space="0" w:color="auto"/>
            <w:right w:val="none" w:sz="0" w:space="0" w:color="auto"/>
          </w:divBdr>
        </w:div>
        <w:div w:id="1014452320">
          <w:marLeft w:val="0"/>
          <w:marRight w:val="0"/>
          <w:marTop w:val="0"/>
          <w:marBottom w:val="0"/>
          <w:divBdr>
            <w:top w:val="none" w:sz="0" w:space="0" w:color="auto"/>
            <w:left w:val="none" w:sz="0" w:space="0" w:color="auto"/>
            <w:bottom w:val="none" w:sz="0" w:space="0" w:color="auto"/>
            <w:right w:val="none" w:sz="0" w:space="0" w:color="auto"/>
          </w:divBdr>
        </w:div>
        <w:div w:id="106003756">
          <w:marLeft w:val="0"/>
          <w:marRight w:val="0"/>
          <w:marTop w:val="0"/>
          <w:marBottom w:val="0"/>
          <w:divBdr>
            <w:top w:val="none" w:sz="0" w:space="0" w:color="auto"/>
            <w:left w:val="none" w:sz="0" w:space="0" w:color="auto"/>
            <w:bottom w:val="none" w:sz="0" w:space="0" w:color="auto"/>
            <w:right w:val="none" w:sz="0" w:space="0" w:color="auto"/>
          </w:divBdr>
        </w:div>
      </w:divsChild>
    </w:div>
    <w:div w:id="663972375">
      <w:bodyDiv w:val="1"/>
      <w:marLeft w:val="0"/>
      <w:marRight w:val="0"/>
      <w:marTop w:val="0"/>
      <w:marBottom w:val="0"/>
      <w:divBdr>
        <w:top w:val="none" w:sz="0" w:space="0" w:color="auto"/>
        <w:left w:val="none" w:sz="0" w:space="0" w:color="auto"/>
        <w:bottom w:val="none" w:sz="0" w:space="0" w:color="auto"/>
        <w:right w:val="none" w:sz="0" w:space="0" w:color="auto"/>
      </w:divBdr>
    </w:div>
    <w:div w:id="828205035">
      <w:bodyDiv w:val="1"/>
      <w:marLeft w:val="0"/>
      <w:marRight w:val="0"/>
      <w:marTop w:val="0"/>
      <w:marBottom w:val="0"/>
      <w:divBdr>
        <w:top w:val="none" w:sz="0" w:space="0" w:color="auto"/>
        <w:left w:val="none" w:sz="0" w:space="0" w:color="auto"/>
        <w:bottom w:val="none" w:sz="0" w:space="0" w:color="auto"/>
        <w:right w:val="none" w:sz="0" w:space="0" w:color="auto"/>
      </w:divBdr>
    </w:div>
    <w:div w:id="839736595">
      <w:bodyDiv w:val="1"/>
      <w:marLeft w:val="0"/>
      <w:marRight w:val="0"/>
      <w:marTop w:val="0"/>
      <w:marBottom w:val="0"/>
      <w:divBdr>
        <w:top w:val="none" w:sz="0" w:space="0" w:color="auto"/>
        <w:left w:val="none" w:sz="0" w:space="0" w:color="auto"/>
        <w:bottom w:val="none" w:sz="0" w:space="0" w:color="auto"/>
        <w:right w:val="none" w:sz="0" w:space="0" w:color="auto"/>
      </w:divBdr>
    </w:div>
    <w:div w:id="859196821">
      <w:bodyDiv w:val="1"/>
      <w:marLeft w:val="0"/>
      <w:marRight w:val="0"/>
      <w:marTop w:val="0"/>
      <w:marBottom w:val="0"/>
      <w:divBdr>
        <w:top w:val="none" w:sz="0" w:space="0" w:color="auto"/>
        <w:left w:val="none" w:sz="0" w:space="0" w:color="auto"/>
        <w:bottom w:val="none" w:sz="0" w:space="0" w:color="auto"/>
        <w:right w:val="none" w:sz="0" w:space="0" w:color="auto"/>
      </w:divBdr>
    </w:div>
    <w:div w:id="953054472">
      <w:bodyDiv w:val="1"/>
      <w:marLeft w:val="0"/>
      <w:marRight w:val="0"/>
      <w:marTop w:val="0"/>
      <w:marBottom w:val="0"/>
      <w:divBdr>
        <w:top w:val="none" w:sz="0" w:space="0" w:color="auto"/>
        <w:left w:val="none" w:sz="0" w:space="0" w:color="auto"/>
        <w:bottom w:val="none" w:sz="0" w:space="0" w:color="auto"/>
        <w:right w:val="none" w:sz="0" w:space="0" w:color="auto"/>
      </w:divBdr>
    </w:div>
    <w:div w:id="1004627873">
      <w:bodyDiv w:val="1"/>
      <w:marLeft w:val="0"/>
      <w:marRight w:val="0"/>
      <w:marTop w:val="0"/>
      <w:marBottom w:val="0"/>
      <w:divBdr>
        <w:top w:val="none" w:sz="0" w:space="0" w:color="auto"/>
        <w:left w:val="none" w:sz="0" w:space="0" w:color="auto"/>
        <w:bottom w:val="none" w:sz="0" w:space="0" w:color="auto"/>
        <w:right w:val="none" w:sz="0" w:space="0" w:color="auto"/>
      </w:divBdr>
    </w:div>
    <w:div w:id="1021975217">
      <w:bodyDiv w:val="1"/>
      <w:marLeft w:val="0"/>
      <w:marRight w:val="0"/>
      <w:marTop w:val="0"/>
      <w:marBottom w:val="0"/>
      <w:divBdr>
        <w:top w:val="none" w:sz="0" w:space="0" w:color="auto"/>
        <w:left w:val="none" w:sz="0" w:space="0" w:color="auto"/>
        <w:bottom w:val="none" w:sz="0" w:space="0" w:color="auto"/>
        <w:right w:val="none" w:sz="0" w:space="0" w:color="auto"/>
      </w:divBdr>
    </w:div>
    <w:div w:id="1036544695">
      <w:bodyDiv w:val="1"/>
      <w:marLeft w:val="0"/>
      <w:marRight w:val="0"/>
      <w:marTop w:val="0"/>
      <w:marBottom w:val="0"/>
      <w:divBdr>
        <w:top w:val="none" w:sz="0" w:space="0" w:color="auto"/>
        <w:left w:val="none" w:sz="0" w:space="0" w:color="auto"/>
        <w:bottom w:val="none" w:sz="0" w:space="0" w:color="auto"/>
        <w:right w:val="none" w:sz="0" w:space="0" w:color="auto"/>
      </w:divBdr>
    </w:div>
    <w:div w:id="1096243104">
      <w:bodyDiv w:val="1"/>
      <w:marLeft w:val="0"/>
      <w:marRight w:val="0"/>
      <w:marTop w:val="0"/>
      <w:marBottom w:val="0"/>
      <w:divBdr>
        <w:top w:val="none" w:sz="0" w:space="0" w:color="auto"/>
        <w:left w:val="none" w:sz="0" w:space="0" w:color="auto"/>
        <w:bottom w:val="none" w:sz="0" w:space="0" w:color="auto"/>
        <w:right w:val="none" w:sz="0" w:space="0" w:color="auto"/>
      </w:divBdr>
    </w:div>
    <w:div w:id="1106316403">
      <w:bodyDiv w:val="1"/>
      <w:marLeft w:val="0"/>
      <w:marRight w:val="0"/>
      <w:marTop w:val="0"/>
      <w:marBottom w:val="0"/>
      <w:divBdr>
        <w:top w:val="none" w:sz="0" w:space="0" w:color="auto"/>
        <w:left w:val="none" w:sz="0" w:space="0" w:color="auto"/>
        <w:bottom w:val="none" w:sz="0" w:space="0" w:color="auto"/>
        <w:right w:val="none" w:sz="0" w:space="0" w:color="auto"/>
      </w:divBdr>
    </w:div>
    <w:div w:id="1170484171">
      <w:bodyDiv w:val="1"/>
      <w:marLeft w:val="0"/>
      <w:marRight w:val="0"/>
      <w:marTop w:val="0"/>
      <w:marBottom w:val="0"/>
      <w:divBdr>
        <w:top w:val="none" w:sz="0" w:space="0" w:color="auto"/>
        <w:left w:val="none" w:sz="0" w:space="0" w:color="auto"/>
        <w:bottom w:val="none" w:sz="0" w:space="0" w:color="auto"/>
        <w:right w:val="none" w:sz="0" w:space="0" w:color="auto"/>
      </w:divBdr>
      <w:divsChild>
        <w:div w:id="1574461121">
          <w:marLeft w:val="0"/>
          <w:marRight w:val="0"/>
          <w:marTop w:val="0"/>
          <w:marBottom w:val="0"/>
          <w:divBdr>
            <w:top w:val="none" w:sz="0" w:space="0" w:color="auto"/>
            <w:left w:val="none" w:sz="0" w:space="0" w:color="auto"/>
            <w:bottom w:val="none" w:sz="0" w:space="0" w:color="auto"/>
            <w:right w:val="none" w:sz="0" w:space="0" w:color="auto"/>
          </w:divBdr>
        </w:div>
        <w:div w:id="889613814">
          <w:marLeft w:val="0"/>
          <w:marRight w:val="0"/>
          <w:marTop w:val="0"/>
          <w:marBottom w:val="0"/>
          <w:divBdr>
            <w:top w:val="none" w:sz="0" w:space="0" w:color="auto"/>
            <w:left w:val="none" w:sz="0" w:space="0" w:color="auto"/>
            <w:bottom w:val="none" w:sz="0" w:space="0" w:color="auto"/>
            <w:right w:val="none" w:sz="0" w:space="0" w:color="auto"/>
          </w:divBdr>
        </w:div>
        <w:div w:id="577205751">
          <w:marLeft w:val="0"/>
          <w:marRight w:val="0"/>
          <w:marTop w:val="0"/>
          <w:marBottom w:val="0"/>
          <w:divBdr>
            <w:top w:val="none" w:sz="0" w:space="0" w:color="auto"/>
            <w:left w:val="none" w:sz="0" w:space="0" w:color="auto"/>
            <w:bottom w:val="none" w:sz="0" w:space="0" w:color="auto"/>
            <w:right w:val="none" w:sz="0" w:space="0" w:color="auto"/>
          </w:divBdr>
        </w:div>
        <w:div w:id="821699255">
          <w:marLeft w:val="0"/>
          <w:marRight w:val="0"/>
          <w:marTop w:val="0"/>
          <w:marBottom w:val="0"/>
          <w:divBdr>
            <w:top w:val="none" w:sz="0" w:space="0" w:color="auto"/>
            <w:left w:val="none" w:sz="0" w:space="0" w:color="auto"/>
            <w:bottom w:val="none" w:sz="0" w:space="0" w:color="auto"/>
            <w:right w:val="none" w:sz="0" w:space="0" w:color="auto"/>
          </w:divBdr>
        </w:div>
        <w:div w:id="1429546699">
          <w:marLeft w:val="0"/>
          <w:marRight w:val="0"/>
          <w:marTop w:val="0"/>
          <w:marBottom w:val="0"/>
          <w:divBdr>
            <w:top w:val="none" w:sz="0" w:space="0" w:color="auto"/>
            <w:left w:val="none" w:sz="0" w:space="0" w:color="auto"/>
            <w:bottom w:val="none" w:sz="0" w:space="0" w:color="auto"/>
            <w:right w:val="none" w:sz="0" w:space="0" w:color="auto"/>
          </w:divBdr>
        </w:div>
        <w:div w:id="1208104141">
          <w:marLeft w:val="0"/>
          <w:marRight w:val="0"/>
          <w:marTop w:val="0"/>
          <w:marBottom w:val="0"/>
          <w:divBdr>
            <w:top w:val="none" w:sz="0" w:space="0" w:color="auto"/>
            <w:left w:val="none" w:sz="0" w:space="0" w:color="auto"/>
            <w:bottom w:val="none" w:sz="0" w:space="0" w:color="auto"/>
            <w:right w:val="none" w:sz="0" w:space="0" w:color="auto"/>
          </w:divBdr>
        </w:div>
        <w:div w:id="1617256193">
          <w:marLeft w:val="0"/>
          <w:marRight w:val="0"/>
          <w:marTop w:val="0"/>
          <w:marBottom w:val="0"/>
          <w:divBdr>
            <w:top w:val="none" w:sz="0" w:space="0" w:color="auto"/>
            <w:left w:val="none" w:sz="0" w:space="0" w:color="auto"/>
            <w:bottom w:val="none" w:sz="0" w:space="0" w:color="auto"/>
            <w:right w:val="none" w:sz="0" w:space="0" w:color="auto"/>
          </w:divBdr>
          <w:divsChild>
            <w:div w:id="955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4755">
      <w:bodyDiv w:val="1"/>
      <w:marLeft w:val="0"/>
      <w:marRight w:val="0"/>
      <w:marTop w:val="0"/>
      <w:marBottom w:val="0"/>
      <w:divBdr>
        <w:top w:val="none" w:sz="0" w:space="0" w:color="auto"/>
        <w:left w:val="none" w:sz="0" w:space="0" w:color="auto"/>
        <w:bottom w:val="none" w:sz="0" w:space="0" w:color="auto"/>
        <w:right w:val="none" w:sz="0" w:space="0" w:color="auto"/>
      </w:divBdr>
    </w:div>
    <w:div w:id="1315376219">
      <w:bodyDiv w:val="1"/>
      <w:marLeft w:val="0"/>
      <w:marRight w:val="0"/>
      <w:marTop w:val="0"/>
      <w:marBottom w:val="0"/>
      <w:divBdr>
        <w:top w:val="none" w:sz="0" w:space="0" w:color="auto"/>
        <w:left w:val="none" w:sz="0" w:space="0" w:color="auto"/>
        <w:bottom w:val="none" w:sz="0" w:space="0" w:color="auto"/>
        <w:right w:val="none" w:sz="0" w:space="0" w:color="auto"/>
      </w:divBdr>
    </w:div>
    <w:div w:id="1346247587">
      <w:bodyDiv w:val="1"/>
      <w:marLeft w:val="0"/>
      <w:marRight w:val="0"/>
      <w:marTop w:val="0"/>
      <w:marBottom w:val="0"/>
      <w:divBdr>
        <w:top w:val="none" w:sz="0" w:space="0" w:color="auto"/>
        <w:left w:val="none" w:sz="0" w:space="0" w:color="auto"/>
        <w:bottom w:val="none" w:sz="0" w:space="0" w:color="auto"/>
        <w:right w:val="none" w:sz="0" w:space="0" w:color="auto"/>
      </w:divBdr>
    </w:div>
    <w:div w:id="1359966448">
      <w:bodyDiv w:val="1"/>
      <w:marLeft w:val="0"/>
      <w:marRight w:val="0"/>
      <w:marTop w:val="0"/>
      <w:marBottom w:val="0"/>
      <w:divBdr>
        <w:top w:val="none" w:sz="0" w:space="0" w:color="auto"/>
        <w:left w:val="none" w:sz="0" w:space="0" w:color="auto"/>
        <w:bottom w:val="none" w:sz="0" w:space="0" w:color="auto"/>
        <w:right w:val="none" w:sz="0" w:space="0" w:color="auto"/>
      </w:divBdr>
    </w:div>
    <w:div w:id="1378159939">
      <w:bodyDiv w:val="1"/>
      <w:marLeft w:val="0"/>
      <w:marRight w:val="0"/>
      <w:marTop w:val="0"/>
      <w:marBottom w:val="0"/>
      <w:divBdr>
        <w:top w:val="none" w:sz="0" w:space="0" w:color="auto"/>
        <w:left w:val="none" w:sz="0" w:space="0" w:color="auto"/>
        <w:bottom w:val="none" w:sz="0" w:space="0" w:color="auto"/>
        <w:right w:val="none" w:sz="0" w:space="0" w:color="auto"/>
      </w:divBdr>
      <w:divsChild>
        <w:div w:id="308628844">
          <w:marLeft w:val="0"/>
          <w:marRight w:val="0"/>
          <w:marTop w:val="0"/>
          <w:marBottom w:val="0"/>
          <w:divBdr>
            <w:top w:val="none" w:sz="0" w:space="0" w:color="auto"/>
            <w:left w:val="none" w:sz="0" w:space="0" w:color="auto"/>
            <w:bottom w:val="none" w:sz="0" w:space="0" w:color="auto"/>
            <w:right w:val="none" w:sz="0" w:space="0" w:color="auto"/>
          </w:divBdr>
        </w:div>
        <w:div w:id="1227840277">
          <w:marLeft w:val="0"/>
          <w:marRight w:val="0"/>
          <w:marTop w:val="0"/>
          <w:marBottom w:val="0"/>
          <w:divBdr>
            <w:top w:val="none" w:sz="0" w:space="0" w:color="auto"/>
            <w:left w:val="none" w:sz="0" w:space="0" w:color="auto"/>
            <w:bottom w:val="none" w:sz="0" w:space="0" w:color="auto"/>
            <w:right w:val="none" w:sz="0" w:space="0" w:color="auto"/>
          </w:divBdr>
        </w:div>
        <w:div w:id="1547374227">
          <w:marLeft w:val="0"/>
          <w:marRight w:val="0"/>
          <w:marTop w:val="0"/>
          <w:marBottom w:val="0"/>
          <w:divBdr>
            <w:top w:val="none" w:sz="0" w:space="0" w:color="auto"/>
            <w:left w:val="none" w:sz="0" w:space="0" w:color="auto"/>
            <w:bottom w:val="none" w:sz="0" w:space="0" w:color="auto"/>
            <w:right w:val="none" w:sz="0" w:space="0" w:color="auto"/>
          </w:divBdr>
        </w:div>
        <w:div w:id="754933000">
          <w:marLeft w:val="0"/>
          <w:marRight w:val="0"/>
          <w:marTop w:val="0"/>
          <w:marBottom w:val="0"/>
          <w:divBdr>
            <w:top w:val="none" w:sz="0" w:space="0" w:color="auto"/>
            <w:left w:val="none" w:sz="0" w:space="0" w:color="auto"/>
            <w:bottom w:val="none" w:sz="0" w:space="0" w:color="auto"/>
            <w:right w:val="none" w:sz="0" w:space="0" w:color="auto"/>
          </w:divBdr>
        </w:div>
      </w:divsChild>
    </w:div>
    <w:div w:id="1499348524">
      <w:bodyDiv w:val="1"/>
      <w:marLeft w:val="0"/>
      <w:marRight w:val="0"/>
      <w:marTop w:val="0"/>
      <w:marBottom w:val="0"/>
      <w:divBdr>
        <w:top w:val="none" w:sz="0" w:space="0" w:color="auto"/>
        <w:left w:val="none" w:sz="0" w:space="0" w:color="auto"/>
        <w:bottom w:val="none" w:sz="0" w:space="0" w:color="auto"/>
        <w:right w:val="none" w:sz="0" w:space="0" w:color="auto"/>
      </w:divBdr>
    </w:div>
    <w:div w:id="1510683388">
      <w:bodyDiv w:val="1"/>
      <w:marLeft w:val="0"/>
      <w:marRight w:val="0"/>
      <w:marTop w:val="0"/>
      <w:marBottom w:val="0"/>
      <w:divBdr>
        <w:top w:val="none" w:sz="0" w:space="0" w:color="auto"/>
        <w:left w:val="none" w:sz="0" w:space="0" w:color="auto"/>
        <w:bottom w:val="none" w:sz="0" w:space="0" w:color="auto"/>
        <w:right w:val="none" w:sz="0" w:space="0" w:color="auto"/>
      </w:divBdr>
    </w:div>
    <w:div w:id="1529951891">
      <w:bodyDiv w:val="1"/>
      <w:marLeft w:val="0"/>
      <w:marRight w:val="0"/>
      <w:marTop w:val="0"/>
      <w:marBottom w:val="0"/>
      <w:divBdr>
        <w:top w:val="none" w:sz="0" w:space="0" w:color="auto"/>
        <w:left w:val="none" w:sz="0" w:space="0" w:color="auto"/>
        <w:bottom w:val="none" w:sz="0" w:space="0" w:color="auto"/>
        <w:right w:val="none" w:sz="0" w:space="0" w:color="auto"/>
      </w:divBdr>
    </w:div>
    <w:div w:id="1561356616">
      <w:bodyDiv w:val="1"/>
      <w:marLeft w:val="0"/>
      <w:marRight w:val="0"/>
      <w:marTop w:val="0"/>
      <w:marBottom w:val="0"/>
      <w:divBdr>
        <w:top w:val="none" w:sz="0" w:space="0" w:color="auto"/>
        <w:left w:val="none" w:sz="0" w:space="0" w:color="auto"/>
        <w:bottom w:val="none" w:sz="0" w:space="0" w:color="auto"/>
        <w:right w:val="none" w:sz="0" w:space="0" w:color="auto"/>
      </w:divBdr>
    </w:div>
    <w:div w:id="1582979997">
      <w:bodyDiv w:val="1"/>
      <w:marLeft w:val="0"/>
      <w:marRight w:val="0"/>
      <w:marTop w:val="0"/>
      <w:marBottom w:val="0"/>
      <w:divBdr>
        <w:top w:val="none" w:sz="0" w:space="0" w:color="auto"/>
        <w:left w:val="none" w:sz="0" w:space="0" w:color="auto"/>
        <w:bottom w:val="none" w:sz="0" w:space="0" w:color="auto"/>
        <w:right w:val="none" w:sz="0" w:space="0" w:color="auto"/>
      </w:divBdr>
    </w:div>
    <w:div w:id="1717267730">
      <w:bodyDiv w:val="1"/>
      <w:marLeft w:val="0"/>
      <w:marRight w:val="0"/>
      <w:marTop w:val="0"/>
      <w:marBottom w:val="0"/>
      <w:divBdr>
        <w:top w:val="none" w:sz="0" w:space="0" w:color="auto"/>
        <w:left w:val="none" w:sz="0" w:space="0" w:color="auto"/>
        <w:bottom w:val="none" w:sz="0" w:space="0" w:color="auto"/>
        <w:right w:val="none" w:sz="0" w:space="0" w:color="auto"/>
      </w:divBdr>
    </w:div>
    <w:div w:id="1727146784">
      <w:bodyDiv w:val="1"/>
      <w:marLeft w:val="0"/>
      <w:marRight w:val="0"/>
      <w:marTop w:val="0"/>
      <w:marBottom w:val="0"/>
      <w:divBdr>
        <w:top w:val="none" w:sz="0" w:space="0" w:color="auto"/>
        <w:left w:val="none" w:sz="0" w:space="0" w:color="auto"/>
        <w:bottom w:val="none" w:sz="0" w:space="0" w:color="auto"/>
        <w:right w:val="none" w:sz="0" w:space="0" w:color="auto"/>
      </w:divBdr>
    </w:div>
    <w:div w:id="1761828252">
      <w:bodyDiv w:val="1"/>
      <w:marLeft w:val="0"/>
      <w:marRight w:val="0"/>
      <w:marTop w:val="0"/>
      <w:marBottom w:val="0"/>
      <w:divBdr>
        <w:top w:val="none" w:sz="0" w:space="0" w:color="auto"/>
        <w:left w:val="none" w:sz="0" w:space="0" w:color="auto"/>
        <w:bottom w:val="none" w:sz="0" w:space="0" w:color="auto"/>
        <w:right w:val="none" w:sz="0" w:space="0" w:color="auto"/>
      </w:divBdr>
    </w:div>
    <w:div w:id="1771510688">
      <w:bodyDiv w:val="1"/>
      <w:marLeft w:val="0"/>
      <w:marRight w:val="0"/>
      <w:marTop w:val="0"/>
      <w:marBottom w:val="0"/>
      <w:divBdr>
        <w:top w:val="none" w:sz="0" w:space="0" w:color="auto"/>
        <w:left w:val="none" w:sz="0" w:space="0" w:color="auto"/>
        <w:bottom w:val="none" w:sz="0" w:space="0" w:color="auto"/>
        <w:right w:val="none" w:sz="0" w:space="0" w:color="auto"/>
      </w:divBdr>
    </w:div>
    <w:div w:id="1780950955">
      <w:bodyDiv w:val="1"/>
      <w:marLeft w:val="0"/>
      <w:marRight w:val="0"/>
      <w:marTop w:val="0"/>
      <w:marBottom w:val="0"/>
      <w:divBdr>
        <w:top w:val="none" w:sz="0" w:space="0" w:color="auto"/>
        <w:left w:val="none" w:sz="0" w:space="0" w:color="auto"/>
        <w:bottom w:val="none" w:sz="0" w:space="0" w:color="auto"/>
        <w:right w:val="none" w:sz="0" w:space="0" w:color="auto"/>
      </w:divBdr>
    </w:div>
    <w:div w:id="1808160617">
      <w:bodyDiv w:val="1"/>
      <w:marLeft w:val="0"/>
      <w:marRight w:val="0"/>
      <w:marTop w:val="0"/>
      <w:marBottom w:val="0"/>
      <w:divBdr>
        <w:top w:val="none" w:sz="0" w:space="0" w:color="auto"/>
        <w:left w:val="none" w:sz="0" w:space="0" w:color="auto"/>
        <w:bottom w:val="none" w:sz="0" w:space="0" w:color="auto"/>
        <w:right w:val="none" w:sz="0" w:space="0" w:color="auto"/>
      </w:divBdr>
    </w:div>
    <w:div w:id="1847865713">
      <w:bodyDiv w:val="1"/>
      <w:marLeft w:val="0"/>
      <w:marRight w:val="0"/>
      <w:marTop w:val="0"/>
      <w:marBottom w:val="0"/>
      <w:divBdr>
        <w:top w:val="none" w:sz="0" w:space="0" w:color="auto"/>
        <w:left w:val="none" w:sz="0" w:space="0" w:color="auto"/>
        <w:bottom w:val="none" w:sz="0" w:space="0" w:color="auto"/>
        <w:right w:val="none" w:sz="0" w:space="0" w:color="auto"/>
      </w:divBdr>
    </w:div>
    <w:div w:id="1864368220">
      <w:bodyDiv w:val="1"/>
      <w:marLeft w:val="0"/>
      <w:marRight w:val="0"/>
      <w:marTop w:val="0"/>
      <w:marBottom w:val="0"/>
      <w:divBdr>
        <w:top w:val="none" w:sz="0" w:space="0" w:color="auto"/>
        <w:left w:val="none" w:sz="0" w:space="0" w:color="auto"/>
        <w:bottom w:val="none" w:sz="0" w:space="0" w:color="auto"/>
        <w:right w:val="none" w:sz="0" w:space="0" w:color="auto"/>
      </w:divBdr>
    </w:div>
    <w:div w:id="1914661328">
      <w:bodyDiv w:val="1"/>
      <w:marLeft w:val="0"/>
      <w:marRight w:val="0"/>
      <w:marTop w:val="0"/>
      <w:marBottom w:val="0"/>
      <w:divBdr>
        <w:top w:val="none" w:sz="0" w:space="0" w:color="auto"/>
        <w:left w:val="none" w:sz="0" w:space="0" w:color="auto"/>
        <w:bottom w:val="none" w:sz="0" w:space="0" w:color="auto"/>
        <w:right w:val="none" w:sz="0" w:space="0" w:color="auto"/>
      </w:divBdr>
    </w:div>
    <w:div w:id="1976522988">
      <w:bodyDiv w:val="1"/>
      <w:marLeft w:val="0"/>
      <w:marRight w:val="0"/>
      <w:marTop w:val="0"/>
      <w:marBottom w:val="0"/>
      <w:divBdr>
        <w:top w:val="none" w:sz="0" w:space="0" w:color="auto"/>
        <w:left w:val="none" w:sz="0" w:space="0" w:color="auto"/>
        <w:bottom w:val="none" w:sz="0" w:space="0" w:color="auto"/>
        <w:right w:val="none" w:sz="0" w:space="0" w:color="auto"/>
      </w:divBdr>
    </w:div>
    <w:div w:id="1998610481">
      <w:bodyDiv w:val="1"/>
      <w:marLeft w:val="0"/>
      <w:marRight w:val="0"/>
      <w:marTop w:val="0"/>
      <w:marBottom w:val="0"/>
      <w:divBdr>
        <w:top w:val="none" w:sz="0" w:space="0" w:color="auto"/>
        <w:left w:val="none" w:sz="0" w:space="0" w:color="auto"/>
        <w:bottom w:val="none" w:sz="0" w:space="0" w:color="auto"/>
        <w:right w:val="none" w:sz="0" w:space="0" w:color="auto"/>
      </w:divBdr>
    </w:div>
    <w:div w:id="1999069616">
      <w:bodyDiv w:val="1"/>
      <w:marLeft w:val="0"/>
      <w:marRight w:val="0"/>
      <w:marTop w:val="0"/>
      <w:marBottom w:val="0"/>
      <w:divBdr>
        <w:top w:val="none" w:sz="0" w:space="0" w:color="auto"/>
        <w:left w:val="none" w:sz="0" w:space="0" w:color="auto"/>
        <w:bottom w:val="none" w:sz="0" w:space="0" w:color="auto"/>
        <w:right w:val="none" w:sz="0" w:space="0" w:color="auto"/>
      </w:divBdr>
    </w:div>
    <w:div w:id="2011907584">
      <w:bodyDiv w:val="1"/>
      <w:marLeft w:val="0"/>
      <w:marRight w:val="0"/>
      <w:marTop w:val="0"/>
      <w:marBottom w:val="0"/>
      <w:divBdr>
        <w:top w:val="none" w:sz="0" w:space="0" w:color="auto"/>
        <w:left w:val="none" w:sz="0" w:space="0" w:color="auto"/>
        <w:bottom w:val="none" w:sz="0" w:space="0" w:color="auto"/>
        <w:right w:val="none" w:sz="0" w:space="0" w:color="auto"/>
      </w:divBdr>
    </w:div>
    <w:div w:id="2024240778">
      <w:bodyDiv w:val="1"/>
      <w:marLeft w:val="0"/>
      <w:marRight w:val="0"/>
      <w:marTop w:val="0"/>
      <w:marBottom w:val="0"/>
      <w:divBdr>
        <w:top w:val="none" w:sz="0" w:space="0" w:color="auto"/>
        <w:left w:val="none" w:sz="0" w:space="0" w:color="auto"/>
        <w:bottom w:val="none" w:sz="0" w:space="0" w:color="auto"/>
        <w:right w:val="none" w:sz="0" w:space="0" w:color="auto"/>
      </w:divBdr>
    </w:div>
    <w:div w:id="2038433832">
      <w:bodyDiv w:val="1"/>
      <w:marLeft w:val="0"/>
      <w:marRight w:val="0"/>
      <w:marTop w:val="0"/>
      <w:marBottom w:val="0"/>
      <w:divBdr>
        <w:top w:val="none" w:sz="0" w:space="0" w:color="auto"/>
        <w:left w:val="none" w:sz="0" w:space="0" w:color="auto"/>
        <w:bottom w:val="none" w:sz="0" w:space="0" w:color="auto"/>
        <w:right w:val="none" w:sz="0" w:space="0" w:color="auto"/>
      </w:divBdr>
    </w:div>
    <w:div w:id="2040665789">
      <w:bodyDiv w:val="1"/>
      <w:marLeft w:val="0"/>
      <w:marRight w:val="0"/>
      <w:marTop w:val="0"/>
      <w:marBottom w:val="0"/>
      <w:divBdr>
        <w:top w:val="none" w:sz="0" w:space="0" w:color="auto"/>
        <w:left w:val="none" w:sz="0" w:space="0" w:color="auto"/>
        <w:bottom w:val="none" w:sz="0" w:space="0" w:color="auto"/>
        <w:right w:val="none" w:sz="0" w:space="0" w:color="auto"/>
      </w:divBdr>
    </w:div>
    <w:div w:id="2053571216">
      <w:bodyDiv w:val="1"/>
      <w:marLeft w:val="0"/>
      <w:marRight w:val="0"/>
      <w:marTop w:val="0"/>
      <w:marBottom w:val="0"/>
      <w:divBdr>
        <w:top w:val="none" w:sz="0" w:space="0" w:color="auto"/>
        <w:left w:val="none" w:sz="0" w:space="0" w:color="auto"/>
        <w:bottom w:val="none" w:sz="0" w:space="0" w:color="auto"/>
        <w:right w:val="none" w:sz="0" w:space="0" w:color="auto"/>
      </w:divBdr>
    </w:div>
    <w:div w:id="2066367592">
      <w:bodyDiv w:val="1"/>
      <w:marLeft w:val="0"/>
      <w:marRight w:val="0"/>
      <w:marTop w:val="0"/>
      <w:marBottom w:val="0"/>
      <w:divBdr>
        <w:top w:val="none" w:sz="0" w:space="0" w:color="auto"/>
        <w:left w:val="none" w:sz="0" w:space="0" w:color="auto"/>
        <w:bottom w:val="none" w:sz="0" w:space="0" w:color="auto"/>
        <w:right w:val="none" w:sz="0" w:space="0" w:color="auto"/>
      </w:divBdr>
    </w:div>
    <w:div w:id="2080472437">
      <w:bodyDiv w:val="1"/>
      <w:marLeft w:val="0"/>
      <w:marRight w:val="0"/>
      <w:marTop w:val="0"/>
      <w:marBottom w:val="0"/>
      <w:divBdr>
        <w:top w:val="none" w:sz="0" w:space="0" w:color="auto"/>
        <w:left w:val="none" w:sz="0" w:space="0" w:color="auto"/>
        <w:bottom w:val="none" w:sz="0" w:space="0" w:color="auto"/>
        <w:right w:val="none" w:sz="0" w:space="0" w:color="auto"/>
      </w:divBdr>
    </w:div>
    <w:div w:id="2121022663">
      <w:bodyDiv w:val="1"/>
      <w:marLeft w:val="0"/>
      <w:marRight w:val="0"/>
      <w:marTop w:val="0"/>
      <w:marBottom w:val="0"/>
      <w:divBdr>
        <w:top w:val="none" w:sz="0" w:space="0" w:color="auto"/>
        <w:left w:val="none" w:sz="0" w:space="0" w:color="auto"/>
        <w:bottom w:val="none" w:sz="0" w:space="0" w:color="auto"/>
        <w:right w:val="none" w:sz="0" w:space="0" w:color="auto"/>
      </w:divBdr>
    </w:div>
    <w:div w:id="2132899135">
      <w:bodyDiv w:val="1"/>
      <w:marLeft w:val="0"/>
      <w:marRight w:val="0"/>
      <w:marTop w:val="0"/>
      <w:marBottom w:val="0"/>
      <w:divBdr>
        <w:top w:val="none" w:sz="0" w:space="0" w:color="auto"/>
        <w:left w:val="none" w:sz="0" w:space="0" w:color="auto"/>
        <w:bottom w:val="none" w:sz="0" w:space="0" w:color="auto"/>
        <w:right w:val="none" w:sz="0" w:space="0" w:color="auto"/>
      </w:divBdr>
    </w:div>
    <w:div w:id="214403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urgita%20Bagdoniene\Documents\SVP%20&#302;GYVENDINIMO%20VERTINIMAS\2020\Vertinimas\Pagr%20VV&#302;%20rodikliai.od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rgita%20Bagdoniene\Documents\SVP%20&#302;GYVENDINIMO%20VERTINIMAS\2020\Vertinimas\Pagr%20VV&#302;%20rodikliai.od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rgita%20Bagdoniene\Documents\SVP%20&#302;GYVENDINIMO%20VERTINIMAS\2020\Vertinimas\VIS&#370;%20VV&#3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urgita%20Bagdoniene\Documents\SVP%20&#302;GYVENDINIMO%20VERTINIMAS\2020\Vertinimas\Pagr%20VV&#302;%20rodikliai.od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Segoe Ul"/>
                <a:ea typeface="+mn-ea"/>
                <a:cs typeface="+mn-cs"/>
              </a:defRPr>
            </a:pPr>
            <a:r>
              <a:rPr lang="lt-LT" sz="800" b="1">
                <a:latin typeface="Segoe Ul"/>
              </a:rPr>
              <a:t>Vidutinis rodiklių skaičius, vnt.</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Segoe Ul"/>
              <a:ea typeface="+mn-ea"/>
              <a:cs typeface="+mn-cs"/>
            </a:defRPr>
          </a:pPr>
          <a:endParaRPr lang="lt-LT"/>
        </a:p>
      </c:txPr>
    </c:title>
    <c:autoTitleDeleted val="0"/>
    <c:plotArea>
      <c:layout/>
      <c:barChart>
        <c:barDir val="col"/>
        <c:grouping val="clustered"/>
        <c:varyColors val="0"/>
        <c:ser>
          <c:idx val="0"/>
          <c:order val="0"/>
          <c:tx>
            <c:strRef>
              <c:f>grafikai!$C$4</c:f>
              <c:strCache>
                <c:ptCount val="1"/>
                <c:pt idx="0">
                  <c:v>2019</c:v>
                </c:pt>
              </c:strCache>
            </c:strRef>
          </c:tx>
          <c:spPr>
            <a:solidFill>
              <a:schemeClr val="bg2">
                <a:lumMod val="90000"/>
              </a:schemeClr>
            </a:solidFill>
            <a:ln>
              <a:noFill/>
            </a:ln>
            <a:effectLst/>
          </c:spPr>
          <c:invertIfNegative val="0"/>
          <c:cat>
            <c:strRef>
              <c:f>grafikai!$B$5:$B$6</c:f>
              <c:strCache>
                <c:ptCount val="2"/>
                <c:pt idx="0">
                  <c:v>Finansiniai </c:v>
                </c:pt>
                <c:pt idx="1">
                  <c:v>Nefinansiniai </c:v>
                </c:pt>
              </c:strCache>
            </c:strRef>
          </c:cat>
          <c:val>
            <c:numRef>
              <c:f>grafikai!$C$5:$C$6</c:f>
              <c:numCache>
                <c:formatCode>#,##0</c:formatCode>
                <c:ptCount val="2"/>
                <c:pt idx="0">
                  <c:v>6</c:v>
                </c:pt>
                <c:pt idx="1">
                  <c:v>20</c:v>
                </c:pt>
              </c:numCache>
            </c:numRef>
          </c:val>
          <c:extLst>
            <c:ext xmlns:c16="http://schemas.microsoft.com/office/drawing/2014/chart" uri="{C3380CC4-5D6E-409C-BE32-E72D297353CC}">
              <c16:uniqueId val="{00000000-3A6C-4153-8391-56A22E8B5F3A}"/>
            </c:ext>
          </c:extLst>
        </c:ser>
        <c:ser>
          <c:idx val="1"/>
          <c:order val="1"/>
          <c:tx>
            <c:strRef>
              <c:f>grafikai!$D$4</c:f>
              <c:strCache>
                <c:ptCount val="1"/>
                <c:pt idx="0">
                  <c:v>2020</c:v>
                </c:pt>
              </c:strCache>
            </c:strRef>
          </c:tx>
          <c:spPr>
            <a:solidFill>
              <a:schemeClr val="tx2">
                <a:lumMod val="75000"/>
              </a:schemeClr>
            </a:solidFill>
            <a:ln>
              <a:noFill/>
            </a:ln>
            <a:effectLst/>
          </c:spPr>
          <c:invertIfNegative val="0"/>
          <c:cat>
            <c:strRef>
              <c:f>grafikai!$B$5:$B$6</c:f>
              <c:strCache>
                <c:ptCount val="2"/>
                <c:pt idx="0">
                  <c:v>Finansiniai </c:v>
                </c:pt>
                <c:pt idx="1">
                  <c:v>Nefinansiniai </c:v>
                </c:pt>
              </c:strCache>
            </c:strRef>
          </c:cat>
          <c:val>
            <c:numRef>
              <c:f>grafikai!$D$5:$D$6</c:f>
              <c:numCache>
                <c:formatCode>#,##0</c:formatCode>
                <c:ptCount val="2"/>
                <c:pt idx="0">
                  <c:v>6</c:v>
                </c:pt>
                <c:pt idx="1">
                  <c:v>19</c:v>
                </c:pt>
              </c:numCache>
            </c:numRef>
          </c:val>
          <c:extLst>
            <c:ext xmlns:c16="http://schemas.microsoft.com/office/drawing/2014/chart" uri="{C3380CC4-5D6E-409C-BE32-E72D297353CC}">
              <c16:uniqueId val="{00000001-3A6C-4153-8391-56A22E8B5F3A}"/>
            </c:ext>
          </c:extLst>
        </c:ser>
        <c:dLbls>
          <c:showLegendKey val="0"/>
          <c:showVal val="0"/>
          <c:showCatName val="0"/>
          <c:showSerName val="0"/>
          <c:showPercent val="0"/>
          <c:showBubbleSize val="0"/>
        </c:dLbls>
        <c:gapWidth val="219"/>
        <c:overlap val="-27"/>
        <c:axId val="125750447"/>
        <c:axId val="125750863"/>
      </c:barChart>
      <c:catAx>
        <c:axId val="125750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crossAx val="125750863"/>
        <c:crosses val="autoZero"/>
        <c:auto val="1"/>
        <c:lblAlgn val="ctr"/>
        <c:lblOffset val="100"/>
        <c:noMultiLvlLbl val="0"/>
      </c:catAx>
      <c:valAx>
        <c:axId val="125750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crossAx val="125750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legend>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lt-LT" sz="800" b="1">
                <a:latin typeface="Segoe Ul"/>
              </a:rPr>
              <a:t>Įgyvendinimas vidutiniškai, proc.</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grafikai!$C$19</c:f>
              <c:strCache>
                <c:ptCount val="1"/>
                <c:pt idx="0">
                  <c:v>2019</c:v>
                </c:pt>
              </c:strCache>
            </c:strRef>
          </c:tx>
          <c:spPr>
            <a:solidFill>
              <a:schemeClr val="bg2">
                <a:lumMod val="90000"/>
              </a:schemeClr>
            </a:solidFill>
            <a:ln>
              <a:noFill/>
            </a:ln>
            <a:effectLst/>
          </c:spPr>
          <c:invertIfNegative val="0"/>
          <c:cat>
            <c:strRef>
              <c:f>grafikai!$B$20:$B$21</c:f>
              <c:strCache>
                <c:ptCount val="2"/>
                <c:pt idx="0">
                  <c:v>Finansinių</c:v>
                </c:pt>
                <c:pt idx="1">
                  <c:v>Nefinansinių</c:v>
                </c:pt>
              </c:strCache>
            </c:strRef>
          </c:cat>
          <c:val>
            <c:numRef>
              <c:f>grafikai!$C$20:$C$21</c:f>
              <c:numCache>
                <c:formatCode>0.0%</c:formatCode>
                <c:ptCount val="2"/>
                <c:pt idx="0">
                  <c:v>0.75</c:v>
                </c:pt>
                <c:pt idx="1">
                  <c:v>0.74</c:v>
                </c:pt>
              </c:numCache>
            </c:numRef>
          </c:val>
          <c:extLst>
            <c:ext xmlns:c16="http://schemas.microsoft.com/office/drawing/2014/chart" uri="{C3380CC4-5D6E-409C-BE32-E72D297353CC}">
              <c16:uniqueId val="{00000000-3B34-4839-A3E5-B32CFB8B1B64}"/>
            </c:ext>
          </c:extLst>
        </c:ser>
        <c:ser>
          <c:idx val="1"/>
          <c:order val="1"/>
          <c:tx>
            <c:strRef>
              <c:f>grafikai!$D$19</c:f>
              <c:strCache>
                <c:ptCount val="1"/>
                <c:pt idx="0">
                  <c:v>2020</c:v>
                </c:pt>
              </c:strCache>
            </c:strRef>
          </c:tx>
          <c:spPr>
            <a:solidFill>
              <a:schemeClr val="tx2">
                <a:lumMod val="75000"/>
              </a:schemeClr>
            </a:solidFill>
            <a:ln>
              <a:noFill/>
            </a:ln>
            <a:effectLst/>
          </c:spPr>
          <c:invertIfNegative val="0"/>
          <c:cat>
            <c:strRef>
              <c:f>grafikai!$B$20:$B$21</c:f>
              <c:strCache>
                <c:ptCount val="2"/>
                <c:pt idx="0">
                  <c:v>Finansinių</c:v>
                </c:pt>
                <c:pt idx="1">
                  <c:v>Nefinansinių</c:v>
                </c:pt>
              </c:strCache>
            </c:strRef>
          </c:cat>
          <c:val>
            <c:numRef>
              <c:f>grafikai!$D$20:$D$21</c:f>
              <c:numCache>
                <c:formatCode>0.0%</c:formatCode>
                <c:ptCount val="2"/>
                <c:pt idx="0">
                  <c:v>0.74</c:v>
                </c:pt>
                <c:pt idx="1">
                  <c:v>0.77</c:v>
                </c:pt>
              </c:numCache>
            </c:numRef>
          </c:val>
          <c:extLst>
            <c:ext xmlns:c16="http://schemas.microsoft.com/office/drawing/2014/chart" uri="{C3380CC4-5D6E-409C-BE32-E72D297353CC}">
              <c16:uniqueId val="{00000001-3B34-4839-A3E5-B32CFB8B1B64}"/>
            </c:ext>
          </c:extLst>
        </c:ser>
        <c:dLbls>
          <c:showLegendKey val="0"/>
          <c:showVal val="0"/>
          <c:showCatName val="0"/>
          <c:showSerName val="0"/>
          <c:showPercent val="0"/>
          <c:showBubbleSize val="0"/>
        </c:dLbls>
        <c:gapWidth val="219"/>
        <c:overlap val="-27"/>
        <c:axId val="2010038175"/>
        <c:axId val="2010039423"/>
      </c:barChart>
      <c:catAx>
        <c:axId val="2010038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crossAx val="2010039423"/>
        <c:crosses val="autoZero"/>
        <c:auto val="1"/>
        <c:lblAlgn val="ctr"/>
        <c:lblOffset val="100"/>
        <c:noMultiLvlLbl val="0"/>
      </c:catAx>
      <c:valAx>
        <c:axId val="2010039423"/>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crossAx val="2010038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'Vertinimo įrankis'!$D$13</c:f>
              <c:strCache>
                <c:ptCount val="1"/>
                <c:pt idx="0">
                  <c:v>Įverčiai</c:v>
                </c:pt>
              </c:strCache>
            </c:strRef>
          </c:tx>
          <c:spPr>
            <a:ln w="19050" cap="rnd">
              <a:solidFill>
                <a:schemeClr val="tx2">
                  <a:lumMod val="75000"/>
                </a:schemeClr>
              </a:solidFill>
              <a:round/>
            </a:ln>
            <a:effectLst/>
          </c:spPr>
          <c:marker>
            <c:symbol val="none"/>
          </c:marker>
          <c:cat>
            <c:strRef>
              <c:f>'Vertinimo įrankis'!$C$14:$C$17</c:f>
              <c:strCache>
                <c:ptCount val="4"/>
                <c:pt idx="0">
                  <c:v>SVPĮ ataskaitos kokybė</c:v>
                </c:pt>
                <c:pt idx="1">
                  <c:v>Tinkamas finansinio akcininko lūkesčio pelningumui atspindėjimas ir įgyvendinimas</c:v>
                </c:pt>
                <c:pt idx="2">
                  <c:v>Kiti, nei akcininko keliami, finansiniai tikslai ir uždaviniai</c:v>
                </c:pt>
                <c:pt idx="3">
                  <c:v>Visi nefinansiniai tikslai ir uždaviniai</c:v>
                </c:pt>
              </c:strCache>
            </c:strRef>
          </c:cat>
          <c:val>
            <c:numRef>
              <c:f>'Vertinimo įrankis'!$D$14:$D$17</c:f>
              <c:numCache>
                <c:formatCode>0.0%</c:formatCode>
                <c:ptCount val="4"/>
                <c:pt idx="0">
                  <c:v>0.75</c:v>
                </c:pt>
                <c:pt idx="1">
                  <c:v>0.5</c:v>
                </c:pt>
                <c:pt idx="2">
                  <c:v>0.8</c:v>
                </c:pt>
                <c:pt idx="3">
                  <c:v>0.8</c:v>
                </c:pt>
              </c:numCache>
            </c:numRef>
          </c:val>
          <c:extLst>
            <c:ext xmlns:c16="http://schemas.microsoft.com/office/drawing/2014/chart" uri="{C3380CC4-5D6E-409C-BE32-E72D297353CC}">
              <c16:uniqueId val="{00000000-AF88-42E3-BAA0-1496F26CBCAC}"/>
            </c:ext>
          </c:extLst>
        </c:ser>
        <c:dLbls>
          <c:showLegendKey val="0"/>
          <c:showVal val="0"/>
          <c:showCatName val="0"/>
          <c:showSerName val="0"/>
          <c:showPercent val="0"/>
          <c:showBubbleSize val="0"/>
        </c:dLbls>
        <c:axId val="1194076159"/>
        <c:axId val="1194077823"/>
      </c:radarChart>
      <c:catAx>
        <c:axId val="119407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Segoe Ul"/>
                <a:ea typeface="+mn-ea"/>
                <a:cs typeface="+mn-cs"/>
              </a:defRPr>
            </a:pPr>
            <a:endParaRPr lang="lt-LT"/>
          </a:p>
        </c:txPr>
        <c:crossAx val="1194077823"/>
        <c:crosses val="autoZero"/>
        <c:auto val="1"/>
        <c:lblAlgn val="ctr"/>
        <c:lblOffset val="100"/>
        <c:noMultiLvlLbl val="0"/>
      </c:catAx>
      <c:valAx>
        <c:axId val="11940778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crossAx val="1194076159"/>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800" b="1">
                <a:latin typeface="Segoe Ul"/>
              </a:rPr>
              <a:t>Tikslų ir uždavinių įgyvendinimas pagal sektorius 2020 m., proc.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grafikai!$C$39</c:f>
              <c:strCache>
                <c:ptCount val="1"/>
                <c:pt idx="0">
                  <c:v>Finansiniai</c:v>
                </c:pt>
              </c:strCache>
            </c:strRef>
          </c:tx>
          <c:spPr>
            <a:solidFill>
              <a:schemeClr val="bg2">
                <a:lumMod val="90000"/>
              </a:schemeClr>
            </a:solidFill>
            <a:ln>
              <a:noFill/>
            </a:ln>
            <a:effectLst/>
          </c:spPr>
          <c:invertIfNegative val="0"/>
          <c:cat>
            <c:strRef>
              <c:f>grafikai!$B$40:$B$44</c:f>
              <c:strCache>
                <c:ptCount val="5"/>
                <c:pt idx="0">
                  <c:v>Energetika</c:v>
                </c:pt>
                <c:pt idx="1">
                  <c:v>Finansai</c:v>
                </c:pt>
                <c:pt idx="2">
                  <c:v>Susisiekimas</c:v>
                </c:pt>
                <c:pt idx="3">
                  <c:v>Žemės ūkis</c:v>
                </c:pt>
                <c:pt idx="4">
                  <c:v>Kita</c:v>
                </c:pt>
              </c:strCache>
            </c:strRef>
          </c:cat>
          <c:val>
            <c:numRef>
              <c:f>grafikai!$C$40:$C$44</c:f>
              <c:numCache>
                <c:formatCode>0%</c:formatCode>
                <c:ptCount val="5"/>
                <c:pt idx="0">
                  <c:v>0.8</c:v>
                </c:pt>
                <c:pt idx="1">
                  <c:v>0.94</c:v>
                </c:pt>
                <c:pt idx="2">
                  <c:v>0.54</c:v>
                </c:pt>
                <c:pt idx="3">
                  <c:v>0.73</c:v>
                </c:pt>
                <c:pt idx="4">
                  <c:v>0.76</c:v>
                </c:pt>
              </c:numCache>
            </c:numRef>
          </c:val>
          <c:extLst>
            <c:ext xmlns:c16="http://schemas.microsoft.com/office/drawing/2014/chart" uri="{C3380CC4-5D6E-409C-BE32-E72D297353CC}">
              <c16:uniqueId val="{00000000-6C06-47F7-9F05-08B882365493}"/>
            </c:ext>
          </c:extLst>
        </c:ser>
        <c:ser>
          <c:idx val="1"/>
          <c:order val="1"/>
          <c:tx>
            <c:strRef>
              <c:f>grafikai!$D$39</c:f>
              <c:strCache>
                <c:ptCount val="1"/>
                <c:pt idx="0">
                  <c:v>Nefinansiniai</c:v>
                </c:pt>
              </c:strCache>
            </c:strRef>
          </c:tx>
          <c:spPr>
            <a:solidFill>
              <a:schemeClr val="tx2">
                <a:lumMod val="75000"/>
              </a:schemeClr>
            </a:solidFill>
            <a:ln>
              <a:noFill/>
            </a:ln>
            <a:effectLst/>
          </c:spPr>
          <c:invertIfNegative val="0"/>
          <c:cat>
            <c:strRef>
              <c:f>grafikai!$B$40:$B$44</c:f>
              <c:strCache>
                <c:ptCount val="5"/>
                <c:pt idx="0">
                  <c:v>Energetika</c:v>
                </c:pt>
                <c:pt idx="1">
                  <c:v>Finansai</c:v>
                </c:pt>
                <c:pt idx="2">
                  <c:v>Susisiekimas</c:v>
                </c:pt>
                <c:pt idx="3">
                  <c:v>Žemės ūkis</c:v>
                </c:pt>
                <c:pt idx="4">
                  <c:v>Kita</c:v>
                </c:pt>
              </c:strCache>
            </c:strRef>
          </c:cat>
          <c:val>
            <c:numRef>
              <c:f>grafikai!$D$40:$D$44</c:f>
              <c:numCache>
                <c:formatCode>0%</c:formatCode>
                <c:ptCount val="5"/>
                <c:pt idx="0">
                  <c:v>0.65</c:v>
                </c:pt>
                <c:pt idx="1">
                  <c:v>0.77</c:v>
                </c:pt>
                <c:pt idx="2">
                  <c:v>0.71</c:v>
                </c:pt>
                <c:pt idx="3">
                  <c:v>0.78</c:v>
                </c:pt>
                <c:pt idx="4">
                  <c:v>0.83</c:v>
                </c:pt>
              </c:numCache>
            </c:numRef>
          </c:val>
          <c:extLst>
            <c:ext xmlns:c16="http://schemas.microsoft.com/office/drawing/2014/chart" uri="{C3380CC4-5D6E-409C-BE32-E72D297353CC}">
              <c16:uniqueId val="{00000001-6C06-47F7-9F05-08B882365493}"/>
            </c:ext>
          </c:extLst>
        </c:ser>
        <c:dLbls>
          <c:showLegendKey val="0"/>
          <c:showVal val="0"/>
          <c:showCatName val="0"/>
          <c:showSerName val="0"/>
          <c:showPercent val="0"/>
          <c:showBubbleSize val="0"/>
        </c:dLbls>
        <c:gapWidth val="219"/>
        <c:overlap val="-27"/>
        <c:axId val="310878863"/>
        <c:axId val="310880943"/>
      </c:barChart>
      <c:catAx>
        <c:axId val="310878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crossAx val="310880943"/>
        <c:crosses val="autoZero"/>
        <c:auto val="1"/>
        <c:lblAlgn val="ctr"/>
        <c:lblOffset val="100"/>
        <c:noMultiLvlLbl val="0"/>
      </c:catAx>
      <c:valAx>
        <c:axId val="310880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crossAx val="310878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egoe Ul"/>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C2723AFDCCF4CA6C7EEC604096041" ma:contentTypeVersion="13" ma:contentTypeDescription="Create a new document." ma:contentTypeScope="" ma:versionID="3c466a7eacfa2347d06e9173adc672ff">
  <xsd:schema xmlns:xsd="http://www.w3.org/2001/XMLSchema" xmlns:xs="http://www.w3.org/2001/XMLSchema" xmlns:p="http://schemas.microsoft.com/office/2006/metadata/properties" xmlns:ns2="f1908bf9-2dc4-4e3d-b4b9-4cf147fe6e6e" xmlns:ns3="9288e34c-c45f-4c56-ac4f-9af36a368a0a" targetNamespace="http://schemas.microsoft.com/office/2006/metadata/properties" ma:root="true" ma:fieldsID="e1e6f828e1b6ae9541363294f01fbace" ns2:_="" ns3:_="">
    <xsd:import namespace="f1908bf9-2dc4-4e3d-b4b9-4cf147fe6e6e"/>
    <xsd:import namespace="9288e34c-c45f-4c56-ac4f-9af36a368a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08bf9-2dc4-4e3d-b4b9-4cf147fe6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88e34c-c45f-4c56-ac4f-9af36a368a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05D41-23F4-4218-A6EC-43ABCD73C9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10FA15-9ED5-4430-B83B-6B5F9242ED34}">
  <ds:schemaRefs>
    <ds:schemaRef ds:uri="http://schemas.microsoft.com/sharepoint/v3/contenttype/forms"/>
  </ds:schemaRefs>
</ds:datastoreItem>
</file>

<file path=customXml/itemProps3.xml><?xml version="1.0" encoding="utf-8"?>
<ds:datastoreItem xmlns:ds="http://schemas.openxmlformats.org/officeDocument/2006/customXml" ds:itemID="{3BCEE10C-7B69-4C03-A0D9-F7DB300E6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08bf9-2dc4-4e3d-b4b9-4cf147fe6e6e"/>
    <ds:schemaRef ds:uri="9288e34c-c45f-4c56-ac4f-9af36a368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C5FC2A-6F41-4F38-BF27-62930014B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15347</Words>
  <Characters>8748</Characters>
  <Application>Microsoft Office Word</Application>
  <DocSecurity>0</DocSecurity>
  <Lines>72</Lines>
  <Paragraphs>48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24047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BARYS, Marius</dc:creator>
  <cp:keywords/>
  <dc:description/>
  <cp:lastModifiedBy>Čaplikas Arturas</cp:lastModifiedBy>
  <cp:revision>4</cp:revision>
  <cp:lastPrinted>2020-06-28T10:48:00Z</cp:lastPrinted>
  <dcterms:created xsi:type="dcterms:W3CDTF">2021-10-20T06:46:00Z</dcterms:created>
  <dcterms:modified xsi:type="dcterms:W3CDTF">2021-10-20T06:48:00Z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0x010100656C2723AFDCCF4CA6C7EEC604096041</vt:lpwstr>
  </property>
</Properties>
</file>