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C3" w:rsidRPr="00967EC5" w:rsidRDefault="008C17C3" w:rsidP="008C17C3">
      <w:pPr>
        <w:ind w:left="9072"/>
        <w:rPr>
          <w:szCs w:val="24"/>
          <w:lang w:eastAsia="lt-LT"/>
        </w:rPr>
      </w:pPr>
      <w:bookmarkStart w:id="0" w:name="_GoBack"/>
      <w:bookmarkEnd w:id="0"/>
      <w:r w:rsidRPr="00967EC5">
        <w:rPr>
          <w:szCs w:val="24"/>
          <w:lang w:eastAsia="lt-LT"/>
        </w:rPr>
        <w:t>Teisės aktų projektų antikorupcinio vertinimo taisyklių</w:t>
      </w:r>
    </w:p>
    <w:p w:rsidR="008C17C3" w:rsidRPr="00967EC5" w:rsidRDefault="008C17C3" w:rsidP="008C17C3">
      <w:pPr>
        <w:ind w:left="9072"/>
        <w:rPr>
          <w:color w:val="000000"/>
          <w:szCs w:val="24"/>
          <w:lang w:eastAsia="ar-SA"/>
        </w:rPr>
      </w:pPr>
      <w:r w:rsidRPr="00967EC5">
        <w:rPr>
          <w:color w:val="000000"/>
          <w:szCs w:val="24"/>
          <w:lang w:eastAsia="ar-SA"/>
        </w:rPr>
        <w:t>priedas</w:t>
      </w:r>
    </w:p>
    <w:p w:rsidR="008C17C3" w:rsidRPr="00967EC5" w:rsidRDefault="008C17C3" w:rsidP="008C17C3">
      <w:pPr>
        <w:tabs>
          <w:tab w:val="left" w:pos="6237"/>
        </w:tabs>
        <w:rPr>
          <w:color w:val="000000"/>
          <w:szCs w:val="24"/>
          <w:lang w:eastAsia="lt-LT"/>
        </w:rPr>
      </w:pPr>
    </w:p>
    <w:p w:rsidR="008C17C3" w:rsidRPr="0053179C" w:rsidRDefault="00B44257" w:rsidP="00246747">
      <w:pPr>
        <w:jc w:val="center"/>
        <w:rPr>
          <w:szCs w:val="24"/>
          <w:lang w:eastAsia="lt-LT"/>
        </w:rPr>
      </w:pPr>
      <w:r w:rsidRPr="00967EC5">
        <w:rPr>
          <w:b/>
          <w:szCs w:val="24"/>
          <w:lang w:eastAsia="lt-LT"/>
        </w:rPr>
        <w:t>TEISĖS AKT</w:t>
      </w:r>
      <w:r w:rsidR="00BF0036">
        <w:rPr>
          <w:b/>
          <w:szCs w:val="24"/>
          <w:lang w:eastAsia="lt-LT"/>
        </w:rPr>
        <w:t>O</w:t>
      </w:r>
      <w:r w:rsidR="006A081B">
        <w:rPr>
          <w:b/>
          <w:szCs w:val="24"/>
          <w:lang w:eastAsia="lt-LT"/>
        </w:rPr>
        <w:t xml:space="preserve"> </w:t>
      </w:r>
      <w:r w:rsidRPr="00967EC5">
        <w:rPr>
          <w:b/>
          <w:szCs w:val="24"/>
          <w:lang w:eastAsia="lt-LT"/>
        </w:rPr>
        <w:t>PROJEKT</w:t>
      </w:r>
      <w:r w:rsidR="00BF0036">
        <w:rPr>
          <w:b/>
          <w:szCs w:val="24"/>
          <w:lang w:eastAsia="lt-LT"/>
        </w:rPr>
        <w:t>O</w:t>
      </w:r>
      <w:r w:rsidR="008C17C3" w:rsidRPr="00967EC5">
        <w:rPr>
          <w:b/>
          <w:szCs w:val="24"/>
          <w:lang w:eastAsia="lt-LT"/>
        </w:rPr>
        <w:t xml:space="preserve"> ANTIKORUPCINIO VERTINIMO PAŽYMA</w:t>
      </w:r>
      <w:r w:rsidR="0053179C">
        <w:rPr>
          <w:b/>
          <w:szCs w:val="24"/>
          <w:lang w:eastAsia="lt-LT"/>
        </w:rPr>
        <w:t xml:space="preserve"> </w:t>
      </w:r>
      <w:r w:rsidR="0053179C" w:rsidRPr="0053179C">
        <w:rPr>
          <w:szCs w:val="24"/>
          <w:lang w:eastAsia="lt-LT"/>
        </w:rPr>
        <w:t xml:space="preserve">(2021-12-13 Nr. </w:t>
      </w:r>
      <w:r w:rsidR="0053179C" w:rsidRPr="0053179C">
        <w:rPr>
          <w:rStyle w:val="tableentry"/>
        </w:rPr>
        <w:t>(50-1)-D15-2508</w:t>
      </w:r>
      <w:r w:rsidR="0053179C">
        <w:rPr>
          <w:rStyle w:val="tableentry"/>
        </w:rPr>
        <w:t>)</w:t>
      </w:r>
      <w:r w:rsidR="0053179C" w:rsidRPr="0053179C">
        <w:rPr>
          <w:rStyle w:val="tableentry"/>
        </w:rPr>
        <w:t xml:space="preserve"> </w:t>
      </w:r>
    </w:p>
    <w:p w:rsidR="008C17C3" w:rsidRPr="00967EC5" w:rsidRDefault="008C17C3" w:rsidP="008C17C3">
      <w:pPr>
        <w:rPr>
          <w:szCs w:val="24"/>
          <w:lang w:eastAsia="lt-LT"/>
        </w:rPr>
      </w:pPr>
    </w:p>
    <w:p w:rsidR="003A2B09" w:rsidRPr="00AA7D98" w:rsidRDefault="008C17C3" w:rsidP="008B4296">
      <w:pPr>
        <w:jc w:val="both"/>
        <w:rPr>
          <w:caps/>
          <w:szCs w:val="24"/>
        </w:rPr>
      </w:pPr>
      <w:r w:rsidRPr="00960603">
        <w:rPr>
          <w:caps/>
          <w:szCs w:val="24"/>
        </w:rPr>
        <w:t>T</w:t>
      </w:r>
      <w:r w:rsidR="009418CA" w:rsidRPr="00960603">
        <w:rPr>
          <w:szCs w:val="24"/>
        </w:rPr>
        <w:t>eisės akto projekto pavadinimas</w:t>
      </w:r>
      <w:r w:rsidR="0017667D" w:rsidRPr="00960603">
        <w:rPr>
          <w:caps/>
          <w:szCs w:val="24"/>
        </w:rPr>
        <w:t xml:space="preserve">: </w:t>
      </w:r>
      <w:r w:rsidR="00AA7D98" w:rsidRPr="00E1203D">
        <w:t>Lietuvos Respublikos Vyriausybės 2019 m. spalio 30 d. nutarimo Nr. 1080 „Dėl Kuršių nerijos nacionalinio parko tvarkym</w:t>
      </w:r>
      <w:r w:rsidR="00AA7D98">
        <w:t>o plano patvirtinimo“ pakeitimo</w:t>
      </w:r>
      <w:r w:rsidR="00AA7D98" w:rsidRPr="00E1203D">
        <w:t xml:space="preserve"> </w:t>
      </w:r>
      <w:r w:rsidR="00AA7D98">
        <w:t>projektas</w:t>
      </w:r>
      <w:r w:rsidR="00B7512A" w:rsidRPr="00960603">
        <w:rPr>
          <w:szCs w:val="24"/>
        </w:rPr>
        <w:t xml:space="preserve"> </w:t>
      </w:r>
      <w:r w:rsidR="009418CA" w:rsidRPr="00960603">
        <w:rPr>
          <w:szCs w:val="24"/>
        </w:rPr>
        <w:t>(toliau –</w:t>
      </w:r>
      <w:r w:rsidR="00BF0036">
        <w:rPr>
          <w:szCs w:val="24"/>
        </w:rPr>
        <w:t xml:space="preserve"> </w:t>
      </w:r>
      <w:r w:rsidR="009418CA" w:rsidRPr="00960603">
        <w:rPr>
          <w:szCs w:val="24"/>
        </w:rPr>
        <w:t xml:space="preserve">projektas). </w:t>
      </w:r>
    </w:p>
    <w:p w:rsidR="00AA7D98" w:rsidRPr="00AA7D98" w:rsidRDefault="008C17C3" w:rsidP="00AA7D98">
      <w:pPr>
        <w:pStyle w:val="BodyText"/>
        <w:ind w:firstLine="0"/>
      </w:pPr>
      <w:r w:rsidRPr="00960603">
        <w:rPr>
          <w:lang w:eastAsia="lt-LT"/>
        </w:rPr>
        <w:t>Teisės akto projekt</w:t>
      </w:r>
      <w:r w:rsidR="0030417D">
        <w:rPr>
          <w:lang w:eastAsia="lt-LT"/>
        </w:rPr>
        <w:t>o</w:t>
      </w:r>
      <w:r w:rsidRPr="00960603">
        <w:rPr>
          <w:lang w:eastAsia="lt-LT"/>
        </w:rPr>
        <w:t xml:space="preserve"> tiesioginis rengėjas: </w:t>
      </w:r>
      <w:r w:rsidR="00AA7D98" w:rsidRPr="004023DE">
        <w:rPr>
          <w:rFonts w:cs="Times New Roman"/>
          <w:color w:val="000000"/>
        </w:rPr>
        <w:t xml:space="preserve">Aplinkos ministerijos Gamtos apsaugos politikos grupės vyriausiasis specialistas Eduardas Vaitkevičius, tel. 8 616 35 652, el. p. </w:t>
      </w:r>
      <w:hyperlink r:id="rId9" w:history="1">
        <w:r w:rsidR="00AA7D98" w:rsidRPr="00111F64">
          <w:rPr>
            <w:rStyle w:val="Hyperlink"/>
            <w:rFonts w:cs="Times New Roman"/>
          </w:rPr>
          <w:t>eduardas.vaitkevicius</w:t>
        </w:r>
        <w:r w:rsidR="00AA7D98" w:rsidRPr="00111F64">
          <w:rPr>
            <w:rStyle w:val="Hyperlink"/>
            <w:rFonts w:cs="Times New Roman"/>
            <w:lang w:val="en-US"/>
          </w:rPr>
          <w:t>@am.lt</w:t>
        </w:r>
      </w:hyperlink>
      <w:r w:rsidR="00AA7D98">
        <w:rPr>
          <w:rFonts w:cs="Times New Roman"/>
          <w:color w:val="000000"/>
          <w:lang w:val="en-US"/>
        </w:rPr>
        <w:t xml:space="preserve">; </w:t>
      </w:r>
      <w:r w:rsidR="00AA7D98" w:rsidRPr="004023DE">
        <w:rPr>
          <w:spacing w:val="2"/>
        </w:rPr>
        <w:t>Valstybinės saugomų teritorijų tarnybos prie A</w:t>
      </w:r>
      <w:r w:rsidR="00F80BDF">
        <w:rPr>
          <w:spacing w:val="2"/>
        </w:rPr>
        <w:t xml:space="preserve">plinkos ministerijos </w:t>
      </w:r>
      <w:r w:rsidR="00AA7D98">
        <w:t>vyriausioji specialistė</w:t>
      </w:r>
      <w:r w:rsidR="00E277E9">
        <w:t xml:space="preserve"> Laima </w:t>
      </w:r>
      <w:proofErr w:type="spellStart"/>
      <w:r w:rsidR="00E277E9">
        <w:t>Dabregaitė</w:t>
      </w:r>
      <w:proofErr w:type="spellEnd"/>
      <w:r w:rsidR="00AA7D98">
        <w:t xml:space="preserve">, </w:t>
      </w:r>
      <w:r w:rsidR="00AA7D98" w:rsidRPr="004023DE">
        <w:t xml:space="preserve">tel. 8 659 62 909, el. p. </w:t>
      </w:r>
      <w:hyperlink r:id="rId10" w:history="1">
        <w:r w:rsidR="00AA7D98" w:rsidRPr="00111F64">
          <w:rPr>
            <w:rStyle w:val="Hyperlink"/>
          </w:rPr>
          <w:t>laima.dabregaite@vstt.lt</w:t>
        </w:r>
      </w:hyperlink>
      <w:r w:rsidR="00AA7D98">
        <w:t>.</w:t>
      </w:r>
    </w:p>
    <w:p w:rsidR="008C17C3" w:rsidRPr="00960603" w:rsidRDefault="008C17C3" w:rsidP="00246747">
      <w:pPr>
        <w:jc w:val="both"/>
        <w:rPr>
          <w:szCs w:val="24"/>
          <w:lang w:eastAsia="lt-LT"/>
        </w:rPr>
      </w:pPr>
      <w:r w:rsidRPr="00960603">
        <w:rPr>
          <w:szCs w:val="24"/>
          <w:lang w:eastAsia="lt-LT"/>
        </w:rPr>
        <w:t>Antikorupciniu požiūriu rizikingos teisės akt</w:t>
      </w:r>
      <w:r w:rsidR="0030417D">
        <w:rPr>
          <w:szCs w:val="24"/>
          <w:lang w:eastAsia="lt-LT"/>
        </w:rPr>
        <w:t>o</w:t>
      </w:r>
      <w:r w:rsidRPr="00960603">
        <w:rPr>
          <w:szCs w:val="24"/>
          <w:lang w:eastAsia="lt-LT"/>
        </w:rPr>
        <w:t xml:space="preserve"> projekt</w:t>
      </w:r>
      <w:r w:rsidR="0030417D">
        <w:rPr>
          <w:szCs w:val="24"/>
          <w:lang w:eastAsia="lt-LT"/>
        </w:rPr>
        <w:t>o</w:t>
      </w:r>
      <w:r w:rsidRPr="00960603">
        <w:rPr>
          <w:szCs w:val="24"/>
          <w:lang w:eastAsia="lt-LT"/>
        </w:rPr>
        <w:t xml:space="preserve"> nuostatos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1"/>
      </w:r>
      <w:r w:rsidRPr="00960603">
        <w:rPr>
          <w:szCs w:val="24"/>
          <w:lang w:eastAsia="lt-LT"/>
        </w:rPr>
        <w:t>: nėra</w:t>
      </w:r>
      <w:r w:rsidR="00F80BDF">
        <w:rPr>
          <w:szCs w:val="24"/>
          <w:lang w:eastAsia="lt-LT"/>
        </w:rPr>
        <w:t xml:space="preserve">. </w:t>
      </w:r>
    </w:p>
    <w:p w:rsidR="008C17C3" w:rsidRPr="00960603" w:rsidRDefault="008C17C3" w:rsidP="00246747">
      <w:pPr>
        <w:jc w:val="both"/>
        <w:rPr>
          <w:szCs w:val="24"/>
          <w:lang w:eastAsia="lt-LT"/>
        </w:rPr>
      </w:pPr>
      <w:r w:rsidRPr="00960603">
        <w:rPr>
          <w:szCs w:val="24"/>
          <w:lang w:eastAsia="lt-LT"/>
        </w:rPr>
        <w:t>Antikorupciniu požiūriu rizikingos teisės akt</w:t>
      </w:r>
      <w:r w:rsidR="00E02153">
        <w:rPr>
          <w:szCs w:val="24"/>
          <w:lang w:eastAsia="lt-LT"/>
        </w:rPr>
        <w:t>ų</w:t>
      </w:r>
      <w:r w:rsidRPr="00960603">
        <w:rPr>
          <w:szCs w:val="24"/>
          <w:lang w:eastAsia="lt-LT"/>
        </w:rPr>
        <w:t xml:space="preserve"> projekt</w:t>
      </w:r>
      <w:r w:rsidR="00E02153">
        <w:rPr>
          <w:szCs w:val="24"/>
          <w:lang w:eastAsia="lt-LT"/>
        </w:rPr>
        <w:t>ų</w:t>
      </w:r>
      <w:r w:rsidRPr="00960603">
        <w:rPr>
          <w:szCs w:val="24"/>
          <w:lang w:eastAsia="lt-LT"/>
        </w:rPr>
        <w:t xml:space="preserve"> nuostatos, nustatytos atliekant antikorupcinį vertinimą po </w:t>
      </w:r>
      <w:proofErr w:type="spellStart"/>
      <w:r w:rsidRPr="00960603">
        <w:rPr>
          <w:szCs w:val="24"/>
          <w:lang w:eastAsia="lt-LT"/>
        </w:rPr>
        <w:t>tarpinstitucinio</w:t>
      </w:r>
      <w:proofErr w:type="spellEnd"/>
      <w:r w:rsidRPr="00960603">
        <w:rPr>
          <w:szCs w:val="24"/>
          <w:lang w:eastAsia="lt-LT"/>
        </w:rPr>
        <w:t xml:space="preserve"> derinimo </w:t>
      </w:r>
      <w:r w:rsidRPr="00960603">
        <w:rPr>
          <w:i/>
          <w:szCs w:val="24"/>
          <w:lang w:eastAsia="lt-LT"/>
        </w:rPr>
        <w:t>(nurodyti kriterijaus numerį, kurį taikant nustatytai korupcijos rizikai šalinti ar valdyti teisės akto projekte nenumatyta priemonių)</w:t>
      </w:r>
      <w:r w:rsidRPr="00960603">
        <w:rPr>
          <w:szCs w:val="24"/>
          <w:vertAlign w:val="superscript"/>
          <w:lang w:eastAsia="lt-LT"/>
        </w:rPr>
        <w:footnoteReference w:id="2"/>
      </w:r>
      <w:r w:rsidRPr="00960603">
        <w:rPr>
          <w:szCs w:val="24"/>
          <w:lang w:eastAsia="lt-LT"/>
        </w:rPr>
        <w:t>:</w:t>
      </w:r>
    </w:p>
    <w:p w:rsidR="002D5183" w:rsidRPr="00967EC5" w:rsidRDefault="002D5183" w:rsidP="002D5183">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967EC5" w:rsidTr="004E1B6F">
        <w:trPr>
          <w:trHeight w:val="23"/>
        </w:trPr>
        <w:tc>
          <w:tcPr>
            <w:tcW w:w="696" w:type="dxa"/>
            <w:shd w:val="clear" w:color="auto" w:fill="auto"/>
            <w:vAlign w:val="center"/>
          </w:tcPr>
          <w:p w:rsidR="002D5183" w:rsidRPr="00967EC5" w:rsidRDefault="002D5183" w:rsidP="00AD0BB3">
            <w:pPr>
              <w:jc w:val="center"/>
              <w:rPr>
                <w:szCs w:val="24"/>
                <w:lang w:eastAsia="lt-LT"/>
              </w:rPr>
            </w:pPr>
            <w:r w:rsidRPr="00967EC5">
              <w:rPr>
                <w:szCs w:val="24"/>
                <w:lang w:eastAsia="lt-LT"/>
              </w:rPr>
              <w:t>Eil. Nr.</w:t>
            </w:r>
          </w:p>
        </w:tc>
        <w:tc>
          <w:tcPr>
            <w:tcW w:w="3301" w:type="dxa"/>
            <w:shd w:val="clear" w:color="auto" w:fill="auto"/>
            <w:vAlign w:val="center"/>
          </w:tcPr>
          <w:p w:rsidR="002D5183" w:rsidRPr="00967EC5" w:rsidRDefault="002D5183" w:rsidP="00AD0BB3">
            <w:pPr>
              <w:jc w:val="center"/>
              <w:rPr>
                <w:szCs w:val="24"/>
                <w:lang w:eastAsia="lt-LT"/>
              </w:rPr>
            </w:pPr>
            <w:r w:rsidRPr="00967EC5">
              <w:rPr>
                <w:szCs w:val="24"/>
                <w:lang w:eastAsia="lt-LT"/>
              </w:rPr>
              <w:t>Kriterijus</w:t>
            </w:r>
          </w:p>
        </w:tc>
        <w:tc>
          <w:tcPr>
            <w:tcW w:w="3845" w:type="dxa"/>
            <w:shd w:val="clear" w:color="auto" w:fill="auto"/>
            <w:vAlign w:val="center"/>
          </w:tcPr>
          <w:p w:rsidR="002D5183" w:rsidRPr="00967EC5" w:rsidRDefault="002D5183" w:rsidP="00AD0BB3">
            <w:pPr>
              <w:jc w:val="center"/>
              <w:rPr>
                <w:b/>
                <w:szCs w:val="24"/>
                <w:lang w:eastAsia="lt-LT"/>
              </w:rPr>
            </w:pPr>
            <w:r w:rsidRPr="00967EC5">
              <w:rPr>
                <w:szCs w:val="24"/>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rsidR="002D5183" w:rsidRPr="00967EC5" w:rsidRDefault="002D5183" w:rsidP="00AD0BB3">
            <w:pPr>
              <w:jc w:val="center"/>
              <w:rPr>
                <w:szCs w:val="24"/>
                <w:lang w:eastAsia="lt-LT"/>
              </w:rPr>
            </w:pPr>
            <w:r w:rsidRPr="00967EC5">
              <w:rPr>
                <w:szCs w:val="24"/>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rsidR="002D5183" w:rsidRPr="00967EC5" w:rsidRDefault="002D5183" w:rsidP="00AD0BB3">
            <w:pPr>
              <w:jc w:val="center"/>
              <w:rPr>
                <w:szCs w:val="24"/>
                <w:lang w:eastAsia="lt-LT"/>
              </w:rPr>
            </w:pPr>
            <w:r w:rsidRPr="00967EC5">
              <w:rPr>
                <w:szCs w:val="24"/>
                <w:lang w:eastAsia="lt-LT"/>
              </w:rPr>
              <w:t>Išvada dėl teisės akto projekto pakeitimų arba argumentų, kodėl neatsižvelgta į pastabą</w:t>
            </w:r>
          </w:p>
        </w:tc>
      </w:tr>
      <w:tr w:rsidR="002D5183" w:rsidRPr="00967EC5" w:rsidTr="004E1B6F">
        <w:trPr>
          <w:trHeight w:val="23"/>
        </w:trPr>
        <w:tc>
          <w:tcPr>
            <w:tcW w:w="696" w:type="dxa"/>
            <w:shd w:val="clear" w:color="auto" w:fill="auto"/>
          </w:tcPr>
          <w:p w:rsidR="002D5183" w:rsidRPr="00967EC5" w:rsidRDefault="002D5183" w:rsidP="00AD0BB3">
            <w:pPr>
              <w:jc w:val="center"/>
              <w:rPr>
                <w:i/>
                <w:szCs w:val="24"/>
                <w:lang w:eastAsia="lt-LT"/>
              </w:rPr>
            </w:pPr>
          </w:p>
        </w:tc>
        <w:tc>
          <w:tcPr>
            <w:tcW w:w="3301" w:type="dxa"/>
            <w:shd w:val="clear" w:color="auto" w:fill="auto"/>
          </w:tcPr>
          <w:p w:rsidR="002D5183" w:rsidRPr="00967EC5" w:rsidRDefault="002D5183" w:rsidP="00AD0BB3">
            <w:pPr>
              <w:rPr>
                <w:i/>
                <w:szCs w:val="24"/>
                <w:lang w:eastAsia="lt-LT"/>
              </w:rPr>
            </w:pPr>
          </w:p>
        </w:tc>
        <w:tc>
          <w:tcPr>
            <w:tcW w:w="3845"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c>
          <w:tcPr>
            <w:tcW w:w="3658"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tiesioginis rengėjas</w:t>
            </w:r>
          </w:p>
        </w:tc>
        <w:tc>
          <w:tcPr>
            <w:tcW w:w="2611" w:type="dxa"/>
            <w:shd w:val="clear" w:color="auto" w:fill="auto"/>
            <w:vAlign w:val="center"/>
          </w:tcPr>
          <w:p w:rsidR="002D5183" w:rsidRPr="00967EC5" w:rsidRDefault="002D5183" w:rsidP="00AD0BB3">
            <w:pPr>
              <w:jc w:val="center"/>
              <w:rPr>
                <w:i/>
                <w:szCs w:val="24"/>
                <w:lang w:eastAsia="lt-LT"/>
              </w:rPr>
            </w:pPr>
            <w:r w:rsidRPr="00967EC5">
              <w:rPr>
                <w:i/>
                <w:szCs w:val="24"/>
                <w:lang w:eastAsia="lt-LT"/>
              </w:rPr>
              <w:t>pildo teisės akto projekto vertintojas</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1.</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projektas nesudaro išskirtinių ar nevienodų sąlygų subjektams, su kuriais susijęs teisės akto įgyvendinimas</w:t>
            </w:r>
          </w:p>
        </w:tc>
        <w:tc>
          <w:tcPr>
            <w:tcW w:w="3845" w:type="dxa"/>
            <w:shd w:val="clear" w:color="auto" w:fill="auto"/>
          </w:tcPr>
          <w:p w:rsidR="00FC5947" w:rsidRDefault="00BF0036" w:rsidP="00FC5947">
            <w:pPr>
              <w:pStyle w:val="BodyText"/>
              <w:ind w:firstLine="0"/>
              <w:rPr>
                <w:rFonts w:cs="Times New Roman"/>
              </w:rPr>
            </w:pPr>
            <w:r>
              <w:rPr>
                <w:rFonts w:cs="Times New Roman"/>
              </w:rPr>
              <w:t>P</w:t>
            </w:r>
            <w:r w:rsidR="00B7512A" w:rsidRPr="00967EC5">
              <w:rPr>
                <w:rFonts w:cs="Times New Roman"/>
              </w:rPr>
              <w:t>rojektas nesudaro išskirtinių ar nevienodų sąlygų subjektams, su kuriais susijęs teisės akto įgyvendinimas.</w:t>
            </w:r>
          </w:p>
          <w:p w:rsidR="00A5323B" w:rsidRDefault="00A5323B" w:rsidP="00FC5947">
            <w:pPr>
              <w:pStyle w:val="BodyText"/>
              <w:ind w:firstLine="0"/>
              <w:rPr>
                <w:rFonts w:cs="Times New Roman"/>
              </w:rPr>
            </w:pPr>
          </w:p>
          <w:p w:rsidR="00D059A6" w:rsidRPr="005C0632" w:rsidRDefault="005C0632" w:rsidP="00025BA2">
            <w:pPr>
              <w:pStyle w:val="BodyText"/>
              <w:ind w:firstLine="0"/>
              <w:rPr>
                <w:rFonts w:cs="Times New Roman"/>
              </w:rPr>
            </w:pPr>
            <w:r>
              <w:rPr>
                <w:rFonts w:cs="Times New Roman"/>
              </w:rPr>
              <w:t>P</w:t>
            </w:r>
            <w:r w:rsidRPr="0006408D">
              <w:rPr>
                <w:rFonts w:cs="Times New Roman"/>
              </w:rPr>
              <w:t>rojekto tikslas –</w:t>
            </w:r>
            <w:r>
              <w:rPr>
                <w:rFonts w:cs="Times New Roman"/>
              </w:rPr>
              <w:t xml:space="preserve"> </w:t>
            </w:r>
            <w:r w:rsidRPr="00941485">
              <w:rPr>
                <w:rFonts w:cs="Times New Roman"/>
              </w:rPr>
              <w:t xml:space="preserve">pakoreguoti </w:t>
            </w:r>
            <w:r w:rsidRPr="00E1203D">
              <w:t>Kuršių nerijos nacionalinio parko tvarkym</w:t>
            </w:r>
            <w:r>
              <w:t>o planą</w:t>
            </w:r>
            <w:r w:rsidR="00ED1370">
              <w:t xml:space="preserve"> (toliau – KNNP tvarkymo planas)</w:t>
            </w:r>
            <w:r>
              <w:rPr>
                <w:rFonts w:cs="Times New Roman"/>
              </w:rPr>
              <w:t xml:space="preserve"> </w:t>
            </w:r>
            <w:r w:rsidRPr="00941485">
              <w:rPr>
                <w:rFonts w:cs="Times New Roman"/>
              </w:rPr>
              <w:t xml:space="preserve">pagal Lietuvos Respublikos </w:t>
            </w:r>
            <w:r w:rsidRPr="00941485">
              <w:rPr>
                <w:rFonts w:cs="Times New Roman"/>
              </w:rPr>
              <w:lastRenderedPageBreak/>
              <w:t>Konstitucinio Teismo 2019 m. lapkričio 25 d. priimtą nutarimą</w:t>
            </w:r>
            <w:r w:rsidR="00ED1370">
              <w:rPr>
                <w:rFonts w:cs="Times New Roman"/>
              </w:rPr>
              <w:t xml:space="preserve"> Nr. </w:t>
            </w:r>
            <w:r w:rsidR="00ED1370">
              <w:rPr>
                <w:color w:val="000000"/>
              </w:rPr>
              <w:t xml:space="preserve">KT52-N14/2019. Šiuo nutarimu teismas </w:t>
            </w:r>
            <w:r w:rsidR="00ED1370">
              <w:rPr>
                <w:rFonts w:cs="Times New Roman"/>
              </w:rPr>
              <w:t>pripažino</w:t>
            </w:r>
            <w:r w:rsidRPr="00941485">
              <w:rPr>
                <w:rFonts w:cs="Times New Roman"/>
              </w:rPr>
              <w:t xml:space="preserve"> </w:t>
            </w:r>
            <w:r>
              <w:rPr>
                <w:rFonts w:cs="Times New Roman"/>
              </w:rPr>
              <w:t xml:space="preserve">prieštaraujančiais </w:t>
            </w:r>
            <w:r w:rsidR="00ED1370">
              <w:rPr>
                <w:rFonts w:cs="Times New Roman"/>
              </w:rPr>
              <w:t xml:space="preserve">LR </w:t>
            </w:r>
            <w:r>
              <w:rPr>
                <w:rFonts w:cs="Times New Roman"/>
              </w:rPr>
              <w:t>Konstitucijai</w:t>
            </w:r>
            <w:r w:rsidRPr="00941485">
              <w:rPr>
                <w:rFonts w:cs="Times New Roman"/>
              </w:rPr>
              <w:t xml:space="preserve"> </w:t>
            </w:r>
            <w:r>
              <w:rPr>
                <w:rFonts w:cs="Times New Roman"/>
              </w:rPr>
              <w:t xml:space="preserve">LR </w:t>
            </w:r>
            <w:r w:rsidRPr="00941485">
              <w:rPr>
                <w:rFonts w:cs="Times New Roman"/>
              </w:rPr>
              <w:t>Vyriausybės 2019 m. spalio 30 d. nutarimu</w:t>
            </w:r>
            <w:r w:rsidR="00ED1370">
              <w:rPr>
                <w:rFonts w:cs="Times New Roman"/>
              </w:rPr>
              <w:t xml:space="preserve"> Nr. </w:t>
            </w:r>
            <w:r w:rsidR="00ED1370">
              <w:rPr>
                <w:color w:val="000000"/>
              </w:rPr>
              <w:t>Nr. 1080</w:t>
            </w:r>
            <w:r w:rsidR="00ED1370">
              <w:rPr>
                <w:rFonts w:cs="Times New Roman"/>
              </w:rPr>
              <w:t xml:space="preserve"> </w:t>
            </w:r>
            <w:r w:rsidRPr="00941485">
              <w:rPr>
                <w:rFonts w:cs="Times New Roman"/>
              </w:rPr>
              <w:t xml:space="preserve">nauja redakcija išdėstyto </w:t>
            </w:r>
            <w:r w:rsidR="00ED1370">
              <w:t>KNNP tvarkymo plano</w:t>
            </w:r>
            <w:r w:rsidR="00ED1370" w:rsidRPr="00941485">
              <w:rPr>
                <w:rFonts w:cs="Times New Roman"/>
              </w:rPr>
              <w:t xml:space="preserve"> </w:t>
            </w:r>
            <w:r w:rsidRPr="00941485">
              <w:rPr>
                <w:rFonts w:cs="Times New Roman"/>
              </w:rPr>
              <w:t>9.2.1.7, 9.2.3.2 punktus.</w:t>
            </w:r>
            <w:r w:rsidR="00ED1370">
              <w:rPr>
                <w:rFonts w:cs="Times New Roman"/>
              </w:rPr>
              <w:t xml:space="preserve"> </w:t>
            </w:r>
            <w:r w:rsidRPr="00941485">
              <w:rPr>
                <w:rFonts w:cs="Times New Roman"/>
              </w:rPr>
              <w:t xml:space="preserve">Rengiant KNNP tvarkymo plano korektūrą </w:t>
            </w:r>
            <w:r w:rsidR="00ED1370">
              <w:rPr>
                <w:rFonts w:cs="Times New Roman"/>
              </w:rPr>
              <w:t xml:space="preserve">visi jo sprendiniai (netik 9.2.1.7, 9.2.3.2 punktai) </w:t>
            </w:r>
            <w:r w:rsidRPr="00941485">
              <w:rPr>
                <w:rFonts w:cs="Times New Roman"/>
              </w:rPr>
              <w:t xml:space="preserve">įvertinti pagal </w:t>
            </w:r>
            <w:r w:rsidR="00ED1370">
              <w:rPr>
                <w:rFonts w:cs="Times New Roman"/>
              </w:rPr>
              <w:t xml:space="preserve">LR </w:t>
            </w:r>
            <w:r w:rsidRPr="00941485">
              <w:rPr>
                <w:rFonts w:cs="Times New Roman"/>
              </w:rPr>
              <w:t>Konstitucinio Teismo nutarimą ir jame išdė</w:t>
            </w:r>
            <w:r w:rsidR="00ED1370">
              <w:rPr>
                <w:rFonts w:cs="Times New Roman"/>
              </w:rPr>
              <w:t xml:space="preserve">stytą principinę argumentaciją </w:t>
            </w:r>
            <w:r w:rsidRPr="00941485">
              <w:rPr>
                <w:rFonts w:cs="Times New Roman"/>
              </w:rPr>
              <w:t xml:space="preserve">dėl galimo sprendinių prieštaravimo </w:t>
            </w:r>
            <w:r w:rsidR="00ED1370">
              <w:rPr>
                <w:rFonts w:cs="Times New Roman"/>
              </w:rPr>
              <w:t xml:space="preserve">LR </w:t>
            </w:r>
            <w:r w:rsidRPr="00941485">
              <w:rPr>
                <w:rFonts w:cs="Times New Roman"/>
              </w:rPr>
              <w:t>Konstitucijai, t. y.</w:t>
            </w:r>
            <w:r w:rsidR="00025BA2">
              <w:rPr>
                <w:rFonts w:cs="Times New Roman"/>
              </w:rPr>
              <w:t xml:space="preserve"> </w:t>
            </w:r>
            <w:r w:rsidRPr="00941485">
              <w:rPr>
                <w:rFonts w:cs="Times New Roman"/>
              </w:rPr>
              <w:t xml:space="preserve">apimant 9.2.1.7 ir 9.2.3.2 punktus, reglamentuojančius statinių pertvarkymą žemės sklypuose </w:t>
            </w:r>
            <w:proofErr w:type="spellStart"/>
            <w:r w:rsidRPr="00941485">
              <w:rPr>
                <w:rFonts w:cs="Times New Roman"/>
              </w:rPr>
              <w:t>Lotmiškio</w:t>
            </w:r>
            <w:proofErr w:type="spellEnd"/>
            <w:r w:rsidRPr="00941485">
              <w:rPr>
                <w:rFonts w:cs="Times New Roman"/>
              </w:rPr>
              <w:t xml:space="preserve"> g. 1 ir Naglių g. 20 (Nida), </w:t>
            </w:r>
            <w:r w:rsidR="00025BA2">
              <w:rPr>
                <w:rFonts w:cs="Times New Roman"/>
              </w:rPr>
              <w:t xml:space="preserve">taip pat apimant kitus sprendimus, </w:t>
            </w:r>
            <w:r w:rsidRPr="00941485">
              <w:rPr>
                <w:rFonts w:cs="Times New Roman"/>
              </w:rPr>
              <w:t>susijusius su planuojamoje teritorijoje esančiais žemės sklypais ir juose esančiais statiniais (atsižvelgiant į įsiteisėjusius kitus teismo sprendimus žemės sklypuose, esančiuose Rėzos g. 1A</w:t>
            </w:r>
            <w:r w:rsidR="00025BA2">
              <w:rPr>
                <w:rFonts w:cs="Times New Roman"/>
              </w:rPr>
              <w:t>, Juodkrantė;</w:t>
            </w:r>
            <w:r w:rsidRPr="00941485">
              <w:rPr>
                <w:rFonts w:cs="Times New Roman"/>
              </w:rPr>
              <w:t xml:space="preserve"> Preilos g. 8B</w:t>
            </w:r>
            <w:r w:rsidR="00025BA2">
              <w:rPr>
                <w:rFonts w:cs="Times New Roman"/>
              </w:rPr>
              <w:t>,</w:t>
            </w:r>
            <w:r w:rsidRPr="00941485">
              <w:rPr>
                <w:rFonts w:cs="Times New Roman"/>
              </w:rPr>
              <w:t xml:space="preserve"> </w:t>
            </w:r>
            <w:r w:rsidR="00025BA2">
              <w:rPr>
                <w:rFonts w:cs="Times New Roman"/>
              </w:rPr>
              <w:t>Neringa;</w:t>
            </w:r>
            <w:r w:rsidR="00ED1370">
              <w:rPr>
                <w:rFonts w:cs="Times New Roman"/>
              </w:rPr>
              <w:t xml:space="preserve"> Kalno g. 12</w:t>
            </w:r>
            <w:r w:rsidR="00025BA2">
              <w:rPr>
                <w:rFonts w:cs="Times New Roman"/>
              </w:rPr>
              <w:t>,</w:t>
            </w:r>
            <w:r w:rsidR="00ED1370">
              <w:rPr>
                <w:rFonts w:cs="Times New Roman"/>
              </w:rPr>
              <w:t xml:space="preserve"> Juodkrantė</w:t>
            </w:r>
            <w:r w:rsidRPr="00941485">
              <w:rPr>
                <w:rFonts w:cs="Times New Roman"/>
              </w:rPr>
              <w:t>)</w:t>
            </w:r>
            <w:r w:rsidR="00ED1370">
              <w:rPr>
                <w:rFonts w:cs="Times New Roman"/>
              </w:rPr>
              <w:t>.</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8C17C3" w:rsidP="00AD0BB3">
            <w:pPr>
              <w:rPr>
                <w:szCs w:val="24"/>
                <w:lang w:eastAsia="lt-LT"/>
              </w:rPr>
            </w:pPr>
            <w:r w:rsidRPr="00967EC5">
              <w:rPr>
                <w:szCs w:val="24"/>
                <w:lang w:eastAsia="lt-LT"/>
              </w:rPr>
              <w:t xml:space="preserve">X </w:t>
            </w:r>
            <w:r w:rsidR="002D5183" w:rsidRPr="00967EC5">
              <w:rPr>
                <w:szCs w:val="24"/>
                <w:lang w:eastAsia="lt-LT"/>
              </w:rPr>
              <w:t>tenkina</w:t>
            </w:r>
          </w:p>
          <w:p w:rsidR="002D5183" w:rsidRPr="00967EC5" w:rsidRDefault="002D5183" w:rsidP="00AD0BB3">
            <w:pPr>
              <w:rPr>
                <w:szCs w:val="24"/>
                <w:lang w:eastAsia="lt-LT"/>
              </w:rPr>
            </w:pPr>
            <w:r w:rsidRPr="00967EC5">
              <w:rPr>
                <w:szCs w:val="24"/>
                <w:lang w:eastAsia="lt-LT"/>
              </w:rPr>
              <w:t>□ netenkina</w:t>
            </w:r>
          </w:p>
        </w:tc>
      </w:tr>
      <w:tr w:rsidR="002D5183" w:rsidRPr="00967EC5" w:rsidTr="004E1B6F">
        <w:trPr>
          <w:trHeight w:val="23"/>
        </w:trPr>
        <w:tc>
          <w:tcPr>
            <w:tcW w:w="696" w:type="dxa"/>
            <w:shd w:val="clear" w:color="auto" w:fill="auto"/>
          </w:tcPr>
          <w:p w:rsidR="002D5183" w:rsidRPr="00967EC5" w:rsidRDefault="002D5183" w:rsidP="00AD0BB3">
            <w:pPr>
              <w:keepNext/>
              <w:jc w:val="center"/>
              <w:rPr>
                <w:szCs w:val="24"/>
                <w:lang w:eastAsia="lt-LT"/>
              </w:rPr>
            </w:pPr>
            <w:r w:rsidRPr="00967EC5">
              <w:rPr>
                <w:szCs w:val="24"/>
                <w:lang w:eastAsia="lt-LT"/>
              </w:rPr>
              <w:lastRenderedPageBreak/>
              <w:t>2.</w:t>
            </w:r>
          </w:p>
        </w:tc>
        <w:tc>
          <w:tcPr>
            <w:tcW w:w="3301" w:type="dxa"/>
            <w:shd w:val="clear" w:color="auto" w:fill="auto"/>
          </w:tcPr>
          <w:p w:rsidR="002D5183" w:rsidRPr="00967EC5" w:rsidRDefault="002D5183" w:rsidP="00AD0BB3">
            <w:pPr>
              <w:keepNext/>
              <w:rPr>
                <w:szCs w:val="24"/>
                <w:lang w:eastAsia="lt-LT"/>
              </w:rPr>
            </w:pPr>
            <w:r w:rsidRPr="00967EC5">
              <w:rPr>
                <w:szCs w:val="24"/>
                <w:lang w:eastAsia="lt-LT"/>
              </w:rPr>
              <w:t>Teisės akto projekte nėra spragų ar nuostatų, leisiančių dviprasmiškai aiškinti ir taikyti teisės aktą</w:t>
            </w:r>
          </w:p>
        </w:tc>
        <w:tc>
          <w:tcPr>
            <w:tcW w:w="3845" w:type="dxa"/>
            <w:shd w:val="clear" w:color="auto" w:fill="auto"/>
          </w:tcPr>
          <w:p w:rsidR="00D53CE1" w:rsidRDefault="00126653" w:rsidP="00D53CE1">
            <w:pPr>
              <w:keepNext/>
              <w:jc w:val="both"/>
              <w:rPr>
                <w:szCs w:val="24"/>
                <w:lang w:eastAsia="lt-LT"/>
              </w:rPr>
            </w:pPr>
            <w:r>
              <w:rPr>
                <w:szCs w:val="24"/>
                <w:lang w:eastAsia="lt-LT"/>
              </w:rPr>
              <w:t>Nutarimo p</w:t>
            </w:r>
            <w:r w:rsidR="008C17C3" w:rsidRPr="00967EC5">
              <w:rPr>
                <w:szCs w:val="24"/>
                <w:lang w:eastAsia="lt-LT"/>
              </w:rPr>
              <w:t>rojekto</w:t>
            </w:r>
            <w:r w:rsidR="00A87CC5" w:rsidRPr="00967EC5">
              <w:rPr>
                <w:szCs w:val="24"/>
                <w:lang w:eastAsia="lt-LT"/>
              </w:rPr>
              <w:t xml:space="preserve"> nuostatos aiškios ir nesudaro galimybės dviprasmiškai aiškinti ir taikyti teisės aktą.</w:t>
            </w:r>
          </w:p>
          <w:p w:rsidR="00D53CE1" w:rsidRDefault="00D53CE1" w:rsidP="00D53CE1">
            <w:pPr>
              <w:keepNext/>
              <w:jc w:val="both"/>
              <w:rPr>
                <w:szCs w:val="24"/>
                <w:lang w:eastAsia="lt-LT"/>
              </w:rPr>
            </w:pPr>
          </w:p>
          <w:p w:rsidR="0027463D" w:rsidRPr="00967EC5" w:rsidRDefault="0027463D" w:rsidP="00132BD7">
            <w:pPr>
              <w:keepNext/>
              <w:jc w:val="both"/>
            </w:pPr>
          </w:p>
        </w:tc>
        <w:tc>
          <w:tcPr>
            <w:tcW w:w="3658" w:type="dxa"/>
            <w:shd w:val="clear" w:color="auto" w:fill="auto"/>
          </w:tcPr>
          <w:p w:rsidR="002D5183" w:rsidRPr="00967EC5" w:rsidRDefault="002D5183" w:rsidP="00AD0BB3">
            <w:pPr>
              <w:keepNext/>
              <w:rPr>
                <w:szCs w:val="24"/>
                <w:lang w:eastAsia="lt-LT"/>
              </w:rPr>
            </w:pPr>
          </w:p>
        </w:tc>
        <w:tc>
          <w:tcPr>
            <w:tcW w:w="2611" w:type="dxa"/>
            <w:shd w:val="clear" w:color="auto" w:fill="auto"/>
          </w:tcPr>
          <w:p w:rsidR="002D5183" w:rsidRPr="00967EC5" w:rsidRDefault="008C17C3" w:rsidP="00AD0BB3">
            <w:pPr>
              <w:keepNext/>
              <w:rPr>
                <w:szCs w:val="24"/>
                <w:lang w:eastAsia="lt-LT"/>
              </w:rPr>
            </w:pPr>
            <w:r w:rsidRPr="00967EC5">
              <w:rPr>
                <w:szCs w:val="24"/>
                <w:lang w:eastAsia="lt-LT"/>
              </w:rPr>
              <w:t xml:space="preserve">X </w:t>
            </w:r>
            <w:r w:rsidR="002D5183" w:rsidRPr="00967EC5">
              <w:rPr>
                <w:szCs w:val="24"/>
                <w:lang w:eastAsia="lt-LT"/>
              </w:rPr>
              <w:t xml:space="preserve"> tenkina</w:t>
            </w:r>
          </w:p>
          <w:p w:rsidR="002D5183" w:rsidRPr="00967EC5" w:rsidRDefault="002D5183" w:rsidP="00AD0BB3">
            <w:pPr>
              <w:keepNext/>
              <w:rPr>
                <w:szCs w:val="24"/>
                <w:lang w:eastAsia="lt-LT"/>
              </w:rPr>
            </w:pPr>
            <w:r w:rsidRPr="00967EC5">
              <w:rPr>
                <w:szCs w:val="24"/>
                <w:lang w:eastAsia="lt-LT"/>
              </w:rPr>
              <w:t>□ netenkina</w:t>
            </w:r>
          </w:p>
        </w:tc>
      </w:tr>
      <w:tr w:rsidR="00B7512A" w:rsidRPr="00967EC5" w:rsidTr="00B7512A">
        <w:trPr>
          <w:trHeight w:val="2376"/>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3.</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rsidR="00646FBE" w:rsidRPr="00967EC5" w:rsidRDefault="00646FBE" w:rsidP="00646FBE">
            <w:pPr>
              <w:rPr>
                <w:bCs/>
                <w:szCs w:val="24"/>
              </w:rPr>
            </w:pPr>
            <w:r w:rsidRPr="00967EC5">
              <w:rPr>
                <w:bCs/>
                <w:szCs w:val="24"/>
              </w:rPr>
              <w:t>Ši</w:t>
            </w:r>
            <w:r w:rsidR="00E277E9">
              <w:rPr>
                <w:bCs/>
                <w:szCs w:val="24"/>
              </w:rPr>
              <w:t>s kriterijus</w:t>
            </w:r>
            <w:r w:rsidRPr="00967EC5">
              <w:rPr>
                <w:bCs/>
                <w:szCs w:val="24"/>
              </w:rPr>
              <w:t xml:space="preserve"> </w:t>
            </w:r>
            <w:r w:rsidR="00E277E9">
              <w:rPr>
                <w:bCs/>
                <w:szCs w:val="24"/>
              </w:rPr>
              <w:t>neaktualus.</w:t>
            </w:r>
          </w:p>
          <w:p w:rsidR="00B7512A" w:rsidRPr="00967EC5" w:rsidRDefault="00646FBE" w:rsidP="00646FBE">
            <w:pPr>
              <w:jc w:val="both"/>
              <w:rPr>
                <w:szCs w:val="24"/>
                <w:lang w:eastAsia="ar-SA"/>
              </w:rPr>
            </w:pPr>
            <w:r w:rsidRPr="00967EC5">
              <w:rPr>
                <w:bCs/>
                <w:szCs w:val="24"/>
              </w:rPr>
              <w:t>Projekte tokių nuostatų nėra</w:t>
            </w:r>
          </w:p>
        </w:tc>
        <w:tc>
          <w:tcPr>
            <w:tcW w:w="3658" w:type="dxa"/>
            <w:shd w:val="clear" w:color="auto" w:fill="auto"/>
          </w:tcPr>
          <w:p w:rsidR="00B7512A" w:rsidRPr="00967EC5" w:rsidRDefault="00B7512A" w:rsidP="00AD0BB3">
            <w:pPr>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4.</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nustatyti subjekto įgaliojimai (teisės) atitinka subjekto atliekamas funkcijas (pareigas)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B7512A" w:rsidRPr="00967EC5" w:rsidRDefault="00646FBE" w:rsidP="00646FBE">
            <w:pPr>
              <w:suppressAutoHyphens/>
              <w:jc w:val="both"/>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BF035E">
            <w:pPr>
              <w:suppressAutoHyphens/>
              <w:spacing w:line="276" w:lineRule="auto"/>
              <w:ind w:left="-284" w:right="-3" w:firstLine="568"/>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B7512A" w:rsidRPr="00967EC5" w:rsidTr="004E1B6F">
        <w:trPr>
          <w:trHeight w:val="23"/>
        </w:trPr>
        <w:tc>
          <w:tcPr>
            <w:tcW w:w="696" w:type="dxa"/>
            <w:shd w:val="clear" w:color="auto" w:fill="auto"/>
          </w:tcPr>
          <w:p w:rsidR="00B7512A" w:rsidRPr="00967EC5" w:rsidRDefault="00B7512A" w:rsidP="00AD0BB3">
            <w:pPr>
              <w:jc w:val="center"/>
              <w:rPr>
                <w:szCs w:val="24"/>
                <w:lang w:eastAsia="lt-LT"/>
              </w:rPr>
            </w:pPr>
            <w:r w:rsidRPr="00967EC5">
              <w:rPr>
                <w:szCs w:val="24"/>
                <w:lang w:eastAsia="lt-LT"/>
              </w:rPr>
              <w:t>5.</w:t>
            </w:r>
          </w:p>
        </w:tc>
        <w:tc>
          <w:tcPr>
            <w:tcW w:w="3301" w:type="dxa"/>
            <w:shd w:val="clear" w:color="auto" w:fill="auto"/>
          </w:tcPr>
          <w:p w:rsidR="00B7512A" w:rsidRPr="00967EC5" w:rsidRDefault="00B7512A" w:rsidP="00AD0BB3">
            <w:pPr>
              <w:rPr>
                <w:szCs w:val="24"/>
                <w:lang w:eastAsia="lt-LT"/>
              </w:rPr>
            </w:pPr>
            <w:r w:rsidRPr="00967EC5">
              <w:rPr>
                <w:szCs w:val="24"/>
                <w:lang w:eastAsia="lt-LT"/>
              </w:rPr>
              <w:t>Teisės akto projekte nustatytas baigtinis sprendimo priėmimo kriterijų (atvejų) sąrašas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B7512A" w:rsidRPr="00967EC5" w:rsidRDefault="00646FBE" w:rsidP="00646FBE">
            <w:pPr>
              <w:rPr>
                <w:szCs w:val="24"/>
                <w:lang w:eastAsia="lt-LT"/>
              </w:rPr>
            </w:pPr>
            <w:r w:rsidRPr="00967EC5">
              <w:rPr>
                <w:bCs/>
                <w:szCs w:val="24"/>
              </w:rPr>
              <w:t>Projekte tokių nuostatų nėra</w:t>
            </w:r>
          </w:p>
        </w:tc>
        <w:tc>
          <w:tcPr>
            <w:tcW w:w="3658" w:type="dxa"/>
            <w:shd w:val="clear" w:color="auto" w:fill="auto"/>
          </w:tcPr>
          <w:p w:rsidR="00B7512A" w:rsidRPr="00967EC5" w:rsidRDefault="00B7512A" w:rsidP="00476A37">
            <w:pPr>
              <w:tabs>
                <w:tab w:val="left" w:pos="993"/>
              </w:tabs>
              <w:jc w:val="both"/>
              <w:rPr>
                <w:szCs w:val="24"/>
                <w:lang w:eastAsia="lt-LT"/>
              </w:rPr>
            </w:pPr>
          </w:p>
        </w:tc>
        <w:tc>
          <w:tcPr>
            <w:tcW w:w="2611" w:type="dxa"/>
            <w:shd w:val="clear" w:color="auto" w:fill="auto"/>
          </w:tcPr>
          <w:p w:rsidR="00B7512A" w:rsidRPr="00967EC5" w:rsidRDefault="00B7512A" w:rsidP="00AD0BB3">
            <w:pPr>
              <w:rPr>
                <w:szCs w:val="24"/>
                <w:lang w:eastAsia="lt-LT"/>
              </w:rPr>
            </w:pPr>
            <w:r w:rsidRPr="00967EC5">
              <w:rPr>
                <w:szCs w:val="24"/>
                <w:lang w:eastAsia="lt-LT"/>
              </w:rPr>
              <w:t>□ tenkina</w:t>
            </w:r>
          </w:p>
          <w:p w:rsidR="00B7512A" w:rsidRPr="00967EC5" w:rsidRDefault="00B7512A" w:rsidP="00AD0BB3">
            <w:pPr>
              <w:rPr>
                <w:szCs w:val="24"/>
                <w:lang w:eastAsia="lt-LT"/>
              </w:rPr>
            </w:pPr>
            <w:r w:rsidRPr="00967EC5">
              <w:rPr>
                <w:szCs w:val="24"/>
                <w:lang w:eastAsia="lt-LT"/>
              </w:rPr>
              <w:t>□ netenkina</w:t>
            </w:r>
          </w:p>
        </w:tc>
      </w:tr>
      <w:tr w:rsidR="002D5183" w:rsidRPr="00967EC5" w:rsidTr="00DD1D8C">
        <w:trPr>
          <w:trHeight w:val="274"/>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6.</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nustatytas baigtinis sąrašas motyvuotų atvejų, kai priimant sprendimus taikomos išimtys</w:t>
            </w:r>
          </w:p>
          <w:p w:rsidR="00BD494A" w:rsidRPr="00967EC5" w:rsidRDefault="00BD494A" w:rsidP="00AD0BB3">
            <w:pPr>
              <w:rPr>
                <w:szCs w:val="24"/>
                <w:lang w:eastAsia="lt-LT"/>
              </w:rPr>
            </w:pP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2D5183" w:rsidRPr="00967EC5" w:rsidRDefault="00946A11" w:rsidP="00B7512A">
            <w:pPr>
              <w:rPr>
                <w:bCs/>
                <w:szCs w:val="24"/>
              </w:rPr>
            </w:pPr>
            <w:r w:rsidRPr="00967EC5">
              <w:rPr>
                <w:bCs/>
                <w:szCs w:val="24"/>
              </w:rPr>
              <w:t xml:space="preserve">Projekte </w:t>
            </w:r>
            <w:r w:rsidR="00377C68" w:rsidRPr="00967EC5">
              <w:rPr>
                <w:bCs/>
                <w:szCs w:val="24"/>
              </w:rPr>
              <w:t>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E33987" w:rsidRPr="00967EC5">
              <w:rPr>
                <w:szCs w:val="24"/>
                <w:lang w:eastAsia="lt-LT"/>
              </w:rPr>
              <w:t xml:space="preserve"> </w:t>
            </w:r>
            <w:r w:rsidR="002D5183" w:rsidRPr="00967EC5">
              <w:rPr>
                <w:szCs w:val="24"/>
                <w:lang w:eastAsia="lt-LT"/>
              </w:rPr>
              <w:t>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7.</w:t>
            </w:r>
          </w:p>
        </w:tc>
        <w:tc>
          <w:tcPr>
            <w:tcW w:w="3301" w:type="dxa"/>
            <w:shd w:val="clear" w:color="auto" w:fill="auto"/>
          </w:tcPr>
          <w:p w:rsidR="002D5183" w:rsidRPr="00967EC5" w:rsidRDefault="002D5183" w:rsidP="00AD0BB3">
            <w:pPr>
              <w:rPr>
                <w:szCs w:val="24"/>
                <w:lang w:eastAsia="lt-LT"/>
              </w:rPr>
            </w:pPr>
            <w:r w:rsidRPr="00967EC5">
              <w:rPr>
                <w:szCs w:val="24"/>
                <w:lang w:eastAsia="lt-LT"/>
              </w:rPr>
              <w:t>Teisės akto projekte nustatyta sprendimų priėmimo, įforminimo tvarka ir priimtų sprendimų viešinimas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49755F" w:rsidRPr="00967EC5" w:rsidRDefault="00B7512A" w:rsidP="00B7512A">
            <w:pPr>
              <w:tabs>
                <w:tab w:val="left" w:pos="993"/>
              </w:tabs>
              <w:jc w:val="both"/>
              <w:rPr>
                <w:b/>
                <w:color w:val="000000"/>
                <w:szCs w:val="24"/>
              </w:rPr>
            </w:pPr>
            <w:r w:rsidRPr="00967EC5">
              <w:rPr>
                <w:bCs/>
                <w:szCs w:val="24"/>
              </w:rPr>
              <w:t>Projekte tokių nuostatų nėra.</w:t>
            </w:r>
          </w:p>
        </w:tc>
        <w:tc>
          <w:tcPr>
            <w:tcW w:w="3658" w:type="dxa"/>
            <w:shd w:val="clear" w:color="auto" w:fill="auto"/>
          </w:tcPr>
          <w:p w:rsidR="002D5183" w:rsidRPr="00967EC5" w:rsidRDefault="002D5183" w:rsidP="00AD0BB3">
            <w:pPr>
              <w:rPr>
                <w:szCs w:val="24"/>
                <w:lang w:eastAsia="lt-LT"/>
              </w:rPr>
            </w:pPr>
          </w:p>
        </w:tc>
        <w:tc>
          <w:tcPr>
            <w:tcW w:w="2611" w:type="dxa"/>
            <w:shd w:val="clear" w:color="auto" w:fill="auto"/>
          </w:tcPr>
          <w:p w:rsidR="002D5183" w:rsidRPr="00967EC5" w:rsidRDefault="00B7512A" w:rsidP="00AD0BB3">
            <w:pPr>
              <w:rPr>
                <w:szCs w:val="24"/>
                <w:lang w:eastAsia="lt-LT"/>
              </w:rPr>
            </w:pPr>
            <w:r w:rsidRPr="00967EC5">
              <w:rPr>
                <w:szCs w:val="24"/>
                <w:lang w:eastAsia="lt-LT"/>
              </w:rPr>
              <w:t>□</w:t>
            </w:r>
            <w:r w:rsidR="002D5183" w:rsidRPr="00967EC5">
              <w:rPr>
                <w:szCs w:val="24"/>
                <w:lang w:eastAsia="lt-LT"/>
              </w:rPr>
              <w:t xml:space="preserve"> tenkina</w:t>
            </w:r>
          </w:p>
          <w:p w:rsidR="002D5183" w:rsidRPr="00967EC5" w:rsidRDefault="00946A11" w:rsidP="00AD0BB3">
            <w:pPr>
              <w:rPr>
                <w:szCs w:val="24"/>
                <w:lang w:eastAsia="lt-LT"/>
              </w:rPr>
            </w:pPr>
            <w:r w:rsidRPr="00967EC5">
              <w:rPr>
                <w:szCs w:val="24"/>
                <w:lang w:eastAsia="lt-LT"/>
              </w:rPr>
              <w:t>□</w:t>
            </w:r>
            <w:r w:rsidR="002D5183" w:rsidRPr="00967EC5">
              <w:rPr>
                <w:szCs w:val="24"/>
                <w:lang w:eastAsia="lt-LT"/>
              </w:rPr>
              <w:t xml:space="preserve"> netenkina</w:t>
            </w:r>
          </w:p>
        </w:tc>
      </w:tr>
      <w:tr w:rsidR="002D5183" w:rsidRPr="00967EC5" w:rsidTr="004E1B6F">
        <w:trPr>
          <w:trHeight w:val="23"/>
        </w:trPr>
        <w:tc>
          <w:tcPr>
            <w:tcW w:w="696" w:type="dxa"/>
            <w:shd w:val="clear" w:color="auto" w:fill="auto"/>
          </w:tcPr>
          <w:p w:rsidR="002D5183" w:rsidRPr="00967EC5" w:rsidRDefault="002D5183" w:rsidP="00AD0BB3">
            <w:pPr>
              <w:jc w:val="center"/>
              <w:rPr>
                <w:szCs w:val="24"/>
                <w:lang w:eastAsia="lt-LT"/>
              </w:rPr>
            </w:pPr>
            <w:r w:rsidRPr="00967EC5">
              <w:rPr>
                <w:szCs w:val="24"/>
                <w:lang w:eastAsia="lt-LT"/>
              </w:rPr>
              <w:t>8.</w:t>
            </w:r>
          </w:p>
        </w:tc>
        <w:tc>
          <w:tcPr>
            <w:tcW w:w="3301" w:type="dxa"/>
            <w:shd w:val="clear" w:color="auto" w:fill="auto"/>
          </w:tcPr>
          <w:p w:rsidR="00BD494A" w:rsidRPr="00967EC5" w:rsidRDefault="002D5183" w:rsidP="00AD0BB3">
            <w:pPr>
              <w:rPr>
                <w:szCs w:val="24"/>
                <w:lang w:eastAsia="lt-LT"/>
              </w:rPr>
            </w:pPr>
            <w:r w:rsidRPr="00967EC5">
              <w:rPr>
                <w:szCs w:val="24"/>
                <w:lang w:eastAsia="lt-LT"/>
              </w:rPr>
              <w:t>Teisės akto projekte nustatyta sprendimų dėl mažareikšmiškumo priėmimo tvarka</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2D5183" w:rsidRPr="00967EC5" w:rsidRDefault="0079157E" w:rsidP="00B7512A">
            <w:pPr>
              <w:rPr>
                <w:szCs w:val="24"/>
                <w:lang w:eastAsia="lt-LT"/>
              </w:rPr>
            </w:pPr>
            <w:r w:rsidRPr="00967EC5">
              <w:rPr>
                <w:bCs/>
                <w:szCs w:val="24"/>
              </w:rPr>
              <w:t xml:space="preserve">Projekte </w:t>
            </w:r>
            <w:r w:rsidR="00CF541C" w:rsidRPr="00967EC5">
              <w:rPr>
                <w:bCs/>
                <w:szCs w:val="24"/>
              </w:rPr>
              <w:t>tokių nuostatų nėra.</w:t>
            </w:r>
          </w:p>
        </w:tc>
        <w:tc>
          <w:tcPr>
            <w:tcW w:w="3658" w:type="dxa"/>
            <w:shd w:val="clear" w:color="auto" w:fill="auto"/>
          </w:tcPr>
          <w:p w:rsidR="002D5183" w:rsidRPr="00967EC5" w:rsidRDefault="002D5183" w:rsidP="00AD0BB3">
            <w:pPr>
              <w:rPr>
                <w:b/>
                <w:szCs w:val="24"/>
                <w:lang w:eastAsia="lt-LT"/>
              </w:rPr>
            </w:pPr>
          </w:p>
        </w:tc>
        <w:tc>
          <w:tcPr>
            <w:tcW w:w="2611" w:type="dxa"/>
            <w:shd w:val="clear" w:color="auto" w:fill="auto"/>
          </w:tcPr>
          <w:p w:rsidR="002D5183" w:rsidRPr="00967EC5" w:rsidRDefault="002D5183" w:rsidP="00AD0BB3">
            <w:pPr>
              <w:rPr>
                <w:szCs w:val="24"/>
                <w:lang w:eastAsia="lt-LT"/>
              </w:rPr>
            </w:pPr>
            <w:r w:rsidRPr="00967EC5">
              <w:rPr>
                <w:szCs w:val="24"/>
                <w:lang w:eastAsia="lt-LT"/>
              </w:rPr>
              <w:t>□ tenkina</w:t>
            </w:r>
          </w:p>
          <w:p w:rsidR="002D5183" w:rsidRPr="00967EC5" w:rsidRDefault="00946A11" w:rsidP="00AD0BB3">
            <w:pPr>
              <w:rPr>
                <w:szCs w:val="24"/>
                <w:lang w:eastAsia="lt-LT"/>
              </w:rPr>
            </w:pPr>
            <w:r w:rsidRPr="00967EC5">
              <w:rPr>
                <w:szCs w:val="24"/>
                <w:lang w:eastAsia="lt-LT"/>
              </w:rPr>
              <w:t>□</w:t>
            </w:r>
            <w:r w:rsidR="009D0B40" w:rsidRPr="00967EC5">
              <w:rPr>
                <w:szCs w:val="24"/>
                <w:lang w:eastAsia="lt-LT"/>
              </w:rPr>
              <w:t xml:space="preserve"> </w:t>
            </w:r>
            <w:r w:rsidR="002D5183" w:rsidRPr="00967EC5">
              <w:rPr>
                <w:szCs w:val="24"/>
                <w:lang w:eastAsia="lt-LT"/>
              </w:rPr>
              <w:t>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9.</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Jeigu pagal numatomą reguliavimą sprendimus priima </w:t>
            </w:r>
            <w:r w:rsidRPr="00967EC5">
              <w:rPr>
                <w:szCs w:val="24"/>
                <w:lang w:eastAsia="lt-LT"/>
              </w:rPr>
              <w:lastRenderedPageBreak/>
              <w:t>kolegialus subjektas, teisės akto projekte nustatyta kolegialaus sprendimus priimančio subjekto:</w:t>
            </w:r>
          </w:p>
          <w:p w:rsidR="00CF541C" w:rsidRPr="00967EC5" w:rsidRDefault="00CF541C" w:rsidP="00AD0BB3">
            <w:pPr>
              <w:ind w:left="33"/>
              <w:rPr>
                <w:szCs w:val="24"/>
              </w:rPr>
            </w:pPr>
            <w:r w:rsidRPr="00967EC5">
              <w:rPr>
                <w:szCs w:val="24"/>
              </w:rPr>
              <w:t>9.1. konkretus narių skaičius, užtikrinantis kolegialaus sprendimus priimančio subjekto veiklos objektyvumą;</w:t>
            </w:r>
          </w:p>
          <w:p w:rsidR="00CF541C" w:rsidRPr="00967EC5" w:rsidRDefault="00CF541C" w:rsidP="00AD0BB3">
            <w:pPr>
              <w:ind w:left="33"/>
              <w:rPr>
                <w:szCs w:val="24"/>
              </w:rPr>
            </w:pPr>
            <w:r w:rsidRPr="00967EC5">
              <w:rPr>
                <w:szCs w:val="24"/>
              </w:rPr>
              <w:t>9.2. jeigu narius skiria keli subjektai, proporcinga kiekvieno subjekto skiriamų narių dalis, užtikrinanti tinkamą atstovavimą valstybės interesams ir kolegialaus sprendimus priimančio subjekto veiklos objektyvumą ir skaidrumą;</w:t>
            </w:r>
          </w:p>
          <w:p w:rsidR="00CF541C" w:rsidRPr="00967EC5" w:rsidRDefault="00CF541C" w:rsidP="00AD0BB3">
            <w:pPr>
              <w:rPr>
                <w:szCs w:val="24"/>
                <w:lang w:eastAsia="lt-LT"/>
              </w:rPr>
            </w:pPr>
            <w:r w:rsidRPr="00967EC5">
              <w:rPr>
                <w:szCs w:val="24"/>
                <w:lang w:eastAsia="lt-LT"/>
              </w:rPr>
              <w:t>9.3</w:t>
            </w:r>
            <w:r w:rsidRPr="00967EC5">
              <w:rPr>
                <w:spacing w:val="-4"/>
                <w:szCs w:val="24"/>
                <w:lang w:eastAsia="lt-LT"/>
              </w:rPr>
              <w:t>. narių skyrimo mechanizmas;</w:t>
            </w:r>
          </w:p>
          <w:p w:rsidR="00CF541C" w:rsidRPr="00967EC5" w:rsidRDefault="00CF541C" w:rsidP="00AD0BB3">
            <w:pPr>
              <w:rPr>
                <w:szCs w:val="24"/>
                <w:lang w:eastAsia="lt-LT"/>
              </w:rPr>
            </w:pPr>
            <w:r w:rsidRPr="00967EC5">
              <w:rPr>
                <w:szCs w:val="24"/>
                <w:lang w:eastAsia="lt-LT"/>
              </w:rPr>
              <w:t>9.4. narių rotacija ir kadencijų skaičius ir trukmė;</w:t>
            </w:r>
          </w:p>
          <w:p w:rsidR="00CF541C" w:rsidRPr="00967EC5" w:rsidRDefault="00CF541C" w:rsidP="00AD0BB3">
            <w:pPr>
              <w:rPr>
                <w:szCs w:val="24"/>
              </w:rPr>
            </w:pPr>
            <w:r w:rsidRPr="00967EC5">
              <w:rPr>
                <w:szCs w:val="24"/>
              </w:rPr>
              <w:t>9.5. veiklos pobūdis laiko atžvilgiu;</w:t>
            </w:r>
          </w:p>
          <w:p w:rsidR="00CF541C" w:rsidRPr="00967EC5" w:rsidRDefault="00CF541C" w:rsidP="00AD0BB3">
            <w:pPr>
              <w:rPr>
                <w:szCs w:val="24"/>
                <w:lang w:eastAsia="lt-LT"/>
              </w:rPr>
            </w:pPr>
            <w:r w:rsidRPr="00967EC5">
              <w:rPr>
                <w:szCs w:val="24"/>
                <w:lang w:eastAsia="lt-LT"/>
              </w:rPr>
              <w:t>9.6. individuali narių atsakomybė</w:t>
            </w:r>
          </w:p>
        </w:tc>
        <w:tc>
          <w:tcPr>
            <w:tcW w:w="3845" w:type="dxa"/>
            <w:shd w:val="clear" w:color="auto" w:fill="auto"/>
          </w:tcPr>
          <w:p w:rsidR="00E277E9" w:rsidRPr="00967EC5" w:rsidRDefault="00E277E9" w:rsidP="00E277E9">
            <w:pPr>
              <w:rPr>
                <w:bCs/>
                <w:szCs w:val="24"/>
              </w:rPr>
            </w:pPr>
            <w:r w:rsidRPr="00967EC5">
              <w:rPr>
                <w:bCs/>
                <w:szCs w:val="24"/>
              </w:rPr>
              <w:lastRenderedPageBreak/>
              <w:t>Ši</w:t>
            </w:r>
            <w:r>
              <w:rPr>
                <w:bCs/>
                <w:szCs w:val="24"/>
              </w:rPr>
              <w:t>s kriterijus</w:t>
            </w:r>
            <w:r w:rsidRPr="00967EC5">
              <w:rPr>
                <w:bCs/>
                <w:szCs w:val="24"/>
              </w:rPr>
              <w:t xml:space="preserve"> </w:t>
            </w:r>
            <w:r>
              <w:rPr>
                <w:bCs/>
                <w:szCs w:val="24"/>
              </w:rPr>
              <w:t>neaktualus.</w:t>
            </w:r>
          </w:p>
          <w:p w:rsidR="00BD494A" w:rsidRPr="00967EC5" w:rsidRDefault="00B7512A" w:rsidP="00B7512A">
            <w:pPr>
              <w:tabs>
                <w:tab w:val="left" w:pos="993"/>
              </w:tabs>
              <w:jc w:val="both"/>
              <w:rPr>
                <w:color w:val="000000"/>
                <w:szCs w:val="24"/>
              </w:rPr>
            </w:pPr>
            <w:r w:rsidRPr="00967EC5">
              <w:rPr>
                <w:bCs/>
                <w:szCs w:val="24"/>
              </w:rPr>
              <w:t>Projekte tokių nuostatų nėra.</w:t>
            </w:r>
          </w:p>
          <w:p w:rsidR="0049755F" w:rsidRPr="00967EC5" w:rsidRDefault="0049755F" w:rsidP="00552E31">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lastRenderedPageBreak/>
              <w:t>10.</w:t>
            </w:r>
          </w:p>
        </w:tc>
        <w:tc>
          <w:tcPr>
            <w:tcW w:w="3301" w:type="dxa"/>
            <w:shd w:val="clear" w:color="auto" w:fill="auto"/>
          </w:tcPr>
          <w:p w:rsidR="00CF541C" w:rsidRPr="00967EC5" w:rsidRDefault="00CF541C" w:rsidP="00AD0BB3">
            <w:pPr>
              <w:rPr>
                <w:szCs w:val="24"/>
                <w:lang w:eastAsia="lt-LT"/>
              </w:rPr>
            </w:pPr>
            <w:r w:rsidRPr="00967EC5">
              <w:rPr>
                <w:szCs w:val="24"/>
                <w:lang w:eastAsia="lt-LT"/>
              </w:rPr>
              <w:t xml:space="preserve">Teisės akto projekto nuostatoms įgyvendinti numatytos administracinės procedūros yra </w:t>
            </w:r>
            <w:r w:rsidRPr="00967EC5">
              <w:rPr>
                <w:szCs w:val="24"/>
                <w:shd w:val="clear" w:color="auto" w:fill="FFFFFF"/>
                <w:lang w:eastAsia="lt-LT"/>
              </w:rPr>
              <w:t>būtinos,</w:t>
            </w:r>
            <w:r w:rsidRPr="00967EC5">
              <w:rPr>
                <w:szCs w:val="24"/>
                <w:lang w:eastAsia="lt-LT"/>
              </w:rPr>
              <w:t xml:space="preserve"> nustatyta išsami jų taikymo tvarka </w:t>
            </w:r>
          </w:p>
          <w:p w:rsidR="00BD494A" w:rsidRPr="00967EC5" w:rsidRDefault="00BD494A" w:rsidP="00AD0BB3">
            <w:pPr>
              <w:rPr>
                <w:szCs w:val="24"/>
                <w:lang w:eastAsia="lt-LT"/>
              </w:rPr>
            </w:pP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AC6EFD" w:rsidRPr="00967EC5" w:rsidRDefault="00AC6EFD" w:rsidP="00AC6EFD">
            <w:pPr>
              <w:tabs>
                <w:tab w:val="left" w:pos="993"/>
              </w:tabs>
              <w:jc w:val="both"/>
              <w:rPr>
                <w:color w:val="000000"/>
                <w:szCs w:val="24"/>
              </w:rPr>
            </w:pPr>
            <w:r w:rsidRPr="00967EC5">
              <w:rPr>
                <w:bCs/>
                <w:szCs w:val="24"/>
              </w:rPr>
              <w:t>Projekte tokių nuostatų nėra.</w:t>
            </w:r>
          </w:p>
          <w:p w:rsidR="00CF541C" w:rsidRPr="00967EC5" w:rsidRDefault="00CF541C" w:rsidP="00DD1D8C">
            <w:pPr>
              <w:widowControl w:val="0"/>
              <w:suppressAutoHyphens/>
              <w:jc w:val="both"/>
              <w:rPr>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keepNext/>
              <w:jc w:val="center"/>
              <w:rPr>
                <w:szCs w:val="24"/>
                <w:lang w:eastAsia="lt-LT"/>
              </w:rPr>
            </w:pPr>
            <w:r w:rsidRPr="00967EC5">
              <w:rPr>
                <w:szCs w:val="24"/>
                <w:lang w:eastAsia="lt-LT"/>
              </w:rPr>
              <w:lastRenderedPageBreak/>
              <w:t>11.</w:t>
            </w:r>
          </w:p>
        </w:tc>
        <w:tc>
          <w:tcPr>
            <w:tcW w:w="3301" w:type="dxa"/>
            <w:shd w:val="clear" w:color="auto" w:fill="auto"/>
          </w:tcPr>
          <w:p w:rsidR="00CF541C" w:rsidRPr="00967EC5" w:rsidRDefault="00CF541C" w:rsidP="00AD0BB3">
            <w:pPr>
              <w:keepNext/>
              <w:rPr>
                <w:szCs w:val="24"/>
                <w:lang w:eastAsia="lt-LT"/>
              </w:rPr>
            </w:pPr>
            <w:r w:rsidRPr="00967EC5">
              <w:rPr>
                <w:szCs w:val="24"/>
                <w:lang w:eastAsia="lt-LT"/>
              </w:rPr>
              <w:t>Teisės akto projekte nustatytas baigtinis sąrašas motyvuotų atvejų, kai administracinė procedūra netaikoma</w:t>
            </w:r>
          </w:p>
          <w:p w:rsidR="00BD494A" w:rsidRPr="00967EC5" w:rsidRDefault="00BD494A" w:rsidP="00AD0BB3">
            <w:pPr>
              <w:keepNext/>
              <w:rPr>
                <w:szCs w:val="24"/>
                <w:lang w:eastAsia="lt-LT"/>
              </w:rPr>
            </w:pP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646FBE" w:rsidRPr="00967EC5" w:rsidRDefault="00646FBE" w:rsidP="00450D6B">
            <w:pPr>
              <w:keepNext/>
              <w:jc w:val="both"/>
              <w:rPr>
                <w:szCs w:val="24"/>
                <w:lang w:eastAsia="lt-LT"/>
              </w:rPr>
            </w:pPr>
          </w:p>
        </w:tc>
        <w:tc>
          <w:tcPr>
            <w:tcW w:w="3658" w:type="dxa"/>
            <w:shd w:val="clear" w:color="auto" w:fill="auto"/>
          </w:tcPr>
          <w:p w:rsidR="00CF541C" w:rsidRPr="00967EC5" w:rsidRDefault="00CF541C" w:rsidP="00AD0BB3">
            <w:pPr>
              <w:keepNext/>
              <w:rPr>
                <w:szCs w:val="24"/>
                <w:lang w:eastAsia="lt-LT"/>
              </w:rPr>
            </w:pPr>
          </w:p>
        </w:tc>
        <w:tc>
          <w:tcPr>
            <w:tcW w:w="2611" w:type="dxa"/>
            <w:shd w:val="clear" w:color="auto" w:fill="auto"/>
          </w:tcPr>
          <w:p w:rsidR="00CF541C" w:rsidRPr="00967EC5" w:rsidRDefault="00E277E9" w:rsidP="00AD0BB3">
            <w:pPr>
              <w:keepNext/>
              <w:rPr>
                <w:szCs w:val="24"/>
                <w:lang w:eastAsia="lt-LT"/>
              </w:rPr>
            </w:pPr>
            <w:r w:rsidRPr="00967EC5">
              <w:rPr>
                <w:szCs w:val="24"/>
                <w:lang w:eastAsia="lt-LT"/>
              </w:rPr>
              <w:t>□</w:t>
            </w:r>
            <w:r w:rsidR="00450D6B">
              <w:rPr>
                <w:szCs w:val="24"/>
                <w:lang w:eastAsia="lt-LT"/>
              </w:rPr>
              <w:t xml:space="preserve"> </w:t>
            </w:r>
            <w:r w:rsidR="00CF541C" w:rsidRPr="00967EC5">
              <w:rPr>
                <w:szCs w:val="24"/>
                <w:lang w:eastAsia="lt-LT"/>
              </w:rPr>
              <w:t>tenkina</w:t>
            </w:r>
          </w:p>
          <w:p w:rsidR="00CF541C" w:rsidRPr="00967EC5" w:rsidRDefault="00CF541C" w:rsidP="00AD0BB3">
            <w:pPr>
              <w:keepNext/>
              <w:rPr>
                <w:szCs w:val="24"/>
                <w:lang w:eastAsia="lt-LT"/>
              </w:rPr>
            </w:pPr>
            <w:r w:rsidRPr="00967EC5">
              <w:rPr>
                <w:szCs w:val="24"/>
                <w:lang w:eastAsia="lt-LT"/>
              </w:rPr>
              <w:t>□ netenkina</w:t>
            </w:r>
          </w:p>
        </w:tc>
      </w:tr>
      <w:tr w:rsidR="00CF541C" w:rsidRPr="00967EC5" w:rsidTr="00722F99">
        <w:trPr>
          <w:trHeight w:val="1545"/>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12.</w:t>
            </w:r>
          </w:p>
        </w:tc>
        <w:tc>
          <w:tcPr>
            <w:tcW w:w="3301" w:type="dxa"/>
            <w:shd w:val="clear" w:color="auto" w:fill="auto"/>
          </w:tcPr>
          <w:p w:rsidR="00BD494A" w:rsidRPr="00722F99" w:rsidRDefault="00CF541C" w:rsidP="00AD0BB3">
            <w:pPr>
              <w:rPr>
                <w:szCs w:val="24"/>
                <w:lang w:eastAsia="lt-LT"/>
              </w:rPr>
            </w:pPr>
            <w:r w:rsidRPr="00CB4EA0">
              <w:rPr>
                <w:szCs w:val="24"/>
                <w:lang w:eastAsia="lt-LT"/>
              </w:rPr>
              <w:t>Teisės akto projektas nustato jo nuostatoms įgyvendinti numatytų administracinių procedūrų ir sprendimo priėmimo konkrečius terminus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CB4EA0" w:rsidRPr="00CB4EA0" w:rsidRDefault="00CB4EA0" w:rsidP="00CB4EA0">
            <w:pPr>
              <w:jc w:val="both"/>
              <w:rPr>
                <w:szCs w:val="24"/>
                <w:lang w:eastAsia="lt-LT"/>
              </w:rPr>
            </w:pPr>
          </w:p>
          <w:p w:rsidR="00F279DA" w:rsidRPr="00F279DA" w:rsidRDefault="00F279DA" w:rsidP="00F279DA">
            <w:pPr>
              <w:tabs>
                <w:tab w:val="left" w:pos="993"/>
              </w:tabs>
              <w:jc w:val="both"/>
              <w:rPr>
                <w:color w:val="000000"/>
                <w:szCs w:val="24"/>
              </w:rPr>
            </w:pPr>
          </w:p>
          <w:p w:rsidR="00F279DA" w:rsidRPr="00F279DA" w:rsidRDefault="00F279DA" w:rsidP="00AC6EFD">
            <w:pPr>
              <w:rPr>
                <w:b/>
                <w:bCs/>
                <w:szCs w:val="24"/>
              </w:rPr>
            </w:pPr>
          </w:p>
          <w:p w:rsidR="00F279DA" w:rsidRPr="00F279DA" w:rsidRDefault="00F279DA" w:rsidP="00AC6EFD">
            <w:pPr>
              <w:rPr>
                <w:b/>
                <w:bCs/>
                <w:szCs w:val="24"/>
              </w:rPr>
            </w:pPr>
          </w:p>
          <w:p w:rsidR="00F279DA" w:rsidRPr="00F279DA" w:rsidRDefault="00F279DA" w:rsidP="00AC6EFD">
            <w:pPr>
              <w:rPr>
                <w:b/>
                <w:bCs/>
                <w:szCs w:val="24"/>
              </w:rPr>
            </w:pPr>
          </w:p>
          <w:p w:rsidR="00CF541C" w:rsidRPr="00F279DA" w:rsidRDefault="00CF541C" w:rsidP="00F279DA">
            <w:pPr>
              <w:tabs>
                <w:tab w:val="left" w:pos="993"/>
              </w:tabs>
              <w:jc w:val="both"/>
              <w:rPr>
                <w:b/>
                <w:szCs w:val="24"/>
                <w:lang w:eastAsia="lt-LT"/>
              </w:rPr>
            </w:pPr>
          </w:p>
        </w:tc>
        <w:tc>
          <w:tcPr>
            <w:tcW w:w="3658" w:type="dxa"/>
            <w:shd w:val="clear" w:color="auto" w:fill="auto"/>
          </w:tcPr>
          <w:p w:rsidR="00CF541C" w:rsidRPr="00F279DA"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13.</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motyvuotas terminų sustabdymo ir pratęsimo galimybes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BD494A" w:rsidRPr="00967EC5" w:rsidRDefault="00BD494A" w:rsidP="00DD1D8C">
            <w:pPr>
              <w:suppressAutoHyphens/>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14.</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administracinių procedūrų viešinimo tvarką</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49755F" w:rsidRPr="00967EC5" w:rsidRDefault="0049755F" w:rsidP="005602FD">
            <w:pPr>
              <w:tabs>
                <w:tab w:val="left" w:pos="993"/>
              </w:tabs>
              <w:jc w:val="both"/>
              <w:rPr>
                <w:b/>
                <w:color w:val="000000"/>
                <w:szCs w:val="24"/>
              </w:rPr>
            </w:pPr>
          </w:p>
        </w:tc>
        <w:tc>
          <w:tcPr>
            <w:tcW w:w="3658" w:type="dxa"/>
            <w:shd w:val="clear" w:color="auto" w:fill="auto"/>
          </w:tcPr>
          <w:p w:rsidR="00CF541C" w:rsidRPr="00967EC5" w:rsidRDefault="00CF541C" w:rsidP="00AD0BB3">
            <w:pPr>
              <w:rPr>
                <w:b/>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w:t>
            </w:r>
            <w:r w:rsidR="00CF541C" w:rsidRPr="00967EC5">
              <w:rPr>
                <w:szCs w:val="24"/>
                <w:lang w:eastAsia="lt-LT"/>
              </w:rPr>
              <w:t xml:space="preserve">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15.</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49755F" w:rsidRPr="00967EC5" w:rsidRDefault="0049755F" w:rsidP="0049755F">
            <w:pPr>
              <w:tabs>
                <w:tab w:val="left" w:pos="993"/>
              </w:tabs>
              <w:jc w:val="both"/>
              <w:rPr>
                <w:b/>
                <w:color w:val="000000"/>
                <w:szCs w:val="24"/>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B7512A" w:rsidP="00AD0BB3">
            <w:pPr>
              <w:rPr>
                <w:szCs w:val="24"/>
                <w:lang w:eastAsia="lt-LT"/>
              </w:rPr>
            </w:pPr>
            <w:r w:rsidRPr="00967EC5">
              <w:rPr>
                <w:szCs w:val="24"/>
                <w:lang w:eastAsia="lt-LT"/>
              </w:rPr>
              <w:t xml:space="preserve">□ </w:t>
            </w:r>
            <w:r w:rsidR="00CF541C" w:rsidRPr="00967EC5">
              <w:rPr>
                <w:szCs w:val="24"/>
                <w:lang w:eastAsia="lt-LT"/>
              </w:rPr>
              <w:t>tenkina</w:t>
            </w:r>
          </w:p>
          <w:p w:rsidR="00CF541C" w:rsidRPr="00967EC5" w:rsidRDefault="00CF541C"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jc w:val="center"/>
              <w:rPr>
                <w:szCs w:val="24"/>
                <w:lang w:eastAsia="lt-LT"/>
              </w:rPr>
            </w:pPr>
            <w:r w:rsidRPr="00967EC5">
              <w:rPr>
                <w:szCs w:val="24"/>
                <w:lang w:eastAsia="lt-LT"/>
              </w:rPr>
              <w:t>16.</w:t>
            </w:r>
          </w:p>
        </w:tc>
        <w:tc>
          <w:tcPr>
            <w:tcW w:w="3301" w:type="dxa"/>
            <w:shd w:val="clear" w:color="auto" w:fill="auto"/>
          </w:tcPr>
          <w:p w:rsidR="00AC6EFD" w:rsidRPr="00967EC5" w:rsidRDefault="00AC6EFD" w:rsidP="002C0C53">
            <w:pPr>
              <w:rPr>
                <w:szCs w:val="24"/>
                <w:lang w:eastAsia="lt-LT"/>
              </w:rPr>
            </w:pPr>
            <w:r w:rsidRPr="00967EC5">
              <w:rPr>
                <w:szCs w:val="24"/>
                <w:lang w:eastAsia="lt-LT"/>
              </w:rPr>
              <w:t>Teisės akto projekte nustatytos kontrolės (priežiūros) skaidrumo ir objektyvumo užtikrinimo priemonės</w:t>
            </w: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AC6EFD" w:rsidRPr="00967EC5" w:rsidRDefault="00AC6EFD" w:rsidP="001571A9">
            <w:pPr>
              <w:rPr>
                <w:bCs/>
                <w:szCs w:val="24"/>
              </w:rPr>
            </w:pPr>
          </w:p>
        </w:tc>
        <w:tc>
          <w:tcPr>
            <w:tcW w:w="3658" w:type="dxa"/>
            <w:shd w:val="clear" w:color="auto" w:fill="auto"/>
          </w:tcPr>
          <w:p w:rsidR="00AC6EFD" w:rsidRPr="00967EC5" w:rsidRDefault="00AC6EFD" w:rsidP="00AD0BB3">
            <w:pPr>
              <w:rPr>
                <w:szCs w:val="24"/>
                <w:lang w:eastAsia="lt-LT"/>
              </w:rPr>
            </w:pPr>
          </w:p>
        </w:tc>
        <w:tc>
          <w:tcPr>
            <w:tcW w:w="2611" w:type="dxa"/>
            <w:shd w:val="clear" w:color="auto" w:fill="auto"/>
          </w:tcPr>
          <w:p w:rsidR="00AC6EFD" w:rsidRPr="00967EC5" w:rsidRDefault="00AC6EFD" w:rsidP="00AD0BB3">
            <w:pPr>
              <w:rPr>
                <w:szCs w:val="24"/>
                <w:lang w:eastAsia="lt-LT"/>
              </w:rPr>
            </w:pPr>
            <w:r w:rsidRPr="00967EC5">
              <w:rPr>
                <w:szCs w:val="24"/>
                <w:lang w:eastAsia="lt-LT"/>
              </w:rPr>
              <w:t>□ tenkina</w:t>
            </w:r>
          </w:p>
          <w:p w:rsidR="00AC6EFD" w:rsidRPr="00967EC5" w:rsidRDefault="00AC6EFD" w:rsidP="00AD0BB3">
            <w:pPr>
              <w:rPr>
                <w:szCs w:val="24"/>
                <w:lang w:eastAsia="lt-LT"/>
              </w:rPr>
            </w:pPr>
            <w:r w:rsidRPr="00967EC5">
              <w:rPr>
                <w:szCs w:val="24"/>
                <w:lang w:eastAsia="lt-LT"/>
              </w:rPr>
              <w:t>□ netenkina</w:t>
            </w:r>
          </w:p>
        </w:tc>
      </w:tr>
      <w:tr w:rsidR="00AC6EFD" w:rsidRPr="00967EC5" w:rsidTr="004E1B6F">
        <w:trPr>
          <w:trHeight w:val="23"/>
        </w:trPr>
        <w:tc>
          <w:tcPr>
            <w:tcW w:w="696" w:type="dxa"/>
            <w:shd w:val="clear" w:color="auto" w:fill="auto"/>
          </w:tcPr>
          <w:p w:rsidR="00AC6EFD" w:rsidRPr="00967EC5" w:rsidRDefault="00AC6EFD" w:rsidP="00AD0BB3">
            <w:pPr>
              <w:keepNext/>
              <w:jc w:val="center"/>
              <w:rPr>
                <w:szCs w:val="24"/>
                <w:lang w:eastAsia="lt-LT"/>
              </w:rPr>
            </w:pPr>
            <w:r w:rsidRPr="00967EC5">
              <w:rPr>
                <w:szCs w:val="24"/>
                <w:lang w:eastAsia="lt-LT"/>
              </w:rPr>
              <w:lastRenderedPageBreak/>
              <w:t>17.</w:t>
            </w:r>
          </w:p>
        </w:tc>
        <w:tc>
          <w:tcPr>
            <w:tcW w:w="3301" w:type="dxa"/>
            <w:shd w:val="clear" w:color="auto" w:fill="auto"/>
          </w:tcPr>
          <w:p w:rsidR="00AC6EFD" w:rsidRPr="00967EC5" w:rsidRDefault="00AC6EFD" w:rsidP="00AD0BB3">
            <w:pPr>
              <w:keepNext/>
              <w:rPr>
                <w:szCs w:val="24"/>
                <w:lang w:eastAsia="lt-LT"/>
              </w:rPr>
            </w:pPr>
            <w:r w:rsidRPr="00967EC5">
              <w:rPr>
                <w:szCs w:val="24"/>
                <w:lang w:eastAsia="lt-LT"/>
              </w:rPr>
              <w:t>Teisės akto projekte nustatyta subjektų, su kuriais susijęs teisės akto projekto nuostatų įgyvendinimas, atsakomybės rūšis (tarnybinė, administracinė, baudžiamoji ir panašiai)</w:t>
            </w:r>
          </w:p>
          <w:p w:rsidR="00AC6EFD" w:rsidRPr="00967EC5" w:rsidRDefault="00AC6EFD" w:rsidP="00AD0BB3">
            <w:pPr>
              <w:keepNext/>
              <w:rPr>
                <w:szCs w:val="24"/>
                <w:lang w:eastAsia="lt-LT"/>
              </w:rPr>
            </w:pP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AC6EFD" w:rsidRPr="00967EC5" w:rsidRDefault="00AC6EFD" w:rsidP="001571A9">
            <w:pPr>
              <w:tabs>
                <w:tab w:val="left" w:pos="993"/>
              </w:tabs>
              <w:jc w:val="both"/>
              <w:rPr>
                <w:color w:val="000000"/>
                <w:szCs w:val="24"/>
              </w:rPr>
            </w:pPr>
          </w:p>
        </w:tc>
        <w:tc>
          <w:tcPr>
            <w:tcW w:w="3658" w:type="dxa"/>
            <w:shd w:val="clear" w:color="auto" w:fill="auto"/>
          </w:tcPr>
          <w:p w:rsidR="00AC6EFD" w:rsidRPr="00967EC5" w:rsidRDefault="00AC6EFD" w:rsidP="00AD0BB3">
            <w:pPr>
              <w:keepNext/>
              <w:rPr>
                <w:b/>
                <w:szCs w:val="24"/>
                <w:lang w:eastAsia="lt-LT"/>
              </w:rPr>
            </w:pPr>
          </w:p>
        </w:tc>
        <w:tc>
          <w:tcPr>
            <w:tcW w:w="2611" w:type="dxa"/>
            <w:shd w:val="clear" w:color="auto" w:fill="auto"/>
          </w:tcPr>
          <w:p w:rsidR="00AC6EFD" w:rsidRPr="00967EC5" w:rsidRDefault="00AC6EFD" w:rsidP="00AD0BB3">
            <w:pPr>
              <w:keepNext/>
              <w:rPr>
                <w:szCs w:val="24"/>
                <w:lang w:eastAsia="lt-LT"/>
              </w:rPr>
            </w:pPr>
            <w:r w:rsidRPr="00967EC5">
              <w:rPr>
                <w:szCs w:val="24"/>
                <w:lang w:eastAsia="lt-LT"/>
              </w:rPr>
              <w:t>□ tenkina</w:t>
            </w:r>
          </w:p>
          <w:p w:rsidR="00AC6EFD" w:rsidRPr="00967EC5" w:rsidRDefault="00AC6EFD" w:rsidP="00AD0BB3">
            <w:pPr>
              <w:keepNext/>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18.</w:t>
            </w:r>
          </w:p>
        </w:tc>
        <w:tc>
          <w:tcPr>
            <w:tcW w:w="3301" w:type="dxa"/>
            <w:shd w:val="clear" w:color="auto" w:fill="auto"/>
          </w:tcPr>
          <w:p w:rsidR="00CF541C" w:rsidRPr="00967EC5" w:rsidRDefault="00CF541C" w:rsidP="00AD0BB3">
            <w:pPr>
              <w:rPr>
                <w:szCs w:val="24"/>
                <w:lang w:eastAsia="lt-LT"/>
              </w:rPr>
            </w:pPr>
            <w:r w:rsidRPr="00967EC5">
              <w:rPr>
                <w:szCs w:val="24"/>
                <w:lang w:eastAsia="lt-LT"/>
              </w:rPr>
              <w:t>Teisės aktų projekte numatytas baigtinis sąrašas kriterijų, pagal kuriuos skiriama nuobauda (sankcija) už teisės akto projekte nustatytų nurodymų nevykdymą, ir nustatyta aiški jos skyrimo procedūra</w:t>
            </w:r>
          </w:p>
          <w:p w:rsidR="0049755F" w:rsidRPr="00967EC5" w:rsidRDefault="0049755F" w:rsidP="00AD0BB3">
            <w:pPr>
              <w:rPr>
                <w:szCs w:val="24"/>
                <w:lang w:eastAsia="lt-LT"/>
              </w:rPr>
            </w:pPr>
          </w:p>
        </w:tc>
        <w:tc>
          <w:tcPr>
            <w:tcW w:w="3845" w:type="dxa"/>
            <w:shd w:val="clear" w:color="auto" w:fill="auto"/>
          </w:tcPr>
          <w:p w:rsidR="00E277E9" w:rsidRPr="00967EC5" w:rsidRDefault="00E277E9" w:rsidP="00E277E9">
            <w:pPr>
              <w:rPr>
                <w:bCs/>
                <w:szCs w:val="24"/>
              </w:rPr>
            </w:pPr>
            <w:r w:rsidRPr="00967EC5">
              <w:rPr>
                <w:bCs/>
                <w:szCs w:val="24"/>
              </w:rPr>
              <w:t>Ši</w:t>
            </w:r>
            <w:r>
              <w:rPr>
                <w:bCs/>
                <w:szCs w:val="24"/>
              </w:rPr>
              <w:t>s kriterijus</w:t>
            </w:r>
            <w:r w:rsidRPr="00967EC5">
              <w:rPr>
                <w:bCs/>
                <w:szCs w:val="24"/>
              </w:rPr>
              <w:t xml:space="preserve"> </w:t>
            </w:r>
            <w:r>
              <w:rPr>
                <w:bCs/>
                <w:szCs w:val="24"/>
              </w:rPr>
              <w:t>neaktualus.</w:t>
            </w:r>
          </w:p>
          <w:p w:rsidR="00E277E9" w:rsidRPr="00967EC5" w:rsidRDefault="00E277E9" w:rsidP="00E277E9">
            <w:pPr>
              <w:tabs>
                <w:tab w:val="left" w:pos="993"/>
              </w:tabs>
              <w:jc w:val="both"/>
              <w:rPr>
                <w:color w:val="000000"/>
                <w:szCs w:val="24"/>
              </w:rPr>
            </w:pPr>
            <w:r w:rsidRPr="00967EC5">
              <w:rPr>
                <w:bCs/>
                <w:szCs w:val="24"/>
              </w:rPr>
              <w:t>Projekte tokių nuostatų nėra.</w:t>
            </w:r>
          </w:p>
          <w:p w:rsidR="00CF541C" w:rsidRPr="00967EC5" w:rsidRDefault="00CF541C" w:rsidP="005602FD">
            <w:pPr>
              <w:keepNext/>
              <w:jc w:val="both"/>
              <w:rPr>
                <w:szCs w:val="24"/>
                <w:lang w:eastAsia="lt-LT"/>
              </w:rPr>
            </w:pP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r w:rsidR="00CF541C" w:rsidRPr="00967EC5" w:rsidTr="004E1B6F">
        <w:trPr>
          <w:trHeight w:val="23"/>
        </w:trPr>
        <w:tc>
          <w:tcPr>
            <w:tcW w:w="696" w:type="dxa"/>
            <w:shd w:val="clear" w:color="auto" w:fill="auto"/>
          </w:tcPr>
          <w:p w:rsidR="00CF541C" w:rsidRPr="00967EC5" w:rsidRDefault="00CF541C" w:rsidP="00AD0BB3">
            <w:pPr>
              <w:jc w:val="center"/>
              <w:rPr>
                <w:szCs w:val="24"/>
                <w:lang w:eastAsia="lt-LT"/>
              </w:rPr>
            </w:pPr>
            <w:r w:rsidRPr="00967EC5">
              <w:rPr>
                <w:szCs w:val="24"/>
                <w:lang w:eastAsia="lt-LT"/>
              </w:rPr>
              <w:t>19.</w:t>
            </w:r>
          </w:p>
        </w:tc>
        <w:tc>
          <w:tcPr>
            <w:tcW w:w="3301" w:type="dxa"/>
            <w:shd w:val="clear" w:color="auto" w:fill="auto"/>
          </w:tcPr>
          <w:p w:rsidR="00CF541C" w:rsidRPr="00967EC5" w:rsidRDefault="00CF541C" w:rsidP="00AD0BB3">
            <w:pPr>
              <w:rPr>
                <w:szCs w:val="24"/>
                <w:lang w:eastAsia="lt-LT"/>
              </w:rPr>
            </w:pPr>
            <w:r w:rsidRPr="00967EC5">
              <w:rPr>
                <w:szCs w:val="24"/>
                <w:lang w:eastAsia="lt-LT"/>
              </w:rPr>
              <w:t>Kiti svarbūs kriterijai</w:t>
            </w:r>
          </w:p>
        </w:tc>
        <w:tc>
          <w:tcPr>
            <w:tcW w:w="3845" w:type="dxa"/>
            <w:shd w:val="clear" w:color="auto" w:fill="auto"/>
          </w:tcPr>
          <w:p w:rsidR="00CF541C" w:rsidRPr="00967EC5" w:rsidRDefault="00CF541C" w:rsidP="00AD0BB3">
            <w:pPr>
              <w:rPr>
                <w:szCs w:val="24"/>
                <w:lang w:eastAsia="lt-LT"/>
              </w:rPr>
            </w:pPr>
            <w:r w:rsidRPr="00967EC5">
              <w:rPr>
                <w:szCs w:val="24"/>
                <w:lang w:eastAsia="lt-LT"/>
              </w:rPr>
              <w:t>Nėra.</w:t>
            </w:r>
          </w:p>
        </w:tc>
        <w:tc>
          <w:tcPr>
            <w:tcW w:w="3658" w:type="dxa"/>
            <w:shd w:val="clear" w:color="auto" w:fill="auto"/>
          </w:tcPr>
          <w:p w:rsidR="00CF541C" w:rsidRPr="00967EC5" w:rsidRDefault="00CF541C" w:rsidP="00AD0BB3">
            <w:pPr>
              <w:rPr>
                <w:szCs w:val="24"/>
                <w:lang w:eastAsia="lt-LT"/>
              </w:rPr>
            </w:pPr>
          </w:p>
        </w:tc>
        <w:tc>
          <w:tcPr>
            <w:tcW w:w="2611" w:type="dxa"/>
            <w:shd w:val="clear" w:color="auto" w:fill="auto"/>
          </w:tcPr>
          <w:p w:rsidR="00CF541C" w:rsidRPr="00967EC5" w:rsidRDefault="00CF541C" w:rsidP="00AD0BB3">
            <w:pPr>
              <w:rPr>
                <w:szCs w:val="24"/>
                <w:lang w:eastAsia="lt-LT"/>
              </w:rPr>
            </w:pPr>
            <w:r w:rsidRPr="00967EC5">
              <w:rPr>
                <w:szCs w:val="24"/>
                <w:lang w:eastAsia="lt-LT"/>
              </w:rPr>
              <w:t>□ tenkina</w:t>
            </w:r>
          </w:p>
          <w:p w:rsidR="00CF541C" w:rsidRPr="00967EC5" w:rsidRDefault="00CF541C" w:rsidP="00AD0BB3">
            <w:pPr>
              <w:rPr>
                <w:szCs w:val="24"/>
                <w:lang w:eastAsia="lt-LT"/>
              </w:rPr>
            </w:pPr>
            <w:r w:rsidRPr="00967EC5">
              <w:rPr>
                <w:szCs w:val="24"/>
                <w:lang w:eastAsia="lt-LT"/>
              </w:rPr>
              <w:t>□ netenkina</w:t>
            </w:r>
          </w:p>
        </w:tc>
      </w:tr>
    </w:tbl>
    <w:p w:rsidR="002D5183" w:rsidRPr="00967EC5" w:rsidRDefault="002D5183" w:rsidP="002D5183">
      <w:pPr>
        <w:tabs>
          <w:tab w:val="left" w:pos="6237"/>
        </w:tabs>
        <w:rPr>
          <w:color w:val="000000"/>
          <w:szCs w:val="24"/>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967EC5" w:rsidTr="002C22BF">
        <w:trPr>
          <w:trHeight w:val="23"/>
        </w:trPr>
        <w:tc>
          <w:tcPr>
            <w:tcW w:w="7164" w:type="dxa"/>
            <w:gridSpan w:val="2"/>
            <w:shd w:val="clear" w:color="auto" w:fill="auto"/>
          </w:tcPr>
          <w:p w:rsidR="002C22BF" w:rsidRDefault="002C22BF" w:rsidP="00FE64A8">
            <w:pPr>
              <w:rPr>
                <w:szCs w:val="24"/>
                <w:lang w:eastAsia="lt-LT"/>
              </w:rPr>
            </w:pPr>
            <w:r w:rsidRPr="00967EC5">
              <w:rPr>
                <w:szCs w:val="24"/>
                <w:lang w:eastAsia="lt-LT"/>
              </w:rPr>
              <w:t>Teisės akt</w:t>
            </w:r>
            <w:r w:rsidR="005D6668">
              <w:rPr>
                <w:szCs w:val="24"/>
                <w:lang w:eastAsia="lt-LT"/>
              </w:rPr>
              <w:t>o</w:t>
            </w:r>
            <w:r w:rsidRPr="00967EC5">
              <w:rPr>
                <w:szCs w:val="24"/>
                <w:lang w:eastAsia="lt-LT"/>
              </w:rPr>
              <w:t xml:space="preserve"> projekt</w:t>
            </w:r>
            <w:r w:rsidR="005D6668">
              <w:rPr>
                <w:szCs w:val="24"/>
                <w:lang w:eastAsia="lt-LT"/>
              </w:rPr>
              <w:t>o</w:t>
            </w:r>
            <w:r w:rsidR="00FE64A8">
              <w:rPr>
                <w:szCs w:val="24"/>
                <w:lang w:eastAsia="lt-LT"/>
              </w:rPr>
              <w:t xml:space="preserve"> </w:t>
            </w:r>
            <w:r w:rsidRPr="00967EC5">
              <w:rPr>
                <w:szCs w:val="24"/>
                <w:lang w:eastAsia="lt-LT"/>
              </w:rPr>
              <w:t>tiesioginis rengėjas:</w:t>
            </w:r>
          </w:p>
          <w:p w:rsidR="00AA7D98" w:rsidRPr="00967EC5" w:rsidRDefault="00AA7D98" w:rsidP="00FE64A8">
            <w:pPr>
              <w:rPr>
                <w:szCs w:val="24"/>
                <w:lang w:eastAsia="lt-LT"/>
              </w:rPr>
            </w:pPr>
          </w:p>
        </w:tc>
        <w:tc>
          <w:tcPr>
            <w:tcW w:w="7118" w:type="dxa"/>
            <w:gridSpan w:val="2"/>
            <w:shd w:val="clear" w:color="auto" w:fill="auto"/>
          </w:tcPr>
          <w:p w:rsidR="002C22BF" w:rsidRPr="00967EC5" w:rsidRDefault="002C22BF" w:rsidP="00FE64A8">
            <w:pPr>
              <w:rPr>
                <w:szCs w:val="24"/>
                <w:lang w:eastAsia="lt-LT"/>
              </w:rPr>
            </w:pPr>
            <w:r w:rsidRPr="00967EC5">
              <w:rPr>
                <w:szCs w:val="24"/>
                <w:lang w:eastAsia="lt-LT"/>
              </w:rPr>
              <w:t>Teisės akt</w:t>
            </w:r>
            <w:r w:rsidR="005D6668">
              <w:rPr>
                <w:szCs w:val="24"/>
                <w:lang w:eastAsia="lt-LT"/>
              </w:rPr>
              <w:t>o</w:t>
            </w:r>
            <w:r w:rsidRPr="00967EC5">
              <w:rPr>
                <w:szCs w:val="24"/>
                <w:lang w:eastAsia="lt-LT"/>
              </w:rPr>
              <w:t xml:space="preserve"> projekt</w:t>
            </w:r>
            <w:r w:rsidR="005D6668">
              <w:rPr>
                <w:szCs w:val="24"/>
                <w:lang w:eastAsia="lt-LT"/>
              </w:rPr>
              <w:t>o</w:t>
            </w:r>
            <w:r w:rsidRPr="00967EC5">
              <w:rPr>
                <w:szCs w:val="24"/>
                <w:lang w:eastAsia="lt-LT"/>
              </w:rPr>
              <w:t xml:space="preserve"> vertintojas:</w:t>
            </w:r>
          </w:p>
        </w:tc>
      </w:tr>
      <w:tr w:rsidR="002C22BF" w:rsidRPr="00967EC5" w:rsidTr="00715DA8">
        <w:trPr>
          <w:trHeight w:val="23"/>
        </w:trPr>
        <w:tc>
          <w:tcPr>
            <w:tcW w:w="5103" w:type="dxa"/>
            <w:tcBorders>
              <w:bottom w:val="single" w:sz="4" w:space="0" w:color="auto"/>
            </w:tcBorders>
            <w:shd w:val="clear" w:color="auto" w:fill="auto"/>
            <w:vAlign w:val="bottom"/>
          </w:tcPr>
          <w:p w:rsidR="002C22BF" w:rsidRPr="00AA7D98" w:rsidRDefault="00AA7D98" w:rsidP="00AA7D98">
            <w:pPr>
              <w:pStyle w:val="BodyText"/>
              <w:ind w:firstLine="0"/>
              <w:rPr>
                <w:rFonts w:cs="Times New Roman"/>
                <w:color w:val="000000"/>
              </w:rPr>
            </w:pPr>
            <w:r w:rsidRPr="004023DE">
              <w:rPr>
                <w:rFonts w:cs="Times New Roman"/>
                <w:color w:val="000000"/>
              </w:rPr>
              <w:t>Aplinkos ministerijos Gamtos apsaugos politikos grupės vyriausiasis specialistas Eduardas Vaitkevičius</w:t>
            </w:r>
            <w:r>
              <w:rPr>
                <w:rFonts w:cs="Times New Roman"/>
                <w:color w:val="000000"/>
              </w:rPr>
              <w:t xml:space="preserve">; </w:t>
            </w:r>
            <w:r w:rsidRPr="004023DE">
              <w:rPr>
                <w:spacing w:val="2"/>
              </w:rPr>
              <w:t xml:space="preserve">Valstybinės saugomų teritorijų tarnybos prie Aplinkos ministerijos  </w:t>
            </w:r>
            <w:r>
              <w:t xml:space="preserve">vyriausioji specialistė Laima </w:t>
            </w:r>
            <w:proofErr w:type="spellStart"/>
            <w:r>
              <w:t>Dabregaitė</w:t>
            </w:r>
            <w:proofErr w:type="spellEnd"/>
          </w:p>
        </w:tc>
        <w:tc>
          <w:tcPr>
            <w:tcW w:w="2061" w:type="dxa"/>
            <w:tcBorders>
              <w:bottom w:val="single" w:sz="4" w:space="0" w:color="auto"/>
            </w:tcBorders>
            <w:shd w:val="clear" w:color="auto" w:fill="auto"/>
            <w:vAlign w:val="bottom"/>
          </w:tcPr>
          <w:p w:rsidR="002C22BF" w:rsidRDefault="00AA7D98" w:rsidP="002C22BF">
            <w:pPr>
              <w:rPr>
                <w:color w:val="000000"/>
              </w:rPr>
            </w:pPr>
            <w:r w:rsidRPr="004023DE">
              <w:rPr>
                <w:color w:val="000000"/>
              </w:rPr>
              <w:t>Eduardas Vaitkevičius</w:t>
            </w:r>
            <w:r>
              <w:rPr>
                <w:color w:val="000000"/>
              </w:rPr>
              <w:t>;</w:t>
            </w:r>
          </w:p>
          <w:p w:rsidR="00AA7D98" w:rsidRPr="00967EC5" w:rsidRDefault="00AA7D98" w:rsidP="002C22BF">
            <w:pPr>
              <w:rPr>
                <w:szCs w:val="24"/>
                <w:lang w:eastAsia="lt-LT"/>
              </w:rPr>
            </w:pPr>
            <w:r w:rsidRPr="004023DE">
              <w:t xml:space="preserve">Laima </w:t>
            </w:r>
            <w:proofErr w:type="spellStart"/>
            <w:r w:rsidRPr="004023DE">
              <w:t>Dabregaite</w:t>
            </w:r>
            <w:proofErr w:type="spellEnd"/>
          </w:p>
        </w:tc>
        <w:tc>
          <w:tcPr>
            <w:tcW w:w="5027" w:type="dxa"/>
            <w:tcBorders>
              <w:bottom w:val="single" w:sz="4" w:space="0" w:color="auto"/>
            </w:tcBorders>
            <w:shd w:val="clear" w:color="auto" w:fill="auto"/>
            <w:vAlign w:val="bottom"/>
          </w:tcPr>
          <w:p w:rsidR="002C22BF" w:rsidRPr="00967EC5" w:rsidRDefault="00EA7850" w:rsidP="00EA740F">
            <w:pPr>
              <w:rPr>
                <w:szCs w:val="24"/>
                <w:lang w:eastAsia="lt-LT"/>
              </w:rPr>
            </w:pPr>
            <w:r w:rsidRPr="00967EC5">
              <w:rPr>
                <w:szCs w:val="24"/>
                <w:lang w:eastAsia="lt-LT"/>
              </w:rPr>
              <w:t xml:space="preserve">Aplinkos ministerijos </w:t>
            </w:r>
            <w:r w:rsidR="00EA740F" w:rsidRPr="00967EC5">
              <w:rPr>
                <w:szCs w:val="24"/>
                <w:lang w:eastAsia="lt-LT"/>
              </w:rPr>
              <w:t>Korupcijos prevencijos ir vidaus tyrimų</w:t>
            </w:r>
            <w:r w:rsidR="00E96D2A">
              <w:rPr>
                <w:szCs w:val="24"/>
                <w:lang w:eastAsia="lt-LT"/>
              </w:rPr>
              <w:t xml:space="preserve"> skyriaus vyriausiasis specialistas</w:t>
            </w:r>
          </w:p>
        </w:tc>
        <w:tc>
          <w:tcPr>
            <w:tcW w:w="2091" w:type="dxa"/>
            <w:tcBorders>
              <w:bottom w:val="single" w:sz="4" w:space="0" w:color="auto"/>
            </w:tcBorders>
            <w:shd w:val="clear" w:color="auto" w:fill="auto"/>
            <w:vAlign w:val="bottom"/>
          </w:tcPr>
          <w:p w:rsidR="002C22BF" w:rsidRPr="00967EC5" w:rsidRDefault="00E96D2A" w:rsidP="002C22BF">
            <w:pPr>
              <w:rPr>
                <w:szCs w:val="24"/>
                <w:lang w:eastAsia="lt-LT"/>
              </w:rPr>
            </w:pPr>
            <w:r>
              <w:rPr>
                <w:szCs w:val="24"/>
                <w:lang w:eastAsia="lt-LT"/>
              </w:rPr>
              <w:t xml:space="preserve">Remigijus </w:t>
            </w:r>
            <w:proofErr w:type="spellStart"/>
            <w:r>
              <w:rPr>
                <w:szCs w:val="24"/>
                <w:lang w:eastAsia="lt-LT"/>
              </w:rPr>
              <w:t>Alavočius</w:t>
            </w:r>
            <w:proofErr w:type="spellEnd"/>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(pareigos)</w:t>
            </w:r>
          </w:p>
        </w:tc>
        <w:tc>
          <w:tcPr>
            <w:tcW w:w="2061" w:type="dxa"/>
            <w:tcBorders>
              <w:top w:val="single" w:sz="4" w:space="0" w:color="auto"/>
            </w:tcBorders>
            <w:shd w:val="clear" w:color="auto" w:fill="auto"/>
            <w:vAlign w:val="bottom"/>
          </w:tcPr>
          <w:p w:rsidR="002C22BF" w:rsidRPr="00967EC5" w:rsidRDefault="002C22BF" w:rsidP="002C22BF">
            <w:pPr>
              <w:rPr>
                <w:szCs w:val="24"/>
                <w:lang w:eastAsia="lt-LT"/>
              </w:rPr>
            </w:pPr>
            <w:r w:rsidRPr="00967EC5">
              <w:rPr>
                <w:szCs w:val="24"/>
                <w:lang w:eastAsia="lt-LT"/>
              </w:rPr>
              <w:t>(vardas ir pavardė)</w:t>
            </w:r>
          </w:p>
        </w:tc>
        <w:tc>
          <w:tcPr>
            <w:tcW w:w="5027"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(pareigos)</w:t>
            </w:r>
          </w:p>
        </w:tc>
        <w:tc>
          <w:tcPr>
            <w:tcW w:w="2091" w:type="dxa"/>
            <w:tcBorders>
              <w:top w:val="single" w:sz="4" w:space="0" w:color="auto"/>
            </w:tcBorders>
            <w:shd w:val="clear" w:color="auto" w:fill="auto"/>
            <w:vAlign w:val="bottom"/>
          </w:tcPr>
          <w:p w:rsidR="002C22BF" w:rsidRPr="00967EC5" w:rsidRDefault="002C22BF" w:rsidP="00883D78">
            <w:pPr>
              <w:rPr>
                <w:szCs w:val="24"/>
                <w:lang w:eastAsia="lt-LT"/>
              </w:rPr>
            </w:pPr>
            <w:r w:rsidRPr="00967EC5">
              <w:rPr>
                <w:szCs w:val="24"/>
                <w:lang w:eastAsia="lt-LT"/>
              </w:rPr>
              <w:t>(vardas ir pavardė)</w:t>
            </w:r>
          </w:p>
        </w:tc>
      </w:tr>
      <w:tr w:rsidR="002C22BF" w:rsidRPr="00967EC5" w:rsidTr="00715DA8">
        <w:trPr>
          <w:trHeight w:val="617"/>
        </w:trPr>
        <w:tc>
          <w:tcPr>
            <w:tcW w:w="5103" w:type="dxa"/>
            <w:tcBorders>
              <w:bottom w:val="single" w:sz="4" w:space="0" w:color="auto"/>
            </w:tcBorders>
            <w:shd w:val="clear" w:color="auto" w:fill="auto"/>
            <w:vAlign w:val="bottom"/>
          </w:tcPr>
          <w:p w:rsidR="002C22BF" w:rsidRPr="00967EC5" w:rsidRDefault="002C22BF" w:rsidP="002C22BF">
            <w:pPr>
              <w:rPr>
                <w:szCs w:val="24"/>
                <w:lang w:eastAsia="lt-LT"/>
              </w:rPr>
            </w:pPr>
          </w:p>
        </w:tc>
        <w:tc>
          <w:tcPr>
            <w:tcW w:w="2061" w:type="dxa"/>
            <w:tcBorders>
              <w:bottom w:val="single" w:sz="4" w:space="0" w:color="auto"/>
            </w:tcBorders>
            <w:shd w:val="clear" w:color="auto" w:fill="auto"/>
            <w:vAlign w:val="bottom"/>
          </w:tcPr>
          <w:p w:rsidR="002C22BF" w:rsidRPr="00967EC5" w:rsidRDefault="00D95363" w:rsidP="002C22BF">
            <w:pPr>
              <w:rPr>
                <w:szCs w:val="24"/>
                <w:lang w:eastAsia="lt-LT"/>
              </w:rPr>
            </w:pPr>
            <w:r>
              <w:rPr>
                <w:szCs w:val="24"/>
                <w:lang w:eastAsia="lt-LT"/>
              </w:rPr>
              <w:t>2021-12-07</w:t>
            </w:r>
          </w:p>
        </w:tc>
        <w:tc>
          <w:tcPr>
            <w:tcW w:w="5027" w:type="dxa"/>
            <w:tcBorders>
              <w:bottom w:val="single" w:sz="4" w:space="0" w:color="auto"/>
            </w:tcBorders>
            <w:shd w:val="clear" w:color="auto" w:fill="auto"/>
            <w:vAlign w:val="bottom"/>
          </w:tcPr>
          <w:p w:rsidR="002C22BF" w:rsidRPr="00967EC5" w:rsidRDefault="002C22BF" w:rsidP="00883D78">
            <w:pPr>
              <w:rPr>
                <w:szCs w:val="24"/>
                <w:lang w:eastAsia="lt-LT"/>
              </w:rPr>
            </w:pPr>
          </w:p>
        </w:tc>
        <w:tc>
          <w:tcPr>
            <w:tcW w:w="2091" w:type="dxa"/>
            <w:tcBorders>
              <w:bottom w:val="single" w:sz="4" w:space="0" w:color="auto"/>
            </w:tcBorders>
            <w:shd w:val="clear" w:color="auto" w:fill="auto"/>
            <w:vAlign w:val="bottom"/>
          </w:tcPr>
          <w:p w:rsidR="002C22BF" w:rsidRPr="00967EC5" w:rsidRDefault="00D95363" w:rsidP="00883D78">
            <w:pPr>
              <w:rPr>
                <w:szCs w:val="24"/>
                <w:lang w:eastAsia="lt-LT"/>
              </w:rPr>
            </w:pPr>
            <w:r>
              <w:rPr>
                <w:szCs w:val="24"/>
                <w:lang w:eastAsia="lt-LT"/>
              </w:rPr>
              <w:t>2021-12-13</w:t>
            </w:r>
          </w:p>
        </w:tc>
      </w:tr>
      <w:tr w:rsidR="002C22BF" w:rsidRPr="00967EC5" w:rsidTr="00715DA8">
        <w:trPr>
          <w:trHeight w:val="23"/>
        </w:trPr>
        <w:tc>
          <w:tcPr>
            <w:tcW w:w="5103"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6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c>
          <w:tcPr>
            <w:tcW w:w="5027"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(parašas)</w:t>
            </w:r>
          </w:p>
        </w:tc>
        <w:tc>
          <w:tcPr>
            <w:tcW w:w="2091" w:type="dxa"/>
            <w:tcBorders>
              <w:top w:val="single" w:sz="4" w:space="0" w:color="auto"/>
            </w:tcBorders>
            <w:shd w:val="clear" w:color="auto" w:fill="auto"/>
            <w:vAlign w:val="bottom"/>
          </w:tcPr>
          <w:p w:rsidR="002C22BF" w:rsidRPr="00967EC5" w:rsidRDefault="002C22BF" w:rsidP="002C22BF">
            <w:pPr>
              <w:jc w:val="center"/>
              <w:rPr>
                <w:szCs w:val="24"/>
                <w:lang w:eastAsia="lt-LT"/>
              </w:rPr>
            </w:pPr>
            <w:r w:rsidRPr="00967EC5">
              <w:rPr>
                <w:szCs w:val="24"/>
                <w:lang w:eastAsia="lt-LT"/>
              </w:rPr>
              <w:t>(data)</w:t>
            </w:r>
          </w:p>
        </w:tc>
      </w:tr>
    </w:tbl>
    <w:p w:rsidR="00F532B6" w:rsidRPr="00967EC5" w:rsidRDefault="00F532B6" w:rsidP="002C22BF">
      <w:pPr>
        <w:rPr>
          <w:szCs w:val="24"/>
        </w:rPr>
      </w:pPr>
    </w:p>
    <w:sectPr w:rsidR="00F532B6" w:rsidRPr="00967EC5" w:rsidSect="002D68A3">
      <w:headerReference w:type="default" r:id="rId11"/>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3A" w:rsidRDefault="0017613A" w:rsidP="002D5183">
      <w:r>
        <w:separator/>
      </w:r>
    </w:p>
  </w:endnote>
  <w:endnote w:type="continuationSeparator" w:id="0">
    <w:p w:rsidR="0017613A" w:rsidRDefault="0017613A"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3A" w:rsidRDefault="0017613A" w:rsidP="002D5183">
      <w:r>
        <w:separator/>
      </w:r>
    </w:p>
  </w:footnote>
  <w:footnote w:type="continuationSeparator" w:id="0">
    <w:p w:rsidR="0017613A" w:rsidRDefault="0017613A" w:rsidP="002D5183">
      <w:r>
        <w:continuationSeparator/>
      </w:r>
    </w:p>
  </w:footnote>
  <w:footnote w:id="1">
    <w:p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C17C3" w:rsidRDefault="008C17C3" w:rsidP="008C17C3">
      <w:pPr>
        <w:jc w:val="both"/>
        <w:rPr>
          <w:sz w:val="20"/>
        </w:rPr>
      </w:pPr>
      <w:r>
        <w:rPr>
          <w:sz w:val="20"/>
          <w:vertAlign w:val="superscript"/>
        </w:rPr>
        <w:footnoteRef/>
      </w:r>
      <w:r>
        <w:rPr>
          <w:sz w:val="20"/>
        </w:rPr>
        <w:t xml:space="preserve"> Tas 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53" w:rsidRDefault="00686053">
    <w:pPr>
      <w:pStyle w:val="Header"/>
      <w:jc w:val="center"/>
    </w:pPr>
    <w:r>
      <w:fldChar w:fldCharType="begin"/>
    </w:r>
    <w:r>
      <w:instrText xml:space="preserve"> PAGE   \* MERGEFORMAT </w:instrText>
    </w:r>
    <w:r>
      <w:fldChar w:fldCharType="separate"/>
    </w:r>
    <w:r w:rsidR="00F25F6C">
      <w:rPr>
        <w:noProof/>
      </w:rPr>
      <w:t>6</w:t>
    </w:r>
    <w:r>
      <w:fldChar w:fldCharType="end"/>
    </w:r>
  </w:p>
  <w:p w:rsidR="00686053" w:rsidRDefault="00686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477CB"/>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
    <w:nsid w:val="68A67634"/>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nsid w:val="71034C01"/>
    <w:multiLevelType w:val="multilevel"/>
    <w:tmpl w:val="325A3404"/>
    <w:lvl w:ilvl="0">
      <w:start w:val="6"/>
      <w:numFmt w:val="decimal"/>
      <w:lvlText w:val="%1."/>
      <w:lvlJc w:val="left"/>
      <w:pPr>
        <w:ind w:left="360" w:hanging="360"/>
      </w:pPr>
      <w:rPr>
        <w:rFonts w:hint="default"/>
        <w:b w:val="0"/>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
    <w:nsid w:val="763E710C"/>
    <w:multiLevelType w:val="multilevel"/>
    <w:tmpl w:val="49886DEE"/>
    <w:lvl w:ilvl="0">
      <w:start w:val="1"/>
      <w:numFmt w:val="decimal"/>
      <w:lvlText w:val="%1."/>
      <w:lvlJc w:val="left"/>
      <w:pPr>
        <w:ind w:left="1371" w:hanging="804"/>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nsid w:val="79FC042D"/>
    <w:multiLevelType w:val="multilevel"/>
    <w:tmpl w:val="325A3404"/>
    <w:lvl w:ilvl="0">
      <w:start w:val="6"/>
      <w:numFmt w:val="decimal"/>
      <w:lvlText w:val="%1."/>
      <w:lvlJc w:val="left"/>
      <w:pPr>
        <w:ind w:left="1210" w:hanging="360"/>
      </w:pPr>
      <w:rPr>
        <w:rFonts w:hint="default"/>
        <w:b w:val="0"/>
        <w:color w:val="auto"/>
      </w:rPr>
    </w:lvl>
    <w:lvl w:ilvl="1">
      <w:start w:val="1"/>
      <w:numFmt w:val="decimal"/>
      <w:lvlText w:val="%1.%2."/>
      <w:lvlJc w:val="left"/>
      <w:pPr>
        <w:ind w:left="1777" w:hanging="360"/>
      </w:pPr>
      <w:rPr>
        <w:rFonts w:hint="default"/>
        <w:color w:val="auto"/>
      </w:rPr>
    </w:lvl>
    <w:lvl w:ilvl="2">
      <w:start w:val="1"/>
      <w:numFmt w:val="decimal"/>
      <w:lvlText w:val="%1.%2.%3."/>
      <w:lvlJc w:val="left"/>
      <w:pPr>
        <w:ind w:left="2704" w:hanging="720"/>
      </w:pPr>
      <w:rPr>
        <w:rFonts w:hint="default"/>
        <w:color w:val="auto"/>
      </w:rPr>
    </w:lvl>
    <w:lvl w:ilvl="3">
      <w:start w:val="1"/>
      <w:numFmt w:val="decimal"/>
      <w:lvlText w:val="%1.%2.%3.%4."/>
      <w:lvlJc w:val="left"/>
      <w:pPr>
        <w:ind w:left="3271" w:hanging="720"/>
      </w:pPr>
      <w:rPr>
        <w:rFonts w:hint="default"/>
        <w:color w:val="auto"/>
      </w:rPr>
    </w:lvl>
    <w:lvl w:ilvl="4">
      <w:start w:val="1"/>
      <w:numFmt w:val="decimal"/>
      <w:lvlText w:val="%1.%2.%3.%4.%5."/>
      <w:lvlJc w:val="left"/>
      <w:pPr>
        <w:ind w:left="4198" w:hanging="1080"/>
      </w:pPr>
      <w:rPr>
        <w:rFonts w:hint="default"/>
        <w:color w:val="auto"/>
      </w:rPr>
    </w:lvl>
    <w:lvl w:ilvl="5">
      <w:start w:val="1"/>
      <w:numFmt w:val="decimal"/>
      <w:lvlText w:val="%1.%2.%3.%4.%5.%6."/>
      <w:lvlJc w:val="left"/>
      <w:pPr>
        <w:ind w:left="4765" w:hanging="1080"/>
      </w:pPr>
      <w:rPr>
        <w:rFonts w:hint="default"/>
        <w:color w:val="auto"/>
      </w:rPr>
    </w:lvl>
    <w:lvl w:ilvl="6">
      <w:start w:val="1"/>
      <w:numFmt w:val="decimal"/>
      <w:lvlText w:val="%1.%2.%3.%4.%5.%6.%7."/>
      <w:lvlJc w:val="left"/>
      <w:pPr>
        <w:ind w:left="5692" w:hanging="1440"/>
      </w:pPr>
      <w:rPr>
        <w:rFonts w:hint="default"/>
        <w:color w:val="auto"/>
      </w:rPr>
    </w:lvl>
    <w:lvl w:ilvl="7">
      <w:start w:val="1"/>
      <w:numFmt w:val="decimal"/>
      <w:lvlText w:val="%1.%2.%3.%4.%5.%6.%7.%8."/>
      <w:lvlJc w:val="left"/>
      <w:pPr>
        <w:ind w:left="6259" w:hanging="1440"/>
      </w:pPr>
      <w:rPr>
        <w:rFonts w:hint="default"/>
        <w:color w:val="auto"/>
      </w:rPr>
    </w:lvl>
    <w:lvl w:ilvl="8">
      <w:start w:val="1"/>
      <w:numFmt w:val="decimal"/>
      <w:lvlText w:val="%1.%2.%3.%4.%5.%6.%7.%8.%9."/>
      <w:lvlJc w:val="left"/>
      <w:pPr>
        <w:ind w:left="7186" w:hanging="1800"/>
      </w:pPr>
      <w:rPr>
        <w:rFonts w:hint="default"/>
        <w:color w:val="auto"/>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83"/>
    <w:rsid w:val="00013DCE"/>
    <w:rsid w:val="00025BA2"/>
    <w:rsid w:val="00035091"/>
    <w:rsid w:val="00035442"/>
    <w:rsid w:val="000529FF"/>
    <w:rsid w:val="00054996"/>
    <w:rsid w:val="000646CC"/>
    <w:rsid w:val="000707D8"/>
    <w:rsid w:val="0008757B"/>
    <w:rsid w:val="000A2E35"/>
    <w:rsid w:val="000C14DC"/>
    <w:rsid w:val="000C7518"/>
    <w:rsid w:val="000E2096"/>
    <w:rsid w:val="000F7C0D"/>
    <w:rsid w:val="00110296"/>
    <w:rsid w:val="00112293"/>
    <w:rsid w:val="00124D41"/>
    <w:rsid w:val="00126653"/>
    <w:rsid w:val="00132BD7"/>
    <w:rsid w:val="00147CAE"/>
    <w:rsid w:val="00151987"/>
    <w:rsid w:val="00154EEC"/>
    <w:rsid w:val="00163DD8"/>
    <w:rsid w:val="0017613A"/>
    <w:rsid w:val="0017667D"/>
    <w:rsid w:val="00182F06"/>
    <w:rsid w:val="00184776"/>
    <w:rsid w:val="001861D7"/>
    <w:rsid w:val="001B0821"/>
    <w:rsid w:val="001B1CB1"/>
    <w:rsid w:val="001C7F09"/>
    <w:rsid w:val="001D79DB"/>
    <w:rsid w:val="001E426F"/>
    <w:rsid w:val="002106AE"/>
    <w:rsid w:val="00231272"/>
    <w:rsid w:val="00246747"/>
    <w:rsid w:val="00253E87"/>
    <w:rsid w:val="002553E5"/>
    <w:rsid w:val="00262B9B"/>
    <w:rsid w:val="0027463D"/>
    <w:rsid w:val="00291066"/>
    <w:rsid w:val="002C0C53"/>
    <w:rsid w:val="002C0C5D"/>
    <w:rsid w:val="002C22BF"/>
    <w:rsid w:val="002C3886"/>
    <w:rsid w:val="002C38F3"/>
    <w:rsid w:val="002D22B0"/>
    <w:rsid w:val="002D3BE1"/>
    <w:rsid w:val="002D5183"/>
    <w:rsid w:val="002D68A3"/>
    <w:rsid w:val="002E5F36"/>
    <w:rsid w:val="002E62B7"/>
    <w:rsid w:val="0030417D"/>
    <w:rsid w:val="00317F1B"/>
    <w:rsid w:val="00340B8B"/>
    <w:rsid w:val="00374345"/>
    <w:rsid w:val="003748A7"/>
    <w:rsid w:val="00377C68"/>
    <w:rsid w:val="00382E1E"/>
    <w:rsid w:val="00387902"/>
    <w:rsid w:val="003A2B09"/>
    <w:rsid w:val="003A7601"/>
    <w:rsid w:val="00411CF9"/>
    <w:rsid w:val="00440076"/>
    <w:rsid w:val="00443BDE"/>
    <w:rsid w:val="004452AF"/>
    <w:rsid w:val="004501A3"/>
    <w:rsid w:val="00450D6B"/>
    <w:rsid w:val="00462112"/>
    <w:rsid w:val="004660B5"/>
    <w:rsid w:val="00476A37"/>
    <w:rsid w:val="00495A4F"/>
    <w:rsid w:val="00496DE9"/>
    <w:rsid w:val="0049755F"/>
    <w:rsid w:val="004C01BD"/>
    <w:rsid w:val="004E1B6F"/>
    <w:rsid w:val="0050095C"/>
    <w:rsid w:val="005012EC"/>
    <w:rsid w:val="00501792"/>
    <w:rsid w:val="00523108"/>
    <w:rsid w:val="00526924"/>
    <w:rsid w:val="0053179C"/>
    <w:rsid w:val="00552E31"/>
    <w:rsid w:val="005602FD"/>
    <w:rsid w:val="0058113C"/>
    <w:rsid w:val="005C0632"/>
    <w:rsid w:val="005C5470"/>
    <w:rsid w:val="005D6668"/>
    <w:rsid w:val="005F53CF"/>
    <w:rsid w:val="00615031"/>
    <w:rsid w:val="00623C6D"/>
    <w:rsid w:val="006279D5"/>
    <w:rsid w:val="00643BC4"/>
    <w:rsid w:val="00646FBE"/>
    <w:rsid w:val="00657938"/>
    <w:rsid w:val="006658F7"/>
    <w:rsid w:val="006754C7"/>
    <w:rsid w:val="0068082A"/>
    <w:rsid w:val="00686053"/>
    <w:rsid w:val="0068626D"/>
    <w:rsid w:val="006A081B"/>
    <w:rsid w:val="006A545B"/>
    <w:rsid w:val="006A760E"/>
    <w:rsid w:val="006B4DA9"/>
    <w:rsid w:val="006F29CD"/>
    <w:rsid w:val="00715DA8"/>
    <w:rsid w:val="00722F99"/>
    <w:rsid w:val="0076434A"/>
    <w:rsid w:val="00781640"/>
    <w:rsid w:val="007876A9"/>
    <w:rsid w:val="00791231"/>
    <w:rsid w:val="0079157E"/>
    <w:rsid w:val="007B4ABE"/>
    <w:rsid w:val="007C5799"/>
    <w:rsid w:val="007D70AE"/>
    <w:rsid w:val="007E0406"/>
    <w:rsid w:val="007E0B51"/>
    <w:rsid w:val="007E0F13"/>
    <w:rsid w:val="007E3752"/>
    <w:rsid w:val="0080774C"/>
    <w:rsid w:val="00820C6E"/>
    <w:rsid w:val="00883D78"/>
    <w:rsid w:val="008B4296"/>
    <w:rsid w:val="008C17C3"/>
    <w:rsid w:val="008D7621"/>
    <w:rsid w:val="008F5859"/>
    <w:rsid w:val="0090151F"/>
    <w:rsid w:val="00913CBA"/>
    <w:rsid w:val="00935FF1"/>
    <w:rsid w:val="009418CA"/>
    <w:rsid w:val="00946A11"/>
    <w:rsid w:val="00960603"/>
    <w:rsid w:val="00967EC5"/>
    <w:rsid w:val="009A28CC"/>
    <w:rsid w:val="009A5A78"/>
    <w:rsid w:val="009C167C"/>
    <w:rsid w:val="009C42E2"/>
    <w:rsid w:val="009D0B40"/>
    <w:rsid w:val="009E0099"/>
    <w:rsid w:val="009E5F85"/>
    <w:rsid w:val="00A10731"/>
    <w:rsid w:val="00A25261"/>
    <w:rsid w:val="00A46CA8"/>
    <w:rsid w:val="00A5323B"/>
    <w:rsid w:val="00A61741"/>
    <w:rsid w:val="00A87CC5"/>
    <w:rsid w:val="00AA7D98"/>
    <w:rsid w:val="00AB65F0"/>
    <w:rsid w:val="00AC41C4"/>
    <w:rsid w:val="00AC6EFD"/>
    <w:rsid w:val="00AD0BB3"/>
    <w:rsid w:val="00AE05DE"/>
    <w:rsid w:val="00AF5050"/>
    <w:rsid w:val="00B061E3"/>
    <w:rsid w:val="00B2228A"/>
    <w:rsid w:val="00B360A9"/>
    <w:rsid w:val="00B44257"/>
    <w:rsid w:val="00B743C3"/>
    <w:rsid w:val="00B7512A"/>
    <w:rsid w:val="00BB08AD"/>
    <w:rsid w:val="00BC0E36"/>
    <w:rsid w:val="00BD4800"/>
    <w:rsid w:val="00BD494A"/>
    <w:rsid w:val="00BD6B0F"/>
    <w:rsid w:val="00BF0036"/>
    <w:rsid w:val="00BF035E"/>
    <w:rsid w:val="00BF7AD5"/>
    <w:rsid w:val="00C13164"/>
    <w:rsid w:val="00C1589B"/>
    <w:rsid w:val="00C21565"/>
    <w:rsid w:val="00C21C1E"/>
    <w:rsid w:val="00C2730A"/>
    <w:rsid w:val="00C37907"/>
    <w:rsid w:val="00C451CF"/>
    <w:rsid w:val="00C45572"/>
    <w:rsid w:val="00C5628A"/>
    <w:rsid w:val="00C601C5"/>
    <w:rsid w:val="00C83FE2"/>
    <w:rsid w:val="00C91AD5"/>
    <w:rsid w:val="00C95FFC"/>
    <w:rsid w:val="00CA5606"/>
    <w:rsid w:val="00CB2437"/>
    <w:rsid w:val="00CB3CF6"/>
    <w:rsid w:val="00CB4EA0"/>
    <w:rsid w:val="00CC0804"/>
    <w:rsid w:val="00CE3380"/>
    <w:rsid w:val="00CF541C"/>
    <w:rsid w:val="00CF6CEC"/>
    <w:rsid w:val="00D045BA"/>
    <w:rsid w:val="00D059A6"/>
    <w:rsid w:val="00D422D5"/>
    <w:rsid w:val="00D433FD"/>
    <w:rsid w:val="00D53CE1"/>
    <w:rsid w:val="00D862EE"/>
    <w:rsid w:val="00D95363"/>
    <w:rsid w:val="00DA5D3D"/>
    <w:rsid w:val="00DC29C3"/>
    <w:rsid w:val="00DC2AE3"/>
    <w:rsid w:val="00DD1D8C"/>
    <w:rsid w:val="00DD3651"/>
    <w:rsid w:val="00DE1AA4"/>
    <w:rsid w:val="00DE1DB8"/>
    <w:rsid w:val="00E02153"/>
    <w:rsid w:val="00E02B17"/>
    <w:rsid w:val="00E20B91"/>
    <w:rsid w:val="00E277E9"/>
    <w:rsid w:val="00E33987"/>
    <w:rsid w:val="00E47A55"/>
    <w:rsid w:val="00E710AE"/>
    <w:rsid w:val="00E73112"/>
    <w:rsid w:val="00E8287D"/>
    <w:rsid w:val="00E96D2A"/>
    <w:rsid w:val="00E96D39"/>
    <w:rsid w:val="00E972E6"/>
    <w:rsid w:val="00EA740F"/>
    <w:rsid w:val="00EA7850"/>
    <w:rsid w:val="00ED1370"/>
    <w:rsid w:val="00ED524C"/>
    <w:rsid w:val="00EE0F26"/>
    <w:rsid w:val="00EE72D0"/>
    <w:rsid w:val="00EF41C4"/>
    <w:rsid w:val="00F02B89"/>
    <w:rsid w:val="00F069A9"/>
    <w:rsid w:val="00F06F17"/>
    <w:rsid w:val="00F15A8F"/>
    <w:rsid w:val="00F25F6C"/>
    <w:rsid w:val="00F279DA"/>
    <w:rsid w:val="00F532B6"/>
    <w:rsid w:val="00F56CC9"/>
    <w:rsid w:val="00F7286E"/>
    <w:rsid w:val="00F80BDF"/>
    <w:rsid w:val="00F83069"/>
    <w:rsid w:val="00FB25BF"/>
    <w:rsid w:val="00FB3D08"/>
    <w:rsid w:val="00FC5947"/>
    <w:rsid w:val="00FE1B8E"/>
    <w:rsid w:val="00FE6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 w:type="character" w:customStyle="1" w:styleId="tableentry">
    <w:name w:val="tableentry"/>
    <w:basedOn w:val="DefaultParagraphFont"/>
    <w:rsid w:val="00531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83"/>
    <w:rPr>
      <w:rFonts w:ascii="Times New Roman" w:eastAsia="Times New Roman" w:hAnsi="Times New Roman"/>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28CC"/>
    <w:rPr>
      <w:color w:val="0000FF"/>
      <w:u w:val="single"/>
    </w:rPr>
  </w:style>
  <w:style w:type="paragraph" w:styleId="Header">
    <w:name w:val="header"/>
    <w:aliases w:val="Char,Diagrama"/>
    <w:basedOn w:val="Normal"/>
    <w:link w:val="HeaderChar"/>
    <w:unhideWhenUsed/>
    <w:rsid w:val="00686053"/>
    <w:pPr>
      <w:tabs>
        <w:tab w:val="center" w:pos="4819"/>
        <w:tab w:val="right" w:pos="9638"/>
      </w:tabs>
    </w:pPr>
  </w:style>
  <w:style w:type="character" w:customStyle="1" w:styleId="HeaderChar">
    <w:name w:val="Header Char"/>
    <w:aliases w:val="Char Char,Diagrama Char"/>
    <w:link w:val="Header"/>
    <w:uiPriority w:val="99"/>
    <w:rsid w:val="00686053"/>
    <w:rPr>
      <w:rFonts w:ascii="Times New Roman" w:eastAsia="Times New Roman" w:hAnsi="Times New Roman"/>
      <w:sz w:val="24"/>
      <w:lang w:eastAsia="en-US"/>
    </w:rPr>
  </w:style>
  <w:style w:type="paragraph" w:styleId="Footer">
    <w:name w:val="footer"/>
    <w:basedOn w:val="Normal"/>
    <w:link w:val="FooterChar"/>
    <w:uiPriority w:val="99"/>
    <w:semiHidden/>
    <w:unhideWhenUsed/>
    <w:rsid w:val="00686053"/>
    <w:pPr>
      <w:tabs>
        <w:tab w:val="center" w:pos="4819"/>
        <w:tab w:val="right" w:pos="9638"/>
      </w:tabs>
    </w:pPr>
  </w:style>
  <w:style w:type="character" w:customStyle="1" w:styleId="FooterChar">
    <w:name w:val="Footer Char"/>
    <w:link w:val="Footer"/>
    <w:uiPriority w:val="99"/>
    <w:semiHidden/>
    <w:rsid w:val="00686053"/>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2C22BF"/>
    <w:rPr>
      <w:rFonts w:ascii="Tahoma" w:hAnsi="Tahoma" w:cs="Tahoma"/>
      <w:sz w:val="16"/>
      <w:szCs w:val="16"/>
    </w:rPr>
  </w:style>
  <w:style w:type="character" w:customStyle="1" w:styleId="BalloonTextChar">
    <w:name w:val="Balloon Text Char"/>
    <w:link w:val="BalloonText"/>
    <w:uiPriority w:val="99"/>
    <w:semiHidden/>
    <w:rsid w:val="002C22BF"/>
    <w:rPr>
      <w:rFonts w:ascii="Tahoma" w:eastAsia="Times New Roman" w:hAnsi="Tahoma" w:cs="Tahoma"/>
      <w:sz w:val="16"/>
      <w:szCs w:val="16"/>
      <w:lang w:eastAsia="en-US"/>
    </w:rPr>
  </w:style>
  <w:style w:type="paragraph" w:customStyle="1" w:styleId="Pavadinimas1">
    <w:name w:val="Pavadinimas1"/>
    <w:basedOn w:val="Normal"/>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BodyText">
    <w:name w:val="Body Text"/>
    <w:basedOn w:val="Normal"/>
    <w:link w:val="BodyTextChar"/>
    <w:rsid w:val="008C17C3"/>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8C17C3"/>
    <w:rPr>
      <w:rFonts w:ascii="Times New Roman" w:eastAsia="Andale Sans UI" w:hAnsi="Times New Roman" w:cs="Tahoma"/>
      <w:sz w:val="24"/>
      <w:szCs w:val="24"/>
      <w:lang w:val="lt-LT" w:eastAsia="en-US" w:bidi="en-US"/>
    </w:rPr>
  </w:style>
  <w:style w:type="paragraph" w:customStyle="1" w:styleId="Normal1">
    <w:name w:val="Normal1"/>
    <w:basedOn w:val="Normal"/>
    <w:rsid w:val="008B4296"/>
    <w:pPr>
      <w:widowControl w:val="0"/>
      <w:suppressAutoHyphens/>
    </w:pPr>
    <w:rPr>
      <w:rFonts w:eastAsia="Lucida Sans Unicode"/>
      <w:szCs w:val="24"/>
      <w:lang w:eastAsia="lt-LT"/>
    </w:rPr>
  </w:style>
  <w:style w:type="paragraph" w:styleId="ListParagraph">
    <w:name w:val="List Paragraph"/>
    <w:basedOn w:val="Normal"/>
    <w:qFormat/>
    <w:rsid w:val="00F83069"/>
    <w:pPr>
      <w:widowControl w:val="0"/>
      <w:suppressAutoHyphens/>
      <w:ind w:left="720"/>
      <w:contextualSpacing/>
    </w:pPr>
    <w:rPr>
      <w:rFonts w:eastAsia="Andale Sans UI" w:cs="Tahoma"/>
      <w:szCs w:val="24"/>
      <w:lang w:bidi="en-US"/>
    </w:rPr>
  </w:style>
  <w:style w:type="paragraph" w:styleId="FootnoteText">
    <w:name w:val="footnote text"/>
    <w:basedOn w:val="Normal"/>
    <w:link w:val="FootnoteTextChar"/>
    <w:uiPriority w:val="99"/>
    <w:semiHidden/>
    <w:unhideWhenUsed/>
    <w:rsid w:val="00A5323B"/>
    <w:pPr>
      <w:widowControl w:val="0"/>
      <w:suppressAutoHyphens/>
    </w:pPr>
    <w:rPr>
      <w:rFonts w:eastAsia="Andale Sans UI" w:cs="Tahoma"/>
      <w:sz w:val="20"/>
      <w:lang w:bidi="en-US"/>
    </w:rPr>
  </w:style>
  <w:style w:type="character" w:customStyle="1" w:styleId="FootnoteTextChar">
    <w:name w:val="Footnote Text Char"/>
    <w:basedOn w:val="DefaultParagraphFont"/>
    <w:link w:val="FootnoteText"/>
    <w:uiPriority w:val="99"/>
    <w:semiHidden/>
    <w:rsid w:val="00A5323B"/>
    <w:rPr>
      <w:rFonts w:ascii="Times New Roman" w:eastAsia="Andale Sans UI" w:hAnsi="Times New Roman" w:cs="Tahoma"/>
      <w:lang w:val="lt-LT" w:eastAsia="en-US" w:bidi="en-US"/>
    </w:rPr>
  </w:style>
  <w:style w:type="character" w:styleId="FootnoteReference">
    <w:name w:val="footnote reference"/>
    <w:basedOn w:val="DefaultParagraphFont"/>
    <w:uiPriority w:val="99"/>
    <w:semiHidden/>
    <w:unhideWhenUsed/>
    <w:rsid w:val="00A5323B"/>
    <w:rPr>
      <w:vertAlign w:val="superscript"/>
    </w:rPr>
  </w:style>
  <w:style w:type="character" w:customStyle="1" w:styleId="HeaderChar1">
    <w:name w:val="Header Char1"/>
    <w:aliases w:val="Char Char1,Diagrama Char1"/>
    <w:basedOn w:val="DefaultParagraphFont"/>
    <w:locked/>
    <w:rsid w:val="0027463D"/>
    <w:rPr>
      <w:rFonts w:cs="Times New Roman"/>
      <w:sz w:val="24"/>
      <w:lang w:val="lt-LT" w:eastAsia="lt-LT"/>
    </w:rPr>
  </w:style>
  <w:style w:type="character" w:customStyle="1" w:styleId="tableentry">
    <w:name w:val="tableentry"/>
    <w:basedOn w:val="DefaultParagraphFont"/>
    <w:rsid w:val="0053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77">
      <w:bodyDiv w:val="1"/>
      <w:marLeft w:val="0"/>
      <w:marRight w:val="0"/>
      <w:marTop w:val="0"/>
      <w:marBottom w:val="0"/>
      <w:divBdr>
        <w:top w:val="none" w:sz="0" w:space="0" w:color="auto"/>
        <w:left w:val="none" w:sz="0" w:space="0" w:color="auto"/>
        <w:bottom w:val="none" w:sz="0" w:space="0" w:color="auto"/>
        <w:right w:val="none" w:sz="0" w:space="0" w:color="auto"/>
      </w:divBdr>
      <w:divsChild>
        <w:div w:id="111873849">
          <w:marLeft w:val="0"/>
          <w:marRight w:val="0"/>
          <w:marTop w:val="0"/>
          <w:marBottom w:val="0"/>
          <w:divBdr>
            <w:top w:val="none" w:sz="0" w:space="0" w:color="auto"/>
            <w:left w:val="none" w:sz="0" w:space="0" w:color="auto"/>
            <w:bottom w:val="none" w:sz="0" w:space="0" w:color="auto"/>
            <w:right w:val="none" w:sz="0" w:space="0" w:color="auto"/>
          </w:divBdr>
          <w:divsChild>
            <w:div w:id="5128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aima.dabregaite@vstt.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eduardas.vaitkevicius@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CE64-0700-4E4E-AE4F-C941A71B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5154</Words>
  <Characters>2938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2022-01-21T06:15:00Z</dcterms:created>
  <dc:creator>Tomas Boldorevas</dc:creator>
  <cp:lastModifiedBy>Eduardas Vaitkevicius</cp:lastModifiedBy>
  <dcterms:modified xsi:type="dcterms:W3CDTF">2022-01-21T06:15:00Z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