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3" w:type="dxa"/>
        <w:tblInd w:w="55" w:type="dxa"/>
        <w:tblLayout w:type="fixed"/>
        <w:tblCellMar>
          <w:top w:w="55" w:type="dxa"/>
          <w:left w:w="55" w:type="dxa"/>
          <w:bottom w:w="55" w:type="dxa"/>
          <w:right w:w="55" w:type="dxa"/>
        </w:tblCellMar>
        <w:tblLook w:val="0000" w:firstRow="0" w:lastRow="0" w:firstColumn="0" w:lastColumn="0" w:noHBand="0" w:noVBand="0"/>
      </w:tblPr>
      <w:tblGrid>
        <w:gridCol w:w="55"/>
        <w:gridCol w:w="4762"/>
        <w:gridCol w:w="286"/>
        <w:gridCol w:w="1837"/>
        <w:gridCol w:w="565"/>
        <w:gridCol w:w="2133"/>
        <w:gridCol w:w="55"/>
      </w:tblGrid>
      <w:tr w:rsidR="00346F23" w:rsidTr="009072D6">
        <w:trPr>
          <w:gridAfter w:val="1"/>
          <w:wAfter w:w="55" w:type="dxa"/>
        </w:trPr>
        <w:tc>
          <w:tcPr>
            <w:tcW w:w="9638" w:type="dxa"/>
            <w:gridSpan w:val="6"/>
            <w:tcBorders>
              <w:bottom w:val="single" w:sz="4" w:space="0" w:color="000000"/>
            </w:tcBorders>
          </w:tcPr>
          <w:p w:rsidR="00346F23" w:rsidRDefault="00346F23">
            <w:pPr>
              <w:widowControl w:val="0"/>
              <w:suppressLineNumbers/>
              <w:tabs>
                <w:tab w:val="center" w:pos="4800"/>
                <w:tab w:val="right" w:pos="9601"/>
              </w:tabs>
              <w:suppressAutoHyphens/>
              <w:rPr>
                <w:rFonts w:eastAsia="Andale Sans UI" w:cs="Tahoma"/>
                <w:szCs w:val="24"/>
                <w:lang w:bidi="en-US"/>
              </w:rPr>
            </w:pPr>
          </w:p>
          <w:p w:rsidR="00346F23" w:rsidRDefault="00567629">
            <w:pPr>
              <w:widowControl w:val="0"/>
              <w:suppressLineNumbers/>
              <w:suppressAutoHyphens/>
              <w:jc w:val="center"/>
              <w:rPr>
                <w:rFonts w:eastAsia="Andale Sans UI" w:cs="Tahoma"/>
                <w:b/>
                <w:bCs/>
                <w:spacing w:val="20"/>
                <w:sz w:val="28"/>
                <w:szCs w:val="28"/>
                <w:lang w:bidi="en-US"/>
              </w:rPr>
            </w:pPr>
            <w:r>
              <w:rPr>
                <w:rFonts w:eastAsia="Andale Sans UI" w:cs="Tahoma"/>
                <w:b/>
                <w:bCs/>
                <w:noProof/>
                <w:spacing w:val="20"/>
                <w:sz w:val="26"/>
                <w:szCs w:val="26"/>
                <w:lang w:val="en-GB" w:eastAsia="en-GB"/>
              </w:rPr>
              <w:drawing>
                <wp:inline distT="0" distB="0" distL="0" distR="0" wp14:anchorId="64985AF9" wp14:editId="43E6E48A">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346F23" w:rsidRDefault="00346F23">
            <w:pPr>
              <w:rPr>
                <w:sz w:val="10"/>
                <w:szCs w:val="10"/>
              </w:rPr>
            </w:pPr>
          </w:p>
          <w:p w:rsidR="00346F23" w:rsidRDefault="00567629">
            <w:pPr>
              <w:widowControl w:val="0"/>
              <w:suppressLineNumbers/>
              <w:suppressAutoHyphens/>
              <w:jc w:val="center"/>
              <w:rPr>
                <w:rFonts w:eastAsia="Andale Sans UI" w:cs="Tahoma"/>
                <w:b/>
                <w:bCs/>
                <w:spacing w:val="20"/>
                <w:sz w:val="28"/>
                <w:szCs w:val="28"/>
                <w:lang w:bidi="en-US"/>
              </w:rPr>
            </w:pPr>
            <w:r>
              <w:rPr>
                <w:rFonts w:eastAsia="Andale Sans UI" w:cs="Tahoma"/>
                <w:b/>
                <w:bCs/>
                <w:spacing w:val="20"/>
                <w:sz w:val="28"/>
                <w:szCs w:val="28"/>
                <w:lang w:bidi="en-US"/>
              </w:rPr>
              <w:t>LIETUVOS RESPUBLIKOS APLINKOS MINISTERIJA</w:t>
            </w:r>
          </w:p>
          <w:p w:rsidR="00346F23" w:rsidRDefault="00346F23">
            <w:pPr>
              <w:rPr>
                <w:sz w:val="10"/>
                <w:szCs w:val="10"/>
              </w:rPr>
            </w:pPr>
          </w:p>
          <w:p w:rsidR="00346F23" w:rsidRDefault="00567629">
            <w:pPr>
              <w:widowControl w:val="0"/>
              <w:suppressLineNumbers/>
              <w:suppressAutoHyphens/>
              <w:jc w:val="center"/>
              <w:rPr>
                <w:rFonts w:ascii="Arial" w:eastAsia="Andale Sans UI" w:hAnsi="Arial" w:cs="Tahoma"/>
                <w:b/>
                <w:bCs/>
                <w:spacing w:val="12"/>
                <w:sz w:val="14"/>
                <w:szCs w:val="14"/>
                <w:lang w:bidi="en-US"/>
              </w:rPr>
            </w:pPr>
            <w:r>
              <w:rPr>
                <w:rFonts w:ascii="Arial" w:eastAsia="Andale Sans UI" w:hAnsi="Arial" w:cs="Tahoma"/>
                <w:b/>
                <w:bCs/>
                <w:spacing w:val="12"/>
                <w:sz w:val="14"/>
                <w:szCs w:val="14"/>
                <w:lang w:bidi="en-US"/>
              </w:rPr>
              <w:t>Biudžetinė įstaiga, A. Jakšto g. 4, LT-01105 Vilnius,</w:t>
            </w:r>
          </w:p>
          <w:p w:rsidR="00346F23" w:rsidRDefault="00567629">
            <w:pPr>
              <w:widowControl w:val="0"/>
              <w:suppressLineNumbers/>
              <w:suppressAutoHyphens/>
              <w:jc w:val="center"/>
              <w:rPr>
                <w:rFonts w:ascii="Arial" w:eastAsia="Andale Sans UI" w:hAnsi="Arial" w:cs="Tahoma"/>
                <w:b/>
                <w:bCs/>
                <w:spacing w:val="12"/>
                <w:sz w:val="14"/>
                <w:szCs w:val="14"/>
                <w:lang w:bidi="en-US"/>
              </w:rPr>
            </w:pPr>
            <w:r>
              <w:rPr>
                <w:rFonts w:ascii="Arial" w:eastAsia="Andale Sans UI" w:hAnsi="Arial" w:cs="Tahoma"/>
                <w:b/>
                <w:bCs/>
                <w:spacing w:val="12"/>
                <w:sz w:val="14"/>
                <w:szCs w:val="14"/>
                <w:lang w:bidi="en-US"/>
              </w:rPr>
              <w:t>tel. (8~5) 266 3661, faks. (8~5) 266 3663, el. p. info@am.lt, http://www.am.lt.</w:t>
            </w:r>
          </w:p>
          <w:p w:rsidR="00346F23" w:rsidRDefault="00567629">
            <w:pPr>
              <w:widowControl w:val="0"/>
              <w:suppressLineNumbers/>
              <w:suppressAutoHyphens/>
              <w:jc w:val="center"/>
              <w:rPr>
                <w:rFonts w:ascii="Arial" w:eastAsia="Andale Sans UI" w:hAnsi="Arial" w:cs="Tahoma"/>
                <w:b/>
                <w:bCs/>
                <w:spacing w:val="12"/>
                <w:sz w:val="14"/>
                <w:szCs w:val="14"/>
                <w:lang w:bidi="en-US"/>
              </w:rPr>
            </w:pPr>
            <w:r>
              <w:rPr>
                <w:rFonts w:ascii="Arial" w:eastAsia="Andale Sans UI" w:hAnsi="Arial" w:cs="Tahoma"/>
                <w:b/>
                <w:bCs/>
                <w:spacing w:val="12"/>
                <w:sz w:val="14"/>
                <w:szCs w:val="14"/>
                <w:lang w:bidi="en-US"/>
              </w:rPr>
              <w:t>Duomenys kaupiami ir saugomi Juridinių asmenų registre, kodas 188602370</w:t>
            </w:r>
          </w:p>
        </w:tc>
      </w:tr>
      <w:tr w:rsidR="00346F23" w:rsidTr="009072D6">
        <w:trPr>
          <w:gridAfter w:val="1"/>
          <w:wAfter w:w="55" w:type="dxa"/>
        </w:trPr>
        <w:tc>
          <w:tcPr>
            <w:tcW w:w="9638" w:type="dxa"/>
            <w:gridSpan w:val="6"/>
            <w:tcMar>
              <w:top w:w="0" w:type="dxa"/>
              <w:left w:w="0" w:type="dxa"/>
              <w:bottom w:w="0" w:type="dxa"/>
              <w:right w:w="0" w:type="dxa"/>
            </w:tcMar>
          </w:tcPr>
          <w:p w:rsidR="00346F23" w:rsidRDefault="00346F23">
            <w:pPr>
              <w:widowControl w:val="0"/>
              <w:suppressLineNumbers/>
              <w:suppressAutoHyphens/>
              <w:rPr>
                <w:rFonts w:eastAsia="Andale Sans UI" w:cs="Tahoma"/>
                <w:szCs w:val="24"/>
                <w:lang w:bidi="en-US"/>
              </w:rPr>
            </w:pPr>
          </w:p>
        </w:tc>
      </w:tr>
      <w:tr w:rsidR="00346F23" w:rsidTr="009072D6">
        <w:trPr>
          <w:gridAfter w:val="1"/>
          <w:wAfter w:w="55" w:type="dxa"/>
          <w:cantSplit/>
          <w:trHeight w:val="340"/>
        </w:trPr>
        <w:tc>
          <w:tcPr>
            <w:tcW w:w="4817" w:type="dxa"/>
            <w:gridSpan w:val="2"/>
            <w:vMerge w:val="restart"/>
            <w:tcMar>
              <w:top w:w="0" w:type="dxa"/>
              <w:left w:w="0" w:type="dxa"/>
              <w:bottom w:w="0" w:type="dxa"/>
              <w:right w:w="0" w:type="dxa"/>
            </w:tcMar>
          </w:tcPr>
          <w:p w:rsidR="00EE5491" w:rsidRDefault="005E2858" w:rsidP="003D3A39">
            <w:pPr>
              <w:widowControl w:val="0"/>
              <w:suppressAutoHyphens/>
              <w:jc w:val="both"/>
              <w:rPr>
                <w:rFonts w:eastAsia="Andale Sans UI" w:cs="Tahoma"/>
                <w:spacing w:val="10"/>
                <w:szCs w:val="24"/>
                <w:lang w:bidi="en-US"/>
              </w:rPr>
            </w:pPr>
            <w:r>
              <w:rPr>
                <w:rFonts w:eastAsia="Andale Sans UI" w:cs="Tahoma"/>
                <w:spacing w:val="10"/>
                <w:szCs w:val="24"/>
                <w:lang w:bidi="en-US"/>
              </w:rPr>
              <w:t>Lietuvos Respublikos Vyriausybei</w:t>
            </w:r>
          </w:p>
          <w:p w:rsidR="00EE5491" w:rsidRDefault="00EE5491" w:rsidP="003D3A39">
            <w:pPr>
              <w:widowControl w:val="0"/>
              <w:suppressAutoHyphens/>
              <w:jc w:val="both"/>
              <w:rPr>
                <w:rFonts w:eastAsia="Andale Sans UI" w:cs="Tahoma"/>
                <w:spacing w:val="10"/>
                <w:szCs w:val="24"/>
                <w:lang w:bidi="en-US"/>
              </w:rPr>
            </w:pPr>
          </w:p>
          <w:p w:rsidR="00EE5491" w:rsidRDefault="00EE5491" w:rsidP="003D3A39">
            <w:pPr>
              <w:widowControl w:val="0"/>
              <w:suppressAutoHyphens/>
              <w:jc w:val="both"/>
              <w:rPr>
                <w:rFonts w:eastAsia="Andale Sans UI" w:cs="Tahoma"/>
                <w:spacing w:val="10"/>
                <w:szCs w:val="24"/>
                <w:lang w:bidi="en-US"/>
              </w:rPr>
            </w:pPr>
          </w:p>
          <w:p w:rsidR="00EE5491" w:rsidRDefault="00EE5491" w:rsidP="003D3A39">
            <w:pPr>
              <w:widowControl w:val="0"/>
              <w:suppressAutoHyphens/>
              <w:jc w:val="both"/>
              <w:rPr>
                <w:rFonts w:eastAsia="Andale Sans UI" w:cs="Tahoma"/>
                <w:spacing w:val="10"/>
                <w:szCs w:val="24"/>
                <w:lang w:bidi="en-US"/>
              </w:rPr>
            </w:pPr>
          </w:p>
        </w:tc>
        <w:tc>
          <w:tcPr>
            <w:tcW w:w="286" w:type="dxa"/>
            <w:tcMar>
              <w:top w:w="0" w:type="dxa"/>
              <w:left w:w="0" w:type="dxa"/>
              <w:bottom w:w="0" w:type="dxa"/>
              <w:right w:w="0" w:type="dxa"/>
            </w:tcMar>
          </w:tcPr>
          <w:p w:rsidR="00346F23" w:rsidRDefault="00346F23">
            <w:pPr>
              <w:widowControl w:val="0"/>
              <w:suppressAutoHyphens/>
              <w:ind w:right="67"/>
              <w:jc w:val="right"/>
              <w:rPr>
                <w:rFonts w:eastAsia="Andale Sans UI" w:cs="Tahoma"/>
                <w:spacing w:val="10"/>
                <w:szCs w:val="24"/>
                <w:lang w:bidi="en-US"/>
              </w:rPr>
            </w:pPr>
          </w:p>
        </w:tc>
        <w:tc>
          <w:tcPr>
            <w:tcW w:w="1837" w:type="dxa"/>
            <w:tcMar>
              <w:top w:w="0" w:type="dxa"/>
              <w:left w:w="0" w:type="dxa"/>
              <w:bottom w:w="0" w:type="dxa"/>
              <w:right w:w="0" w:type="dxa"/>
            </w:tcMar>
          </w:tcPr>
          <w:p w:rsidR="00346F23" w:rsidRDefault="002314F7" w:rsidP="008C3C88">
            <w:pPr>
              <w:widowControl w:val="0"/>
              <w:suppressLineNumbers/>
              <w:suppressAutoHyphens/>
              <w:ind w:right="67"/>
              <w:rPr>
                <w:rFonts w:eastAsia="Andale Sans UI" w:cs="Tahoma"/>
                <w:szCs w:val="24"/>
                <w:lang w:bidi="en-US"/>
              </w:rPr>
            </w:pPr>
            <w:r>
              <w:rPr>
                <w:rFonts w:eastAsia="Andale Sans UI" w:cs="Tahoma"/>
                <w:szCs w:val="24"/>
                <w:lang w:bidi="en-US"/>
              </w:rPr>
              <w:t>202</w:t>
            </w:r>
            <w:r w:rsidR="003D3A39">
              <w:rPr>
                <w:rFonts w:eastAsia="Andale Sans UI" w:cs="Tahoma"/>
                <w:szCs w:val="24"/>
                <w:lang w:bidi="en-US"/>
              </w:rPr>
              <w:t>1-</w:t>
            </w:r>
          </w:p>
        </w:tc>
        <w:tc>
          <w:tcPr>
            <w:tcW w:w="565" w:type="dxa"/>
          </w:tcPr>
          <w:p w:rsidR="00346F23" w:rsidRDefault="00567629">
            <w:pPr>
              <w:widowControl w:val="0"/>
              <w:suppressAutoHyphens/>
              <w:ind w:right="67"/>
              <w:jc w:val="right"/>
              <w:rPr>
                <w:rFonts w:eastAsia="Andale Sans UI" w:cs="Tahoma"/>
                <w:spacing w:val="10"/>
                <w:szCs w:val="24"/>
                <w:lang w:bidi="en-US"/>
              </w:rPr>
            </w:pPr>
            <w:r>
              <w:rPr>
                <w:rFonts w:eastAsia="Andale Sans UI" w:cs="Tahoma"/>
                <w:spacing w:val="10"/>
                <w:szCs w:val="24"/>
                <w:lang w:bidi="en-US"/>
              </w:rPr>
              <w:t>Nr.</w:t>
            </w:r>
          </w:p>
        </w:tc>
        <w:tc>
          <w:tcPr>
            <w:tcW w:w="2133" w:type="dxa"/>
          </w:tcPr>
          <w:p w:rsidR="00346F23" w:rsidRPr="00482C1B" w:rsidRDefault="00E7411C" w:rsidP="008C3C88">
            <w:pPr>
              <w:widowControl w:val="0"/>
              <w:suppressLineNumbers/>
              <w:suppressAutoHyphens/>
              <w:ind w:right="67"/>
              <w:rPr>
                <w:rFonts w:eastAsia="Andale Sans UI"/>
                <w:szCs w:val="24"/>
                <w:lang w:bidi="en-US"/>
              </w:rPr>
            </w:pPr>
            <w:r w:rsidRPr="00482C1B">
              <w:rPr>
                <w:rFonts w:eastAsia="Andale Sans UI"/>
                <w:szCs w:val="24"/>
                <w:lang w:bidi="en-US"/>
              </w:rPr>
              <w:t>(</w:t>
            </w:r>
            <w:r w:rsidR="00574630" w:rsidRPr="00482C1B">
              <w:rPr>
                <w:rFonts w:eastAsia="Andale Sans UI"/>
                <w:szCs w:val="24"/>
                <w:lang w:bidi="en-US"/>
              </w:rPr>
              <w:t>65)-D8(E)</w:t>
            </w:r>
            <w:r w:rsidR="00482C1B" w:rsidRPr="00482C1B">
              <w:rPr>
                <w:rFonts w:eastAsia="Andale Sans UI"/>
                <w:szCs w:val="24"/>
                <w:lang w:bidi="en-US"/>
              </w:rPr>
              <w:t>-</w:t>
            </w:r>
          </w:p>
        </w:tc>
      </w:tr>
      <w:tr w:rsidR="00346F23" w:rsidTr="009072D6">
        <w:trPr>
          <w:gridAfter w:val="1"/>
          <w:wAfter w:w="55" w:type="dxa"/>
          <w:cantSplit/>
          <w:trHeight w:val="340"/>
        </w:trPr>
        <w:tc>
          <w:tcPr>
            <w:tcW w:w="4817" w:type="dxa"/>
            <w:gridSpan w:val="2"/>
            <w:vMerge/>
            <w:tcMar>
              <w:top w:w="0" w:type="dxa"/>
              <w:left w:w="0" w:type="dxa"/>
              <w:bottom w:w="0" w:type="dxa"/>
              <w:right w:w="0" w:type="dxa"/>
            </w:tcMar>
          </w:tcPr>
          <w:p w:rsidR="00346F23" w:rsidRDefault="00346F23"/>
        </w:tc>
        <w:tc>
          <w:tcPr>
            <w:tcW w:w="286" w:type="dxa"/>
            <w:tcMar>
              <w:top w:w="0" w:type="dxa"/>
              <w:left w:w="0" w:type="dxa"/>
              <w:bottom w:w="0" w:type="dxa"/>
              <w:right w:w="0" w:type="dxa"/>
            </w:tcMar>
          </w:tcPr>
          <w:p w:rsidR="00346F23" w:rsidRDefault="00567629">
            <w:pPr>
              <w:widowControl w:val="0"/>
              <w:tabs>
                <w:tab w:val="left" w:pos="2869"/>
              </w:tabs>
              <w:suppressAutoHyphens/>
              <w:ind w:right="67"/>
              <w:jc w:val="right"/>
              <w:rPr>
                <w:rFonts w:eastAsia="Andale Sans UI" w:cs="Tahoma"/>
                <w:spacing w:val="10"/>
                <w:szCs w:val="24"/>
                <w:lang w:bidi="en-US"/>
              </w:rPr>
            </w:pPr>
            <w:r>
              <w:rPr>
                <w:rFonts w:eastAsia="Andale Sans UI" w:cs="Tahoma"/>
                <w:spacing w:val="10"/>
                <w:szCs w:val="24"/>
                <w:lang w:bidi="en-US"/>
              </w:rPr>
              <w:t>Į</w:t>
            </w:r>
          </w:p>
        </w:tc>
        <w:tc>
          <w:tcPr>
            <w:tcW w:w="1837" w:type="dxa"/>
            <w:tcMar>
              <w:top w:w="0" w:type="dxa"/>
              <w:left w:w="0" w:type="dxa"/>
              <w:bottom w:w="0" w:type="dxa"/>
              <w:right w:w="0" w:type="dxa"/>
            </w:tcMar>
          </w:tcPr>
          <w:p w:rsidR="00346F23" w:rsidRPr="00596F13" w:rsidRDefault="00C209FD" w:rsidP="00EE5491">
            <w:pPr>
              <w:widowControl w:val="0"/>
              <w:suppressLineNumbers/>
              <w:suppressAutoHyphens/>
              <w:ind w:right="67"/>
              <w:rPr>
                <w:rFonts w:eastAsia="Andale Sans UI"/>
                <w:szCs w:val="24"/>
                <w:lang w:bidi="en-US"/>
              </w:rPr>
            </w:pPr>
            <w:r>
              <w:rPr>
                <w:rFonts w:eastAsia="Andale Sans UI"/>
                <w:szCs w:val="24"/>
                <w:lang w:bidi="en-US"/>
              </w:rPr>
              <w:t>2021-06-11</w:t>
            </w:r>
          </w:p>
        </w:tc>
        <w:tc>
          <w:tcPr>
            <w:tcW w:w="565" w:type="dxa"/>
          </w:tcPr>
          <w:p w:rsidR="00346F23" w:rsidRPr="00EE5491" w:rsidRDefault="00567629" w:rsidP="00953E4F">
            <w:pPr>
              <w:widowControl w:val="0"/>
              <w:tabs>
                <w:tab w:val="left" w:pos="2869"/>
              </w:tabs>
              <w:suppressAutoHyphens/>
              <w:ind w:right="67"/>
              <w:jc w:val="right"/>
              <w:rPr>
                <w:rFonts w:eastAsia="Andale Sans UI"/>
                <w:spacing w:val="10"/>
                <w:szCs w:val="24"/>
                <w:lang w:bidi="en-US"/>
              </w:rPr>
            </w:pPr>
            <w:r w:rsidRPr="00EE5491">
              <w:rPr>
                <w:rFonts w:eastAsia="Andale Sans UI"/>
                <w:spacing w:val="10"/>
                <w:szCs w:val="24"/>
                <w:lang w:bidi="en-US"/>
              </w:rPr>
              <w:t>Nr.</w:t>
            </w:r>
            <w:r w:rsidR="00310E0C" w:rsidRPr="00EE5491">
              <w:rPr>
                <w:rFonts w:eastAsia="Andale Sans UI"/>
                <w:spacing w:val="10"/>
                <w:szCs w:val="24"/>
                <w:lang w:bidi="en-US"/>
              </w:rPr>
              <w:t xml:space="preserve"> </w:t>
            </w:r>
          </w:p>
        </w:tc>
        <w:tc>
          <w:tcPr>
            <w:tcW w:w="2133" w:type="dxa"/>
          </w:tcPr>
          <w:p w:rsidR="00346F23" w:rsidRPr="00EE5491" w:rsidRDefault="00C209FD" w:rsidP="00EE5491">
            <w:pPr>
              <w:widowControl w:val="0"/>
              <w:suppressLineNumbers/>
              <w:suppressAutoHyphens/>
              <w:ind w:right="67"/>
              <w:rPr>
                <w:rFonts w:eastAsia="Andale Sans UI"/>
                <w:szCs w:val="24"/>
                <w:lang w:bidi="en-US"/>
              </w:rPr>
            </w:pPr>
            <w:r>
              <w:rPr>
                <w:rFonts w:eastAsia="Andale Sans UI"/>
                <w:szCs w:val="24"/>
                <w:lang w:bidi="en-US"/>
              </w:rPr>
              <w:t>S-1892</w:t>
            </w:r>
          </w:p>
        </w:tc>
      </w:tr>
      <w:tr w:rsidR="00346F23" w:rsidTr="009072D6">
        <w:trPr>
          <w:gridAfter w:val="1"/>
          <w:wAfter w:w="55" w:type="dxa"/>
          <w:cantSplit/>
        </w:trPr>
        <w:tc>
          <w:tcPr>
            <w:tcW w:w="4817" w:type="dxa"/>
            <w:gridSpan w:val="2"/>
            <w:vMerge/>
            <w:tcMar>
              <w:top w:w="0" w:type="dxa"/>
              <w:left w:w="0" w:type="dxa"/>
              <w:bottom w:w="0" w:type="dxa"/>
              <w:right w:w="0" w:type="dxa"/>
            </w:tcMar>
          </w:tcPr>
          <w:p w:rsidR="00346F23" w:rsidRDefault="00346F23"/>
        </w:tc>
        <w:tc>
          <w:tcPr>
            <w:tcW w:w="4821" w:type="dxa"/>
            <w:gridSpan w:val="4"/>
            <w:tcMar>
              <w:top w:w="0" w:type="dxa"/>
              <w:left w:w="0" w:type="dxa"/>
              <w:bottom w:w="0" w:type="dxa"/>
              <w:right w:w="0" w:type="dxa"/>
            </w:tcMar>
          </w:tcPr>
          <w:p w:rsidR="00346F23" w:rsidRDefault="00161CCF" w:rsidP="00B05F63">
            <w:pPr>
              <w:widowControl w:val="0"/>
              <w:tabs>
                <w:tab w:val="left" w:pos="2869"/>
              </w:tabs>
              <w:suppressAutoHyphens/>
              <w:ind w:right="67"/>
              <w:rPr>
                <w:rFonts w:eastAsia="Andale Sans UI" w:cs="Tahoma"/>
                <w:spacing w:val="10"/>
                <w:szCs w:val="24"/>
                <w:lang w:bidi="en-US"/>
              </w:rPr>
            </w:pPr>
            <w:r>
              <w:rPr>
                <w:rFonts w:eastAsia="Andale Sans UI" w:cs="Tahoma"/>
                <w:spacing w:val="10"/>
                <w:szCs w:val="24"/>
                <w:lang w:bidi="en-US"/>
              </w:rPr>
              <w:t xml:space="preserve">   </w:t>
            </w:r>
            <w:r w:rsidR="00B4402C">
              <w:rPr>
                <w:rFonts w:eastAsia="Andale Sans UI" w:cs="Tahoma"/>
                <w:spacing w:val="10"/>
                <w:szCs w:val="24"/>
                <w:lang w:bidi="en-US"/>
              </w:rPr>
              <w:t xml:space="preserve">                  </w:t>
            </w:r>
            <w:r w:rsidR="00306D66">
              <w:rPr>
                <w:rFonts w:eastAsia="Andale Sans UI" w:cs="Tahoma"/>
                <w:spacing w:val="10"/>
                <w:szCs w:val="24"/>
                <w:lang w:bidi="en-US"/>
              </w:rPr>
              <w:t xml:space="preserve">           </w:t>
            </w:r>
            <w:r w:rsidR="00306D66" w:rsidRPr="00306D66">
              <w:rPr>
                <w:rFonts w:eastAsia="Andale Sans UI"/>
                <w:spacing w:val="10"/>
                <w:szCs w:val="24"/>
                <w:lang w:bidi="en-US"/>
              </w:rPr>
              <w:t xml:space="preserve"> </w:t>
            </w:r>
            <w:r w:rsidR="00182454">
              <w:rPr>
                <w:rFonts w:eastAsia="Andale Sans UI"/>
                <w:spacing w:val="10"/>
                <w:szCs w:val="24"/>
                <w:lang w:bidi="en-US"/>
              </w:rPr>
              <w:t xml:space="preserve"> </w:t>
            </w:r>
          </w:p>
        </w:tc>
      </w:tr>
      <w:tr w:rsidR="00BD0525" w:rsidRPr="00BD0525" w:rsidTr="009072D6">
        <w:trPr>
          <w:gridBefore w:val="1"/>
          <w:wBefore w:w="55" w:type="dxa"/>
          <w:trHeight w:val="340"/>
        </w:trPr>
        <w:tc>
          <w:tcPr>
            <w:tcW w:w="9638" w:type="dxa"/>
            <w:gridSpan w:val="6"/>
            <w:tcMar>
              <w:top w:w="0" w:type="dxa"/>
              <w:left w:w="0" w:type="dxa"/>
              <w:bottom w:w="0" w:type="dxa"/>
              <w:right w:w="0" w:type="dxa"/>
            </w:tcMar>
          </w:tcPr>
          <w:p w:rsidR="00BD0525" w:rsidRPr="00BD0525" w:rsidRDefault="00BD0525" w:rsidP="008C3C88">
            <w:pPr>
              <w:widowControl w:val="0"/>
              <w:suppressLineNumbers/>
              <w:suppressAutoHyphens/>
              <w:rPr>
                <w:rFonts w:eastAsia="Andale Sans UI" w:cs="Tahoma"/>
                <w:b/>
                <w:bCs/>
                <w:szCs w:val="24"/>
                <w:lang w:bidi="en-US"/>
              </w:rPr>
            </w:pPr>
            <w:r w:rsidRPr="00BD0525">
              <w:rPr>
                <w:rFonts w:eastAsia="Andale Sans UI" w:cs="Tahoma"/>
                <w:b/>
                <w:bCs/>
                <w:caps/>
                <w:szCs w:val="24"/>
                <w:lang w:bidi="en-US"/>
              </w:rPr>
              <w:t>Dėl</w:t>
            </w:r>
            <w:r w:rsidR="00DB48E2">
              <w:rPr>
                <w:rFonts w:eastAsia="Andale Sans UI" w:cs="Tahoma"/>
                <w:b/>
                <w:bCs/>
                <w:caps/>
                <w:szCs w:val="24"/>
                <w:lang w:bidi="en-US"/>
              </w:rPr>
              <w:t xml:space="preserve"> VYRIAUSYBĖS </w:t>
            </w:r>
            <w:r w:rsidR="004A707A">
              <w:rPr>
                <w:rFonts w:eastAsia="Andale Sans UI" w:cs="Tahoma"/>
                <w:b/>
                <w:bCs/>
                <w:caps/>
                <w:szCs w:val="24"/>
                <w:lang w:bidi="en-US"/>
              </w:rPr>
              <w:t>nutarim</w:t>
            </w:r>
            <w:r w:rsidR="00EE5491">
              <w:rPr>
                <w:rFonts w:eastAsia="Andale Sans UI" w:cs="Tahoma"/>
                <w:b/>
                <w:bCs/>
                <w:caps/>
                <w:szCs w:val="24"/>
                <w:lang w:bidi="en-US"/>
              </w:rPr>
              <w:t>O</w:t>
            </w:r>
            <w:r w:rsidR="004A707A">
              <w:rPr>
                <w:rFonts w:eastAsia="Andale Sans UI" w:cs="Tahoma"/>
                <w:b/>
                <w:bCs/>
                <w:caps/>
                <w:szCs w:val="24"/>
                <w:lang w:bidi="en-US"/>
              </w:rPr>
              <w:t xml:space="preserve"> </w:t>
            </w:r>
            <w:r w:rsidR="00310E0C">
              <w:rPr>
                <w:rFonts w:eastAsia="Andale Sans UI" w:cs="Tahoma"/>
                <w:b/>
                <w:bCs/>
                <w:caps/>
                <w:szCs w:val="24"/>
                <w:lang w:bidi="en-US"/>
              </w:rPr>
              <w:t>projekt</w:t>
            </w:r>
            <w:r w:rsidR="00EE5491">
              <w:rPr>
                <w:rFonts w:eastAsia="Andale Sans UI" w:cs="Tahoma"/>
                <w:b/>
                <w:bCs/>
                <w:caps/>
                <w:szCs w:val="24"/>
                <w:lang w:bidi="en-US"/>
              </w:rPr>
              <w:t>O</w:t>
            </w:r>
            <w:r w:rsidR="00C004A1">
              <w:rPr>
                <w:rFonts w:eastAsia="Andale Sans UI" w:cs="Tahoma"/>
                <w:b/>
                <w:bCs/>
                <w:caps/>
                <w:szCs w:val="24"/>
                <w:lang w:bidi="en-US"/>
              </w:rPr>
              <w:t xml:space="preserve"> </w:t>
            </w:r>
          </w:p>
        </w:tc>
      </w:tr>
    </w:tbl>
    <w:p w:rsidR="00111D8C" w:rsidRDefault="00111D8C" w:rsidP="00E43F8C">
      <w:pPr>
        <w:ind w:firstLine="425"/>
        <w:jc w:val="both"/>
        <w:rPr>
          <w:rStyle w:val="normaltextrun"/>
          <w:color w:val="000000"/>
          <w:shd w:val="clear" w:color="auto" w:fill="FFFFFF"/>
        </w:rPr>
      </w:pPr>
    </w:p>
    <w:p w:rsidR="00B4402C" w:rsidRPr="00B4402C" w:rsidRDefault="00B05F63" w:rsidP="00B4402C">
      <w:pPr>
        <w:ind w:firstLine="720"/>
        <w:jc w:val="both"/>
        <w:rPr>
          <w:color w:val="000000"/>
          <w:szCs w:val="24"/>
        </w:rPr>
      </w:pPr>
      <w:r>
        <w:rPr>
          <w:color w:val="000000"/>
          <w:szCs w:val="24"/>
        </w:rPr>
        <w:t xml:space="preserve">Aplinkos </w:t>
      </w:r>
      <w:r w:rsidR="00B4402C" w:rsidRPr="00B4402C">
        <w:rPr>
          <w:color w:val="000000"/>
          <w:szCs w:val="24"/>
        </w:rPr>
        <w:t xml:space="preserve">ministerija parengė ir teikia nutarimo „Dėl </w:t>
      </w:r>
      <w:r>
        <w:rPr>
          <w:color w:val="000000"/>
          <w:szCs w:val="24"/>
        </w:rPr>
        <w:t xml:space="preserve">Gyvūnų gerovės </w:t>
      </w:r>
      <w:r w:rsidR="00B4402C" w:rsidRPr="00B4402C">
        <w:rPr>
          <w:color w:val="000000"/>
          <w:szCs w:val="24"/>
        </w:rPr>
        <w:t>metų minėjimo 2022 metais plano patvirtinimo“ projektą (toliau – Nutarimo projektas).</w:t>
      </w:r>
    </w:p>
    <w:p w:rsidR="00B4402C" w:rsidRPr="00B4402C" w:rsidRDefault="00B4402C" w:rsidP="00B4402C">
      <w:pPr>
        <w:ind w:firstLine="720"/>
        <w:jc w:val="both"/>
        <w:rPr>
          <w:color w:val="000000"/>
          <w:szCs w:val="24"/>
        </w:rPr>
      </w:pPr>
      <w:r w:rsidRPr="00F22841">
        <w:rPr>
          <w:color w:val="000000"/>
          <w:szCs w:val="24"/>
        </w:rPr>
        <w:t>Nutarimo projektas parengtas įgyvendinant Lietuvos Respublikos Seimo 2021 m. gegužės 13 d. nutarimą Nr. XIV-3</w:t>
      </w:r>
      <w:r w:rsidR="00B41D67" w:rsidRPr="00F22841">
        <w:rPr>
          <w:color w:val="000000"/>
          <w:szCs w:val="24"/>
        </w:rPr>
        <w:t>07</w:t>
      </w:r>
      <w:r w:rsidRPr="00F22841">
        <w:rPr>
          <w:color w:val="000000"/>
          <w:szCs w:val="24"/>
        </w:rPr>
        <w:t xml:space="preserve"> „Dėl 2022 metų paskelbimo </w:t>
      </w:r>
      <w:r w:rsidR="00B41D67" w:rsidRPr="00F22841">
        <w:rPr>
          <w:color w:val="000000"/>
          <w:szCs w:val="24"/>
        </w:rPr>
        <w:t>Gyvūnų gerovės</w:t>
      </w:r>
      <w:r w:rsidRPr="00F22841">
        <w:rPr>
          <w:color w:val="000000"/>
          <w:szCs w:val="24"/>
        </w:rPr>
        <w:t xml:space="preserve"> metais“ ir vykdant Ministro Pirmininko pavedimą, įformintą Vyriausybės kanclerio 2021 m. birželio </w:t>
      </w:r>
      <w:r w:rsidR="00F30973" w:rsidRPr="00F22841">
        <w:rPr>
          <w:color w:val="000000"/>
          <w:szCs w:val="24"/>
        </w:rPr>
        <w:t>11</w:t>
      </w:r>
      <w:r w:rsidRPr="00F22841">
        <w:rPr>
          <w:color w:val="000000"/>
          <w:szCs w:val="24"/>
        </w:rPr>
        <w:t xml:space="preserve"> d. rezoliucija Nr. S-1892.</w:t>
      </w:r>
    </w:p>
    <w:p w:rsidR="00B4402C" w:rsidRPr="002357FE" w:rsidRDefault="00B4402C" w:rsidP="00B4402C">
      <w:pPr>
        <w:ind w:firstLine="720"/>
        <w:jc w:val="both"/>
        <w:rPr>
          <w:color w:val="000000"/>
          <w:szCs w:val="24"/>
        </w:rPr>
      </w:pPr>
      <w:r w:rsidRPr="002357FE">
        <w:rPr>
          <w:color w:val="000000"/>
          <w:szCs w:val="24"/>
        </w:rPr>
        <w:t>Nutarimo projekto tikslas – patvirtinti </w:t>
      </w:r>
      <w:r w:rsidR="00B05F63" w:rsidRPr="002357FE">
        <w:rPr>
          <w:color w:val="000000"/>
          <w:szCs w:val="24"/>
        </w:rPr>
        <w:t>Gyvūnų gerovės</w:t>
      </w:r>
      <w:r w:rsidRPr="002357FE">
        <w:rPr>
          <w:color w:val="000000"/>
          <w:szCs w:val="24"/>
        </w:rPr>
        <w:t> metų minėjimo 2022 metais planą.</w:t>
      </w:r>
    </w:p>
    <w:p w:rsidR="00F22841" w:rsidRPr="002357FE" w:rsidRDefault="00E25137" w:rsidP="00F22841">
      <w:pPr>
        <w:ind w:firstLine="567"/>
        <w:jc w:val="both"/>
        <w:rPr>
          <w:color w:val="000000"/>
          <w:szCs w:val="24"/>
          <w:lang w:val="en-GB" w:eastAsia="en-GB"/>
        </w:rPr>
      </w:pPr>
      <w:r w:rsidRPr="002357FE">
        <w:rPr>
          <w:color w:val="000000"/>
          <w:szCs w:val="24"/>
          <w:lang w:eastAsia="en-GB"/>
        </w:rPr>
        <w:t xml:space="preserve">  </w:t>
      </w:r>
      <w:r w:rsidR="00F22841" w:rsidRPr="002357FE">
        <w:rPr>
          <w:color w:val="000000"/>
          <w:szCs w:val="24"/>
          <w:lang w:eastAsia="en-GB"/>
        </w:rPr>
        <w:t xml:space="preserve">Aplinkos ministerija 2021 m. liepos 24 d. raštu </w:t>
      </w:r>
      <w:hyperlink r:id="rId13" w:history="1">
        <w:r w:rsidR="00F22841" w:rsidRPr="002357FE">
          <w:rPr>
            <w:rStyle w:val="Hyperlink"/>
            <w:color w:val="000000" w:themeColor="text1"/>
            <w:szCs w:val="24"/>
            <w:u w:val="none"/>
          </w:rPr>
          <w:t>(65)-D8(E)-4921</w:t>
        </w:r>
      </w:hyperlink>
      <w:r w:rsidR="00F22841" w:rsidRPr="002357FE">
        <w:rPr>
          <w:color w:val="000000"/>
          <w:szCs w:val="24"/>
          <w:lang w:eastAsia="en-GB"/>
        </w:rPr>
        <w:t xml:space="preserve"> kvietė suinteresuotas institucijas ir socialinius partnerius teikti siūlymus Gyvūnų gerovės metų minėjimo 2022 metais plano projektui. </w:t>
      </w:r>
      <w:r w:rsidR="00A8638D" w:rsidRPr="002357FE">
        <w:rPr>
          <w:color w:val="000000"/>
          <w:szCs w:val="24"/>
          <w:lang w:eastAsia="en-GB"/>
        </w:rPr>
        <w:t>Dauguma pasi</w:t>
      </w:r>
      <w:r w:rsidR="00F22841" w:rsidRPr="002357FE">
        <w:rPr>
          <w:color w:val="000000"/>
          <w:szCs w:val="24"/>
          <w:lang w:eastAsia="en-GB"/>
        </w:rPr>
        <w:t>ūlym</w:t>
      </w:r>
      <w:r w:rsidR="00A8638D" w:rsidRPr="002357FE">
        <w:rPr>
          <w:color w:val="000000"/>
          <w:szCs w:val="24"/>
          <w:lang w:eastAsia="en-GB"/>
        </w:rPr>
        <w:t>ų</w:t>
      </w:r>
      <w:r w:rsidR="00F22841" w:rsidRPr="002357FE">
        <w:rPr>
          <w:color w:val="000000"/>
          <w:szCs w:val="24"/>
          <w:lang w:eastAsia="en-GB"/>
        </w:rPr>
        <w:t xml:space="preserve"> įtraukti į Nutarimo projektą.</w:t>
      </w:r>
    </w:p>
    <w:p w:rsidR="00F22841" w:rsidRPr="002357FE" w:rsidRDefault="00F22841" w:rsidP="002357FE">
      <w:pPr>
        <w:ind w:firstLine="709"/>
        <w:jc w:val="both"/>
        <w:rPr>
          <w:color w:val="000000"/>
          <w:szCs w:val="24"/>
          <w:lang w:val="en-GB" w:eastAsia="en-GB"/>
        </w:rPr>
      </w:pPr>
      <w:r w:rsidRPr="002357FE">
        <w:rPr>
          <w:color w:val="000000"/>
          <w:szCs w:val="24"/>
          <w:lang w:eastAsia="en-GB"/>
        </w:rPr>
        <w:t>Lietuvos Respublikos Vyriausybei priėmus sprendimą dėl </w:t>
      </w:r>
      <w:r w:rsidR="008456DE" w:rsidRPr="002357FE">
        <w:rPr>
          <w:color w:val="000000"/>
          <w:szCs w:val="24"/>
          <w:lang w:eastAsia="en-GB"/>
        </w:rPr>
        <w:t>Gyvūnų gerovės</w:t>
      </w:r>
      <w:r w:rsidRPr="002357FE">
        <w:rPr>
          <w:color w:val="000000"/>
          <w:szCs w:val="24"/>
          <w:lang w:eastAsia="en-GB"/>
        </w:rPr>
        <w:t xml:space="preserve"> metų minėjimo 2022 metais plano patvirtinimo, lėšų priemonių įgyvendinimui reikės, tačiau priemonės bus įgyvendinamos iš</w:t>
      </w:r>
      <w:r w:rsidR="008456DE" w:rsidRPr="002357FE">
        <w:rPr>
          <w:color w:val="000000"/>
          <w:szCs w:val="24"/>
          <w:lang w:eastAsia="en-GB"/>
        </w:rPr>
        <w:t xml:space="preserve"> atitinkamoms ministerijoms, institucijoms, įstaigoms</w:t>
      </w:r>
      <w:r w:rsidRPr="002357FE">
        <w:rPr>
          <w:color w:val="000000"/>
          <w:szCs w:val="24"/>
          <w:lang w:eastAsia="en-GB"/>
        </w:rPr>
        <w:t>, savivaldybėms skiriamų lėšų</w:t>
      </w:r>
      <w:r w:rsidR="008456DE" w:rsidRPr="002357FE">
        <w:rPr>
          <w:color w:val="000000"/>
          <w:szCs w:val="24"/>
          <w:lang w:eastAsia="en-GB"/>
        </w:rPr>
        <w:t>, kitų organizacijų lėšomis</w:t>
      </w:r>
      <w:r w:rsidRPr="002357FE">
        <w:rPr>
          <w:color w:val="000000"/>
          <w:szCs w:val="24"/>
          <w:lang w:eastAsia="en-GB"/>
        </w:rPr>
        <w:t>. Papildomo finansavimo priemonėms įgyvendinti nereikės.</w:t>
      </w:r>
    </w:p>
    <w:p w:rsidR="00B4402C" w:rsidRPr="002357FE" w:rsidRDefault="00B4402C" w:rsidP="00B4402C">
      <w:pPr>
        <w:ind w:firstLine="720"/>
        <w:jc w:val="both"/>
        <w:rPr>
          <w:color w:val="000000"/>
          <w:szCs w:val="24"/>
        </w:rPr>
      </w:pPr>
      <w:r w:rsidRPr="002357FE">
        <w:rPr>
          <w:color w:val="000000"/>
          <w:szCs w:val="24"/>
        </w:rPr>
        <w:t xml:space="preserve">Neigiamų pasekmių </w:t>
      </w:r>
      <w:r w:rsidR="005A5C90" w:rsidRPr="002357FE">
        <w:rPr>
          <w:color w:val="000000"/>
          <w:szCs w:val="24"/>
        </w:rPr>
        <w:t>į</w:t>
      </w:r>
      <w:r w:rsidR="00FA2D01" w:rsidRPr="002357FE">
        <w:rPr>
          <w:color w:val="000000"/>
          <w:szCs w:val="24"/>
        </w:rPr>
        <w:t xml:space="preserve">gyvendinus </w:t>
      </w:r>
      <w:r w:rsidRPr="002357FE">
        <w:rPr>
          <w:color w:val="000000"/>
          <w:szCs w:val="24"/>
        </w:rPr>
        <w:t xml:space="preserve">Nutarimo </w:t>
      </w:r>
      <w:r w:rsidR="00FA2D01" w:rsidRPr="002357FE">
        <w:rPr>
          <w:color w:val="000000"/>
          <w:szCs w:val="24"/>
        </w:rPr>
        <w:t xml:space="preserve">projektą </w:t>
      </w:r>
      <w:r w:rsidRPr="002357FE">
        <w:rPr>
          <w:color w:val="000000"/>
          <w:szCs w:val="24"/>
        </w:rPr>
        <w:t>nenumatoma.</w:t>
      </w:r>
    </w:p>
    <w:p w:rsidR="00B4402C" w:rsidRPr="002357FE" w:rsidRDefault="00B4402C" w:rsidP="00B4402C">
      <w:pPr>
        <w:ind w:firstLine="709"/>
        <w:jc w:val="both"/>
        <w:rPr>
          <w:color w:val="000000"/>
          <w:szCs w:val="24"/>
        </w:rPr>
      </w:pPr>
      <w:r w:rsidRPr="002357FE">
        <w:rPr>
          <w:color w:val="000000"/>
          <w:szCs w:val="24"/>
        </w:rPr>
        <w:t>Vadovaujantis Numatomo teisinio reguliavimo poveikio vertinimo metodikos, patvirtintos Vyriausybės 2003 m. vasario 26 d. nutarimu Nr. 276</w:t>
      </w:r>
      <w:r w:rsidR="00A2102D" w:rsidRPr="002357FE">
        <w:rPr>
          <w:color w:val="000000"/>
          <w:szCs w:val="24"/>
        </w:rPr>
        <w:t xml:space="preserve"> ,</w:t>
      </w:r>
      <w:r w:rsidR="005A5C90" w:rsidRPr="002357FE">
        <w:rPr>
          <w:color w:val="000000"/>
          <w:szCs w:val="24"/>
        </w:rPr>
        <w:t>,</w:t>
      </w:r>
      <w:r w:rsidR="00A2102D" w:rsidRPr="002357FE">
        <w:rPr>
          <w:color w:val="000000"/>
          <w:szCs w:val="24"/>
        </w:rPr>
        <w:t xml:space="preserve">Dėl </w:t>
      </w:r>
      <w:r w:rsidR="00FA2D01" w:rsidRPr="002357FE">
        <w:rPr>
          <w:color w:val="000000"/>
          <w:szCs w:val="24"/>
        </w:rPr>
        <w:t xml:space="preserve">Numatomo </w:t>
      </w:r>
      <w:r w:rsidR="00A2102D" w:rsidRPr="002357FE">
        <w:rPr>
          <w:color w:val="000000"/>
          <w:szCs w:val="24"/>
        </w:rPr>
        <w:t>teisinio reguliavimo poveikio vertinimo metodikos“</w:t>
      </w:r>
      <w:r w:rsidRPr="002357FE">
        <w:rPr>
          <w:color w:val="000000"/>
          <w:szCs w:val="24"/>
        </w:rPr>
        <w:t>, 4 punktu, Nutarimo projekto numatomo teisinio reguliavimo poveikio vertinimas neatliekamas.</w:t>
      </w:r>
    </w:p>
    <w:p w:rsidR="00B4402C" w:rsidRDefault="00B4402C" w:rsidP="005E2858">
      <w:pPr>
        <w:widowControl w:val="0"/>
        <w:suppressLineNumbers/>
        <w:suppressAutoHyphens/>
        <w:ind w:right="67" w:firstLine="567"/>
        <w:jc w:val="both"/>
        <w:rPr>
          <w:color w:val="000000"/>
        </w:rPr>
      </w:pPr>
      <w:r w:rsidRPr="00B4402C">
        <w:rPr>
          <w:color w:val="000000"/>
          <w:szCs w:val="24"/>
        </w:rPr>
        <w:t>Nutarimo projektas paskelbtas Seimo kanceliarijos Teisės aktų informacinėje sistemoje (TAIS)</w:t>
      </w:r>
      <w:r w:rsidR="005E2858">
        <w:rPr>
          <w:color w:val="000000"/>
          <w:szCs w:val="24"/>
        </w:rPr>
        <w:t xml:space="preserve">, </w:t>
      </w:r>
      <w:r w:rsidR="005E2858">
        <w:rPr>
          <w:color w:val="000000"/>
        </w:rPr>
        <w:t xml:space="preserve">2021 m. lapkričio 16 d. raštu </w:t>
      </w:r>
      <w:r w:rsidR="005E2858" w:rsidRPr="00482C1B">
        <w:rPr>
          <w:rFonts w:eastAsia="Andale Sans UI"/>
          <w:szCs w:val="24"/>
          <w:lang w:bidi="en-US"/>
        </w:rPr>
        <w:t>(65)-D8(E)-</w:t>
      </w:r>
      <w:hyperlink r:id="rId14" w:history="1">
        <w:r w:rsidR="005E2858" w:rsidRPr="00482C1B">
          <w:rPr>
            <w:rStyle w:val="Hyperlink"/>
            <w:color w:val="auto"/>
            <w:szCs w:val="24"/>
            <w:u w:val="none"/>
          </w:rPr>
          <w:t>7139</w:t>
        </w:r>
      </w:hyperlink>
      <w:r w:rsidR="005E2858">
        <w:rPr>
          <w:rStyle w:val="Hyperlink"/>
          <w:color w:val="auto"/>
          <w:szCs w:val="24"/>
          <w:u w:val="none"/>
        </w:rPr>
        <w:t xml:space="preserve"> </w:t>
      </w:r>
      <w:r w:rsidR="005E2858">
        <w:rPr>
          <w:color w:val="000000"/>
        </w:rPr>
        <w:t>išsiųstas derinti kitoms institucijoms ir įstaigoms.</w:t>
      </w:r>
    </w:p>
    <w:p w:rsidR="00073974" w:rsidRDefault="005E2858" w:rsidP="005E2858">
      <w:pPr>
        <w:widowControl w:val="0"/>
        <w:suppressLineNumbers/>
        <w:suppressAutoHyphens/>
        <w:ind w:right="67" w:firstLine="567"/>
        <w:jc w:val="both"/>
        <w:rPr>
          <w:color w:val="000000"/>
          <w:szCs w:val="24"/>
        </w:rPr>
      </w:pPr>
      <w:r>
        <w:rPr>
          <w:color w:val="000000"/>
          <w:szCs w:val="24"/>
        </w:rPr>
        <w:t xml:space="preserve"> Be pastabų </w:t>
      </w:r>
      <w:r w:rsidR="008C3C88">
        <w:rPr>
          <w:color w:val="000000"/>
          <w:szCs w:val="24"/>
        </w:rPr>
        <w:t>N</w:t>
      </w:r>
      <w:r>
        <w:rPr>
          <w:color w:val="000000"/>
          <w:szCs w:val="24"/>
        </w:rPr>
        <w:t xml:space="preserve">utarimo projektas </w:t>
      </w:r>
      <w:r w:rsidR="00073974">
        <w:rPr>
          <w:color w:val="000000"/>
          <w:szCs w:val="24"/>
        </w:rPr>
        <w:t xml:space="preserve">raštu </w:t>
      </w:r>
      <w:r w:rsidR="00F13C41">
        <w:rPr>
          <w:color w:val="000000"/>
          <w:szCs w:val="24"/>
        </w:rPr>
        <w:t>ir</w:t>
      </w:r>
      <w:r w:rsidR="005A5C90">
        <w:rPr>
          <w:color w:val="000000"/>
          <w:szCs w:val="24"/>
        </w:rPr>
        <w:t xml:space="preserve"> (</w:t>
      </w:r>
      <w:r w:rsidR="00F13C41">
        <w:rPr>
          <w:color w:val="000000"/>
          <w:szCs w:val="24"/>
        </w:rPr>
        <w:t>ar</w:t>
      </w:r>
      <w:r w:rsidR="005A5C90">
        <w:rPr>
          <w:color w:val="000000"/>
          <w:szCs w:val="24"/>
        </w:rPr>
        <w:t>)</w:t>
      </w:r>
      <w:r w:rsidR="00073974">
        <w:rPr>
          <w:color w:val="000000"/>
          <w:szCs w:val="24"/>
        </w:rPr>
        <w:t xml:space="preserve"> el. paštu </w:t>
      </w:r>
      <w:r>
        <w:rPr>
          <w:color w:val="000000"/>
          <w:szCs w:val="24"/>
        </w:rPr>
        <w:t xml:space="preserve">suderintas su </w:t>
      </w:r>
      <w:r w:rsidR="00362945">
        <w:rPr>
          <w:color w:val="000000"/>
          <w:szCs w:val="24"/>
        </w:rPr>
        <w:t xml:space="preserve">Finansų ministerija, </w:t>
      </w:r>
      <w:r>
        <w:rPr>
          <w:color w:val="000000"/>
          <w:szCs w:val="24"/>
        </w:rPr>
        <w:t>Kultūros ministerija, Susisiekimo ministerija, Valstybine maisto ir veterinarijos tarnyba, Muitinės departamentu prie Finansų ministerijos, Policijos departamentu prie Lietuvos Respublikos vidaus reikalų ministerijos, Aplinkos apsaugos agentūra,</w:t>
      </w:r>
      <w:r w:rsidR="009A01FD">
        <w:rPr>
          <w:color w:val="000000"/>
          <w:szCs w:val="24"/>
        </w:rPr>
        <w:t xml:space="preserve"> Aplinkos apsaugos departamentu prie Aplinkos ministerijos, </w:t>
      </w:r>
      <w:proofErr w:type="spellStart"/>
      <w:r>
        <w:rPr>
          <w:color w:val="000000"/>
          <w:szCs w:val="24"/>
        </w:rPr>
        <w:t>VšĮ</w:t>
      </w:r>
      <w:proofErr w:type="spellEnd"/>
      <w:r>
        <w:rPr>
          <w:color w:val="000000"/>
          <w:szCs w:val="24"/>
        </w:rPr>
        <w:t xml:space="preserve"> ,,Lietuvos </w:t>
      </w:r>
      <w:r w:rsidR="00073974">
        <w:rPr>
          <w:color w:val="000000"/>
          <w:szCs w:val="24"/>
        </w:rPr>
        <w:t>nacionalinis radijas ir televizija“.</w:t>
      </w:r>
    </w:p>
    <w:p w:rsidR="00C653A2" w:rsidRDefault="001902CE" w:rsidP="005E2858">
      <w:pPr>
        <w:widowControl w:val="0"/>
        <w:suppressLineNumbers/>
        <w:suppressAutoHyphens/>
        <w:ind w:right="67" w:firstLine="567"/>
        <w:jc w:val="both"/>
        <w:rPr>
          <w:color w:val="000000"/>
          <w:szCs w:val="24"/>
        </w:rPr>
      </w:pPr>
      <w:r>
        <w:rPr>
          <w:color w:val="000000"/>
          <w:szCs w:val="24"/>
        </w:rPr>
        <w:t xml:space="preserve">Nutarimo projektas pataisytas ir papildytas pagal raštu </w:t>
      </w:r>
      <w:r w:rsidR="00C653A2">
        <w:rPr>
          <w:color w:val="000000"/>
          <w:szCs w:val="24"/>
        </w:rPr>
        <w:t>ir</w:t>
      </w:r>
      <w:r w:rsidR="005A5C90">
        <w:rPr>
          <w:color w:val="000000"/>
          <w:szCs w:val="24"/>
        </w:rPr>
        <w:t xml:space="preserve"> (</w:t>
      </w:r>
      <w:r>
        <w:rPr>
          <w:color w:val="000000"/>
          <w:szCs w:val="24"/>
        </w:rPr>
        <w:t>ar</w:t>
      </w:r>
      <w:r w:rsidR="005A5C90">
        <w:rPr>
          <w:color w:val="000000"/>
          <w:szCs w:val="24"/>
        </w:rPr>
        <w:t>)</w:t>
      </w:r>
      <w:r>
        <w:rPr>
          <w:color w:val="000000"/>
          <w:szCs w:val="24"/>
        </w:rPr>
        <w:t xml:space="preserve"> el. paštu gautas Žemės ūkio ministerijos, Rokiškio rajono savivaldybės, </w:t>
      </w:r>
      <w:r w:rsidR="00176B97">
        <w:rPr>
          <w:color w:val="000000"/>
          <w:szCs w:val="24"/>
        </w:rPr>
        <w:t xml:space="preserve">Marijampolės savivaldybės, Vilniaus miesto savivaldybės, </w:t>
      </w:r>
      <w:r>
        <w:rPr>
          <w:color w:val="000000"/>
          <w:szCs w:val="24"/>
        </w:rPr>
        <w:t xml:space="preserve">Lietuvos jūrų muziejaus, </w:t>
      </w:r>
      <w:r w:rsidR="001D0231">
        <w:rPr>
          <w:color w:val="000000"/>
          <w:szCs w:val="24"/>
        </w:rPr>
        <w:t xml:space="preserve">Klaipėdos universiteto, </w:t>
      </w:r>
      <w:r>
        <w:rPr>
          <w:color w:val="000000"/>
          <w:szCs w:val="24"/>
        </w:rPr>
        <w:t xml:space="preserve">Lietuvos sveikatos mokslų universiteto, </w:t>
      </w:r>
      <w:r w:rsidR="009A01FD" w:rsidRPr="009A01FD">
        <w:rPr>
          <w:color w:val="000000"/>
          <w:szCs w:val="24"/>
        </w:rPr>
        <w:t>Vilniaus universiteto</w:t>
      </w:r>
      <w:r w:rsidR="009A01FD">
        <w:rPr>
          <w:color w:val="000000"/>
          <w:szCs w:val="24"/>
        </w:rPr>
        <w:t>,</w:t>
      </w:r>
      <w:r w:rsidR="009A01FD" w:rsidRPr="009A01FD">
        <w:rPr>
          <w:color w:val="000000"/>
          <w:szCs w:val="24"/>
        </w:rPr>
        <w:t xml:space="preserve"> Baltijos laboratorinių gyvūnų mokslo asociacijos</w:t>
      </w:r>
      <w:r w:rsidR="009A01FD">
        <w:rPr>
          <w:color w:val="000000"/>
          <w:szCs w:val="24"/>
        </w:rPr>
        <w:t xml:space="preserve">, </w:t>
      </w:r>
      <w:r>
        <w:rPr>
          <w:color w:val="000000"/>
          <w:szCs w:val="24"/>
        </w:rPr>
        <w:t>Lietuvos smulkių gyvūnų veterinarijos gydytojų asociacijos</w:t>
      </w:r>
      <w:r w:rsidR="00176B97">
        <w:rPr>
          <w:color w:val="000000"/>
          <w:szCs w:val="24"/>
        </w:rPr>
        <w:t xml:space="preserve">, Lietuvos kinologų draugijos, </w:t>
      </w:r>
      <w:r w:rsidR="001D0231">
        <w:rPr>
          <w:color w:val="000000"/>
          <w:szCs w:val="24"/>
        </w:rPr>
        <w:t xml:space="preserve">Lietuvos ornitologų draugijos, </w:t>
      </w:r>
      <w:r w:rsidR="00176B97">
        <w:rPr>
          <w:color w:val="000000"/>
          <w:szCs w:val="24"/>
        </w:rPr>
        <w:t xml:space="preserve">Panevėžio gamtos mokyklos pastabas ar pasiūlymus. </w:t>
      </w:r>
      <w:r w:rsidR="00985906">
        <w:rPr>
          <w:color w:val="000000"/>
          <w:szCs w:val="24"/>
        </w:rPr>
        <w:t>N</w:t>
      </w:r>
      <w:r w:rsidR="00C653A2">
        <w:rPr>
          <w:color w:val="000000"/>
          <w:szCs w:val="24"/>
        </w:rPr>
        <w:t>eatsižvelgta</w:t>
      </w:r>
      <w:r w:rsidR="00985906">
        <w:rPr>
          <w:color w:val="000000"/>
          <w:szCs w:val="24"/>
        </w:rPr>
        <w:t xml:space="preserve"> į Lietuvos gyvūnų globos draugijos Vilniaus skyriaus pasiūlymus, argumentai pateikti derinimo pažymoje. </w:t>
      </w:r>
      <w:r w:rsidR="00C653A2">
        <w:rPr>
          <w:color w:val="000000"/>
          <w:szCs w:val="24"/>
        </w:rPr>
        <w:t xml:space="preserve"> </w:t>
      </w:r>
    </w:p>
    <w:p w:rsidR="001902CE" w:rsidRPr="001902CE" w:rsidRDefault="00073974" w:rsidP="001902CE">
      <w:pPr>
        <w:widowControl w:val="0"/>
        <w:suppressLineNumbers/>
        <w:suppressAutoHyphens/>
        <w:ind w:right="67" w:firstLine="567"/>
        <w:jc w:val="both"/>
        <w:rPr>
          <w:color w:val="000000"/>
          <w:szCs w:val="24"/>
        </w:rPr>
      </w:pPr>
      <w:r>
        <w:rPr>
          <w:color w:val="000000"/>
          <w:szCs w:val="24"/>
        </w:rPr>
        <w:t xml:space="preserve">Socialinės apsaugos ir darbo ministerija, Švietimo, mokslo ir sporto ministerija, Teisingumo </w:t>
      </w:r>
      <w:r>
        <w:rPr>
          <w:color w:val="000000"/>
          <w:szCs w:val="24"/>
        </w:rPr>
        <w:lastRenderedPageBreak/>
        <w:t xml:space="preserve">ministerija, Vidaus reikalų ministerija, </w:t>
      </w:r>
      <w:r w:rsidRPr="008C3C88">
        <w:rPr>
          <w:color w:val="000000"/>
          <w:szCs w:val="24"/>
        </w:rPr>
        <w:t xml:space="preserve">Lietuvos zoologijos sodas, Kauno Tado Ivanausko muziejus, Valstybinė saugomų teritorijų tarnyba prie Aplinkos ministerijos, Lietuvos savivaldybių asociacija, </w:t>
      </w:r>
      <w:r w:rsidR="001902CE" w:rsidRPr="008C3C88">
        <w:rPr>
          <w:color w:val="000000"/>
          <w:szCs w:val="24"/>
        </w:rPr>
        <w:t>Alytaus miesto savivaldybė,</w:t>
      </w:r>
      <w:r w:rsidRPr="008C3C88">
        <w:rPr>
          <w:color w:val="000000"/>
          <w:szCs w:val="24"/>
        </w:rPr>
        <w:t xml:space="preserve"> </w:t>
      </w:r>
      <w:r w:rsidR="001902CE" w:rsidRPr="008C3C88">
        <w:rPr>
          <w:color w:val="000000"/>
          <w:szCs w:val="24"/>
        </w:rPr>
        <w:t>Kėdainių rajono savivaldybė, Klaipėdos rajono savivaldybė, Kupiškio rajono savivaldybė, Panevėžio miesto savivaldybė, Panevėžio rajono savivaldybė, Šalčininkų rajono savivaldybė, Šiaulių miesto savivaldybė, Vilniaus rajono savivaldybė, Gamtos tyrimų centras, Vytauto Didžiojo universitetas, Aplinkosaugos koalicija,</w:t>
      </w:r>
      <w:r w:rsidR="009003AC">
        <w:rPr>
          <w:color w:val="000000"/>
          <w:szCs w:val="24"/>
        </w:rPr>
        <w:t xml:space="preserve"> </w:t>
      </w:r>
      <w:r w:rsidR="001902CE" w:rsidRPr="008C3C88">
        <w:rPr>
          <w:color w:val="000000"/>
          <w:szCs w:val="24"/>
        </w:rPr>
        <w:t xml:space="preserve">Šikšnosparnių apsaugos Lietuvoje draugija, Lietuvos gamtos fondas, </w:t>
      </w:r>
      <w:proofErr w:type="spellStart"/>
      <w:r w:rsidR="001902CE" w:rsidRPr="008C3C88">
        <w:rPr>
          <w:color w:val="000000"/>
          <w:szCs w:val="24"/>
        </w:rPr>
        <w:t>VšĮ</w:t>
      </w:r>
      <w:proofErr w:type="spellEnd"/>
      <w:r w:rsidR="001902CE" w:rsidRPr="008C3C88">
        <w:rPr>
          <w:color w:val="000000"/>
          <w:szCs w:val="24"/>
        </w:rPr>
        <w:t xml:space="preserve"> </w:t>
      </w:r>
      <w:r w:rsidR="002357FE">
        <w:rPr>
          <w:color w:val="000000"/>
          <w:szCs w:val="24"/>
        </w:rPr>
        <w:t>„</w:t>
      </w:r>
      <w:r w:rsidR="001902CE" w:rsidRPr="008C3C88">
        <w:rPr>
          <w:color w:val="000000"/>
          <w:szCs w:val="24"/>
        </w:rPr>
        <w:t>Gamtos paveldo fondas</w:t>
      </w:r>
      <w:r w:rsidR="002357FE">
        <w:rPr>
          <w:color w:val="000000"/>
          <w:szCs w:val="24"/>
        </w:rPr>
        <w:t>“</w:t>
      </w:r>
      <w:r w:rsidR="001902CE" w:rsidRPr="008C3C88">
        <w:rPr>
          <w:color w:val="000000"/>
          <w:szCs w:val="24"/>
        </w:rPr>
        <w:t xml:space="preserve">, </w:t>
      </w:r>
      <w:proofErr w:type="spellStart"/>
      <w:r w:rsidR="001902CE" w:rsidRPr="008C3C88">
        <w:rPr>
          <w:color w:val="000000"/>
          <w:szCs w:val="24"/>
        </w:rPr>
        <w:t>VšĮ</w:t>
      </w:r>
      <w:proofErr w:type="spellEnd"/>
      <w:r w:rsidR="001902CE" w:rsidRPr="008C3C88">
        <w:rPr>
          <w:color w:val="000000"/>
          <w:szCs w:val="24"/>
        </w:rPr>
        <w:t xml:space="preserve"> </w:t>
      </w:r>
      <w:r w:rsidR="002357FE">
        <w:rPr>
          <w:color w:val="000000"/>
          <w:szCs w:val="24"/>
        </w:rPr>
        <w:t>„</w:t>
      </w:r>
      <w:r w:rsidR="001902CE" w:rsidRPr="008C3C88">
        <w:rPr>
          <w:color w:val="000000"/>
          <w:szCs w:val="24"/>
        </w:rPr>
        <w:t>Baltijos aplinkos forumas</w:t>
      </w:r>
      <w:r w:rsidR="002357FE">
        <w:rPr>
          <w:color w:val="000000"/>
          <w:szCs w:val="24"/>
        </w:rPr>
        <w:t>“</w:t>
      </w:r>
      <w:r w:rsidR="001902CE" w:rsidRPr="008C3C88">
        <w:rPr>
          <w:color w:val="000000"/>
          <w:szCs w:val="24"/>
        </w:rPr>
        <w:t xml:space="preserve">, Lietuvos veterinarijos gydytojų asociacija, Lietuvos gyvūnų teisių apsaugos organizacija, Gyvūnų globėjų asociacija, Lietuvos </w:t>
      </w:r>
      <w:proofErr w:type="spellStart"/>
      <w:r w:rsidR="001902CE" w:rsidRPr="008C3C88">
        <w:rPr>
          <w:color w:val="000000"/>
          <w:szCs w:val="24"/>
        </w:rPr>
        <w:t>felinologų</w:t>
      </w:r>
      <w:proofErr w:type="spellEnd"/>
      <w:r w:rsidR="001902CE" w:rsidRPr="008C3C88">
        <w:rPr>
          <w:color w:val="000000"/>
          <w:szCs w:val="24"/>
        </w:rPr>
        <w:t xml:space="preserve"> draugija, </w:t>
      </w:r>
      <w:proofErr w:type="spellStart"/>
      <w:r w:rsidR="001902CE" w:rsidRPr="008C3C88">
        <w:rPr>
          <w:color w:val="000000"/>
          <w:szCs w:val="24"/>
        </w:rPr>
        <w:t>VšĮ</w:t>
      </w:r>
      <w:proofErr w:type="spellEnd"/>
      <w:r w:rsidR="001902CE" w:rsidRPr="008C3C88">
        <w:rPr>
          <w:color w:val="000000"/>
          <w:szCs w:val="24"/>
        </w:rPr>
        <w:t xml:space="preserve"> „Gyvūnų gerovės iniciatyvos“, </w:t>
      </w:r>
      <w:proofErr w:type="spellStart"/>
      <w:r w:rsidR="001902CE" w:rsidRPr="008C3C88">
        <w:rPr>
          <w:color w:val="000000"/>
          <w:szCs w:val="24"/>
        </w:rPr>
        <w:t>VšĮ</w:t>
      </w:r>
      <w:proofErr w:type="spellEnd"/>
      <w:r w:rsidR="001902CE" w:rsidRPr="008C3C88">
        <w:rPr>
          <w:color w:val="000000"/>
          <w:szCs w:val="24"/>
        </w:rPr>
        <w:t xml:space="preserve"> ,,Pagalba laukiniams gyvūnams”, </w:t>
      </w:r>
      <w:proofErr w:type="spellStart"/>
      <w:r w:rsidR="001902CE" w:rsidRPr="008C3C88">
        <w:rPr>
          <w:color w:val="000000"/>
          <w:szCs w:val="24"/>
        </w:rPr>
        <w:t>VšĮ</w:t>
      </w:r>
      <w:proofErr w:type="spellEnd"/>
      <w:r w:rsidR="001902CE" w:rsidRPr="008C3C88">
        <w:rPr>
          <w:color w:val="000000"/>
          <w:szCs w:val="24"/>
        </w:rPr>
        <w:t xml:space="preserve"> „Baltijos kinologijos centras“, UAB „</w:t>
      </w:r>
      <w:proofErr w:type="spellStart"/>
      <w:r w:rsidR="001902CE" w:rsidRPr="008C3C88">
        <w:rPr>
          <w:color w:val="000000"/>
          <w:szCs w:val="24"/>
        </w:rPr>
        <w:t>Kika</w:t>
      </w:r>
      <w:proofErr w:type="spellEnd"/>
      <w:r w:rsidR="001902CE" w:rsidRPr="008C3C88">
        <w:rPr>
          <w:color w:val="000000"/>
          <w:szCs w:val="24"/>
        </w:rPr>
        <w:t xml:space="preserve"> </w:t>
      </w:r>
      <w:proofErr w:type="spellStart"/>
      <w:r w:rsidR="001902CE" w:rsidRPr="008C3C88">
        <w:rPr>
          <w:color w:val="000000"/>
          <w:szCs w:val="24"/>
        </w:rPr>
        <w:t>Group</w:t>
      </w:r>
      <w:proofErr w:type="spellEnd"/>
      <w:r w:rsidR="001902CE" w:rsidRPr="008C3C88">
        <w:rPr>
          <w:color w:val="000000"/>
          <w:szCs w:val="24"/>
        </w:rPr>
        <w:t>“,</w:t>
      </w:r>
      <w:r w:rsidR="00985906" w:rsidRPr="008C3C88">
        <w:rPr>
          <w:color w:val="000000"/>
          <w:szCs w:val="24"/>
        </w:rPr>
        <w:t xml:space="preserve"> </w:t>
      </w:r>
      <w:r w:rsidR="001902CE" w:rsidRPr="008C3C88">
        <w:rPr>
          <w:color w:val="000000"/>
          <w:szCs w:val="24"/>
        </w:rPr>
        <w:t>UAB „</w:t>
      </w:r>
      <w:proofErr w:type="spellStart"/>
      <w:r w:rsidR="001902CE" w:rsidRPr="008C3C88">
        <w:rPr>
          <w:color w:val="000000"/>
          <w:szCs w:val="24"/>
        </w:rPr>
        <w:t>Nuaras</w:t>
      </w:r>
      <w:proofErr w:type="spellEnd"/>
      <w:r w:rsidR="001902CE" w:rsidRPr="008C3C88">
        <w:rPr>
          <w:color w:val="000000"/>
          <w:szCs w:val="24"/>
        </w:rPr>
        <w:t xml:space="preserve">“, UAB ,,Grinda“, UAB „Vilniaus viešasis transportas“, Kauno </w:t>
      </w:r>
      <w:proofErr w:type="spellStart"/>
      <w:r w:rsidR="001902CE" w:rsidRPr="008C3C88">
        <w:rPr>
          <w:color w:val="000000"/>
          <w:szCs w:val="24"/>
        </w:rPr>
        <w:t>Suzuki</w:t>
      </w:r>
      <w:proofErr w:type="spellEnd"/>
      <w:r w:rsidR="001902CE" w:rsidRPr="008C3C88">
        <w:rPr>
          <w:color w:val="000000"/>
          <w:szCs w:val="24"/>
        </w:rPr>
        <w:t xml:space="preserve"> progimnazija, Lietuvos mokinių neformaliojo švietimo centras pastabų per nustatytą terminą Nutarimo projektui nepateikė, </w:t>
      </w:r>
      <w:r w:rsidR="00860EF3">
        <w:rPr>
          <w:color w:val="000000"/>
          <w:szCs w:val="24"/>
        </w:rPr>
        <w:t xml:space="preserve">todėl </w:t>
      </w:r>
      <w:r w:rsidR="001902CE" w:rsidRPr="008C3C88">
        <w:rPr>
          <w:color w:val="000000"/>
          <w:szCs w:val="24"/>
        </w:rPr>
        <w:t>laikoma, kad jie Nutarimo projektui neprieštarauja.</w:t>
      </w:r>
      <w:r w:rsidR="001902CE">
        <w:rPr>
          <w:color w:val="000000"/>
          <w:szCs w:val="24"/>
        </w:rPr>
        <w:t xml:space="preserve">   </w:t>
      </w:r>
    </w:p>
    <w:p w:rsidR="00B4402C" w:rsidRDefault="00B4402C" w:rsidP="00B4402C">
      <w:pPr>
        <w:ind w:firstLine="720"/>
        <w:jc w:val="both"/>
        <w:rPr>
          <w:color w:val="000000"/>
          <w:szCs w:val="24"/>
        </w:rPr>
      </w:pPr>
      <w:r w:rsidRPr="00B4402C">
        <w:rPr>
          <w:color w:val="000000"/>
          <w:szCs w:val="24"/>
        </w:rPr>
        <w:t>Nutarimo projektą parengė </w:t>
      </w:r>
      <w:r w:rsidR="00B05F63">
        <w:rPr>
          <w:color w:val="000000"/>
          <w:szCs w:val="24"/>
        </w:rPr>
        <w:t>Aplinkos ministerijos Gamtos apsaugos politikos grupės</w:t>
      </w:r>
      <w:r w:rsidRPr="00B4402C">
        <w:rPr>
          <w:color w:val="000000"/>
          <w:szCs w:val="24"/>
        </w:rPr>
        <w:t xml:space="preserve"> (</w:t>
      </w:r>
      <w:r w:rsidR="00B05F63">
        <w:rPr>
          <w:color w:val="000000"/>
          <w:szCs w:val="24"/>
        </w:rPr>
        <w:t>vadovas Algirdas Klimavičius</w:t>
      </w:r>
      <w:r w:rsidRPr="00B4402C">
        <w:rPr>
          <w:color w:val="000000"/>
          <w:szCs w:val="24"/>
        </w:rPr>
        <w:t>, tel. +370</w:t>
      </w:r>
      <w:r w:rsidR="00B05F63">
        <w:rPr>
          <w:color w:val="000000"/>
          <w:szCs w:val="24"/>
        </w:rPr>
        <w:t> 686 17295</w:t>
      </w:r>
      <w:r w:rsidRPr="00B4402C">
        <w:rPr>
          <w:color w:val="000000"/>
          <w:szCs w:val="24"/>
        </w:rPr>
        <w:t>, el. p. </w:t>
      </w:r>
      <w:hyperlink r:id="rId15" w:history="1">
        <w:r w:rsidR="00B05F63" w:rsidRPr="007A70D8">
          <w:rPr>
            <w:rStyle w:val="Hyperlink"/>
            <w:szCs w:val="24"/>
          </w:rPr>
          <w:t>algirdas.klimavicius</w:t>
        </w:r>
        <w:r w:rsidR="00B05F63" w:rsidRPr="007A70D8">
          <w:rPr>
            <w:rStyle w:val="Hyperlink"/>
            <w:szCs w:val="24"/>
            <w:lang w:val="en-GB"/>
          </w:rPr>
          <w:t>@am.lt</w:t>
        </w:r>
      </w:hyperlink>
      <w:r w:rsidRPr="00B4402C">
        <w:rPr>
          <w:color w:val="000000"/>
          <w:szCs w:val="24"/>
        </w:rPr>
        <w:t xml:space="preserve">) </w:t>
      </w:r>
      <w:r w:rsidR="00B05F63">
        <w:rPr>
          <w:color w:val="000000"/>
          <w:szCs w:val="24"/>
        </w:rPr>
        <w:t>vyresnioji patar</w:t>
      </w:r>
      <w:r w:rsidRPr="00B4402C">
        <w:rPr>
          <w:color w:val="000000"/>
          <w:szCs w:val="24"/>
        </w:rPr>
        <w:t>ė</w:t>
      </w:r>
      <w:r w:rsidR="00B05F63">
        <w:rPr>
          <w:color w:val="000000"/>
          <w:szCs w:val="24"/>
        </w:rPr>
        <w:t xml:space="preserve">ja Lina </w:t>
      </w:r>
      <w:proofErr w:type="spellStart"/>
      <w:r w:rsidR="00B05F63">
        <w:rPr>
          <w:color w:val="000000"/>
          <w:szCs w:val="24"/>
        </w:rPr>
        <w:t>Čaplikaitė-Denisovienė</w:t>
      </w:r>
      <w:r w:rsidRPr="00B4402C">
        <w:rPr>
          <w:color w:val="000000"/>
          <w:szCs w:val="24"/>
        </w:rPr>
        <w:t>,</w:t>
      </w:r>
      <w:proofErr w:type="spellEnd"/>
      <w:r w:rsidRPr="00B4402C">
        <w:rPr>
          <w:color w:val="000000"/>
          <w:szCs w:val="24"/>
        </w:rPr>
        <w:t xml:space="preserve"> tel. </w:t>
      </w:r>
      <w:r w:rsidRPr="00B4402C">
        <w:rPr>
          <w:color w:val="000000"/>
          <w:szCs w:val="24"/>
          <w:shd w:val="clear" w:color="auto" w:fill="FFFFFF"/>
        </w:rPr>
        <w:t xml:space="preserve">+370  </w:t>
      </w:r>
      <w:r w:rsidR="00B05F63">
        <w:rPr>
          <w:color w:val="000000"/>
          <w:szCs w:val="24"/>
          <w:shd w:val="clear" w:color="auto" w:fill="FFFFFF"/>
        </w:rPr>
        <w:t>615 54788</w:t>
      </w:r>
      <w:r w:rsidRPr="00B4402C">
        <w:rPr>
          <w:color w:val="000000"/>
          <w:szCs w:val="24"/>
        </w:rPr>
        <w:t>, el. p. </w:t>
      </w:r>
      <w:hyperlink r:id="rId16" w:history="1">
        <w:r w:rsidR="00B05F63" w:rsidRPr="007A70D8">
          <w:rPr>
            <w:rStyle w:val="Hyperlink"/>
            <w:szCs w:val="24"/>
          </w:rPr>
          <w:t>lina.caplikaite</w:t>
        </w:r>
        <w:r w:rsidR="00B05F63" w:rsidRPr="007A70D8">
          <w:rPr>
            <w:rStyle w:val="Hyperlink"/>
            <w:szCs w:val="24"/>
            <w:lang w:val="en-GB"/>
          </w:rPr>
          <w:t>@am.lt</w:t>
        </w:r>
      </w:hyperlink>
      <w:r w:rsidRPr="00B4402C">
        <w:rPr>
          <w:color w:val="000000"/>
          <w:szCs w:val="24"/>
        </w:rPr>
        <w:t>.</w:t>
      </w:r>
    </w:p>
    <w:p w:rsidR="003C509A" w:rsidRDefault="003C509A" w:rsidP="00B4402C">
      <w:pPr>
        <w:ind w:firstLine="720"/>
        <w:jc w:val="both"/>
        <w:rPr>
          <w:color w:val="000000"/>
          <w:szCs w:val="24"/>
        </w:rPr>
      </w:pPr>
      <w:r>
        <w:rPr>
          <w:color w:val="000000"/>
          <w:szCs w:val="24"/>
        </w:rPr>
        <w:t>PRIDEDAMA:</w:t>
      </w:r>
      <w:bookmarkStart w:id="0" w:name="_GoBack"/>
      <w:bookmarkEnd w:id="0"/>
    </w:p>
    <w:p w:rsidR="00055BDC" w:rsidRDefault="00C6370C" w:rsidP="00C6370C">
      <w:pPr>
        <w:pStyle w:val="ListParagraph"/>
        <w:numPr>
          <w:ilvl w:val="0"/>
          <w:numId w:val="5"/>
        </w:numPr>
        <w:jc w:val="both"/>
        <w:rPr>
          <w:color w:val="000000"/>
          <w:szCs w:val="24"/>
        </w:rPr>
      </w:pPr>
      <w:r w:rsidRPr="00DF2F53">
        <w:rPr>
          <w:color w:val="000000"/>
          <w:szCs w:val="24"/>
        </w:rPr>
        <w:t xml:space="preserve">Nutarimo projektas, </w:t>
      </w:r>
      <w:r w:rsidR="002B1028">
        <w:rPr>
          <w:color w:val="000000"/>
          <w:szCs w:val="24"/>
        </w:rPr>
        <w:t>10</w:t>
      </w:r>
      <w:r w:rsidRPr="00DF2F53">
        <w:rPr>
          <w:color w:val="000000"/>
          <w:szCs w:val="24"/>
        </w:rPr>
        <w:t xml:space="preserve"> lap</w:t>
      </w:r>
      <w:r w:rsidR="002B1028">
        <w:rPr>
          <w:color w:val="000000"/>
          <w:szCs w:val="24"/>
        </w:rPr>
        <w:t>ų</w:t>
      </w:r>
      <w:r w:rsidRPr="00DF2F53">
        <w:rPr>
          <w:color w:val="000000"/>
          <w:szCs w:val="24"/>
        </w:rPr>
        <w:t>.</w:t>
      </w:r>
      <w:r w:rsidR="00055BDC" w:rsidRPr="00DF2F53">
        <w:rPr>
          <w:color w:val="000000"/>
          <w:szCs w:val="24"/>
        </w:rPr>
        <w:t xml:space="preserve"> </w:t>
      </w:r>
    </w:p>
    <w:p w:rsidR="00295EA5" w:rsidRPr="00DF2F53" w:rsidRDefault="00295EA5" w:rsidP="00C6370C">
      <w:pPr>
        <w:pStyle w:val="ListParagraph"/>
        <w:numPr>
          <w:ilvl w:val="0"/>
          <w:numId w:val="5"/>
        </w:numPr>
        <w:jc w:val="both"/>
        <w:rPr>
          <w:color w:val="000000"/>
          <w:szCs w:val="24"/>
        </w:rPr>
      </w:pPr>
      <w:r>
        <w:rPr>
          <w:color w:val="000000"/>
          <w:szCs w:val="24"/>
        </w:rPr>
        <w:t>Derinimo pažyma, 1 lapas.</w:t>
      </w:r>
    </w:p>
    <w:p w:rsidR="00C6370C" w:rsidRPr="00DF2F53" w:rsidRDefault="00295EA5" w:rsidP="00C6370C">
      <w:pPr>
        <w:pStyle w:val="ListParagraph"/>
        <w:numPr>
          <w:ilvl w:val="0"/>
          <w:numId w:val="5"/>
        </w:numPr>
        <w:jc w:val="both"/>
        <w:rPr>
          <w:color w:val="000000"/>
          <w:szCs w:val="24"/>
        </w:rPr>
      </w:pPr>
      <w:r>
        <w:rPr>
          <w:color w:val="000000"/>
          <w:szCs w:val="24"/>
        </w:rPr>
        <w:t>Institucijų derinimo rašt</w:t>
      </w:r>
      <w:r w:rsidR="002B1028">
        <w:rPr>
          <w:color w:val="000000"/>
          <w:szCs w:val="24"/>
        </w:rPr>
        <w:t>ų kopijos</w:t>
      </w:r>
      <w:r w:rsidR="00C6370C" w:rsidRPr="00DF2F53">
        <w:rPr>
          <w:color w:val="000000"/>
          <w:szCs w:val="24"/>
        </w:rPr>
        <w:t xml:space="preserve">, </w:t>
      </w:r>
      <w:r w:rsidR="008C3C88" w:rsidRPr="0040170C">
        <w:rPr>
          <w:color w:val="000000"/>
          <w:szCs w:val="24"/>
        </w:rPr>
        <w:t>2</w:t>
      </w:r>
      <w:r w:rsidR="003C509A">
        <w:rPr>
          <w:color w:val="000000"/>
          <w:szCs w:val="24"/>
        </w:rPr>
        <w:t>7</w:t>
      </w:r>
      <w:r w:rsidR="008C3C88" w:rsidRPr="0040170C">
        <w:rPr>
          <w:color w:val="000000"/>
          <w:szCs w:val="24"/>
        </w:rPr>
        <w:t xml:space="preserve"> </w:t>
      </w:r>
      <w:r w:rsidR="00C6370C" w:rsidRPr="0040170C">
        <w:rPr>
          <w:color w:val="000000"/>
          <w:szCs w:val="24"/>
        </w:rPr>
        <w:t>lapa</w:t>
      </w:r>
      <w:r w:rsidR="003C509A">
        <w:rPr>
          <w:color w:val="000000"/>
          <w:szCs w:val="24"/>
        </w:rPr>
        <w:t>i</w:t>
      </w:r>
      <w:r w:rsidR="00C6370C" w:rsidRPr="0040170C">
        <w:rPr>
          <w:color w:val="000000"/>
          <w:szCs w:val="24"/>
        </w:rPr>
        <w:t>.</w:t>
      </w:r>
    </w:p>
    <w:p w:rsidR="00182454" w:rsidRDefault="00182454" w:rsidP="00182454">
      <w:pPr>
        <w:widowControl w:val="0"/>
        <w:suppressLineNumbers/>
        <w:tabs>
          <w:tab w:val="left" w:pos="851"/>
        </w:tabs>
        <w:suppressAutoHyphens/>
        <w:jc w:val="both"/>
        <w:rPr>
          <w:rFonts w:eastAsia="Andale Sans UI"/>
          <w:szCs w:val="24"/>
          <w:lang w:bidi="en-US"/>
        </w:rPr>
      </w:pPr>
    </w:p>
    <w:p w:rsidR="00724841" w:rsidRPr="00182454" w:rsidRDefault="00724841" w:rsidP="00182454">
      <w:pPr>
        <w:widowControl w:val="0"/>
        <w:suppressLineNumbers/>
        <w:tabs>
          <w:tab w:val="left" w:pos="851"/>
        </w:tabs>
        <w:suppressAutoHyphens/>
        <w:jc w:val="both"/>
        <w:rPr>
          <w:rFonts w:eastAsia="Andale Sans UI"/>
          <w:szCs w:val="24"/>
          <w:lang w:bidi="en-US"/>
        </w:rPr>
      </w:pPr>
    </w:p>
    <w:p w:rsidR="00111D8C" w:rsidRDefault="00111D8C">
      <w:pPr>
        <w:widowControl w:val="0"/>
        <w:suppressLineNumbers/>
        <w:suppressAutoHyphens/>
        <w:rPr>
          <w:rFonts w:eastAsia="Andale Sans UI"/>
          <w:szCs w:val="24"/>
          <w:lang w:bidi="en-US"/>
        </w:rPr>
      </w:pPr>
      <w:r>
        <w:rPr>
          <w:rFonts w:eastAsia="Andale Sans UI"/>
          <w:szCs w:val="24"/>
          <w:lang w:bidi="en-US"/>
        </w:rPr>
        <w:t xml:space="preserve">Aplinkos </w:t>
      </w:r>
      <w:r w:rsidR="00551F03">
        <w:rPr>
          <w:rFonts w:eastAsia="Andale Sans UI"/>
          <w:szCs w:val="24"/>
          <w:lang w:bidi="en-US"/>
        </w:rPr>
        <w:t>mini</w:t>
      </w:r>
      <w:r>
        <w:rPr>
          <w:rFonts w:eastAsia="Andale Sans UI"/>
          <w:szCs w:val="24"/>
          <w:lang w:bidi="en-US"/>
        </w:rPr>
        <w:t xml:space="preserve">stras                                                                                                  </w:t>
      </w:r>
      <w:r w:rsidR="00551F03">
        <w:rPr>
          <w:rFonts w:eastAsia="Andale Sans UI"/>
          <w:szCs w:val="24"/>
          <w:lang w:bidi="en-US"/>
        </w:rPr>
        <w:t xml:space="preserve">Simonas Gentvilas </w:t>
      </w:r>
      <w:r>
        <w:rPr>
          <w:rFonts w:eastAsia="Andale Sans UI"/>
          <w:szCs w:val="24"/>
          <w:lang w:bidi="en-US"/>
        </w:rPr>
        <w:t xml:space="preserve"> </w:t>
      </w:r>
    </w:p>
    <w:p w:rsidR="00F06E50" w:rsidRDefault="00F06E50">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724841" w:rsidRDefault="00724841">
      <w:pPr>
        <w:widowControl w:val="0"/>
        <w:suppressLineNumbers/>
        <w:suppressAutoHyphens/>
        <w:rPr>
          <w:rFonts w:eastAsia="Andale Sans UI"/>
          <w:szCs w:val="24"/>
          <w:lang w:bidi="en-US"/>
        </w:rPr>
      </w:pPr>
    </w:p>
    <w:p w:rsidR="00724841" w:rsidRDefault="00724841">
      <w:pPr>
        <w:widowControl w:val="0"/>
        <w:suppressLineNumbers/>
        <w:suppressAutoHyphens/>
        <w:rPr>
          <w:rFonts w:eastAsia="Andale Sans UI"/>
          <w:szCs w:val="24"/>
          <w:lang w:bidi="en-US"/>
        </w:rPr>
      </w:pPr>
    </w:p>
    <w:p w:rsidR="00724841" w:rsidRDefault="00724841">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551F03" w:rsidRDefault="00551F03">
      <w:pPr>
        <w:widowControl w:val="0"/>
        <w:suppressLineNumbers/>
        <w:suppressAutoHyphens/>
        <w:rPr>
          <w:rFonts w:eastAsia="Andale Sans UI"/>
          <w:szCs w:val="24"/>
          <w:lang w:bidi="en-US"/>
        </w:rPr>
      </w:pPr>
    </w:p>
    <w:p w:rsidR="00F327B3" w:rsidRDefault="00F327B3">
      <w:pPr>
        <w:widowControl w:val="0"/>
        <w:suppressLineNumbers/>
        <w:suppressAutoHyphens/>
        <w:rPr>
          <w:rFonts w:eastAsia="Andale Sans UI"/>
          <w:szCs w:val="24"/>
          <w:lang w:bidi="en-US"/>
        </w:rPr>
      </w:pPr>
    </w:p>
    <w:p w:rsidR="00F327B3" w:rsidRDefault="00F327B3">
      <w:pPr>
        <w:widowControl w:val="0"/>
        <w:suppressLineNumbers/>
        <w:suppressAutoHyphens/>
        <w:rPr>
          <w:rFonts w:eastAsia="Andale Sans UI"/>
          <w:szCs w:val="24"/>
          <w:lang w:bidi="en-US"/>
        </w:rPr>
      </w:pPr>
    </w:p>
    <w:p w:rsidR="00055BDC" w:rsidRDefault="004B38CF">
      <w:pPr>
        <w:widowControl w:val="0"/>
        <w:suppressLineNumbers/>
        <w:suppressAutoHyphens/>
        <w:rPr>
          <w:rFonts w:eastAsia="Andale Sans UI"/>
          <w:szCs w:val="24"/>
          <w:lang w:bidi="en-US"/>
        </w:rPr>
      </w:pPr>
      <w:r>
        <w:rPr>
          <w:rFonts w:eastAsia="Andale Sans UI"/>
          <w:szCs w:val="24"/>
          <w:lang w:bidi="en-US"/>
        </w:rPr>
        <w:t>Lin</w:t>
      </w:r>
      <w:r w:rsidR="00161CCF">
        <w:rPr>
          <w:rFonts w:eastAsia="Andale Sans UI"/>
          <w:szCs w:val="24"/>
          <w:lang w:bidi="en-US"/>
        </w:rPr>
        <w:t xml:space="preserve">a </w:t>
      </w:r>
      <w:proofErr w:type="spellStart"/>
      <w:r w:rsidR="00161CCF">
        <w:rPr>
          <w:rFonts w:eastAsia="Andale Sans UI"/>
          <w:szCs w:val="24"/>
          <w:lang w:bidi="en-US"/>
        </w:rPr>
        <w:t>Čaplikaitė-Denisovienė</w:t>
      </w:r>
      <w:r w:rsidR="00567629">
        <w:rPr>
          <w:rFonts w:eastAsia="Andale Sans UI"/>
          <w:szCs w:val="24"/>
          <w:lang w:bidi="en-US"/>
        </w:rPr>
        <w:t>,</w:t>
      </w:r>
      <w:proofErr w:type="spellEnd"/>
      <w:r w:rsidR="00567629">
        <w:rPr>
          <w:rFonts w:eastAsia="Andale Sans UI"/>
          <w:szCs w:val="24"/>
          <w:lang w:bidi="en-US"/>
        </w:rPr>
        <w:t xml:space="preserve"> tel. </w:t>
      </w:r>
      <w:r w:rsidR="005309A5">
        <w:rPr>
          <w:rFonts w:eastAsia="Andale Sans UI"/>
          <w:szCs w:val="24"/>
          <w:lang w:bidi="en-US"/>
        </w:rPr>
        <w:t>8</w:t>
      </w:r>
      <w:r w:rsidR="00E2074F">
        <w:rPr>
          <w:rFonts w:eastAsia="Andale Sans UI"/>
          <w:szCs w:val="24"/>
          <w:lang w:bidi="en-US"/>
        </w:rPr>
        <w:t xml:space="preserve"> </w:t>
      </w:r>
      <w:r w:rsidR="00161CCF">
        <w:rPr>
          <w:rFonts w:eastAsia="Andale Sans UI"/>
          <w:szCs w:val="24"/>
          <w:lang w:bidi="en-US"/>
        </w:rPr>
        <w:t>615</w:t>
      </w:r>
      <w:r w:rsidR="00E2074F">
        <w:rPr>
          <w:rFonts w:eastAsia="Andale Sans UI"/>
          <w:szCs w:val="24"/>
          <w:lang w:bidi="en-US"/>
        </w:rPr>
        <w:t xml:space="preserve"> </w:t>
      </w:r>
      <w:r w:rsidR="00161CCF">
        <w:rPr>
          <w:rFonts w:eastAsia="Andale Sans UI"/>
          <w:szCs w:val="24"/>
          <w:lang w:bidi="en-US"/>
        </w:rPr>
        <w:t>54788</w:t>
      </w:r>
      <w:r w:rsidR="00567629">
        <w:rPr>
          <w:rFonts w:eastAsia="Andale Sans UI"/>
          <w:szCs w:val="24"/>
          <w:lang w:bidi="en-US"/>
        </w:rPr>
        <w:t xml:space="preserve">, el. p. </w:t>
      </w:r>
      <w:hyperlink r:id="rId17" w:history="1">
        <w:r w:rsidR="00055BDC" w:rsidRPr="007A70D8">
          <w:rPr>
            <w:rStyle w:val="Hyperlink"/>
            <w:rFonts w:eastAsia="Andale Sans UI"/>
            <w:szCs w:val="24"/>
            <w:lang w:bidi="en-US"/>
          </w:rPr>
          <w:t>lina.caplikaite@am.lt</w:t>
        </w:r>
      </w:hyperlink>
    </w:p>
    <w:sectPr w:rsidR="00055BDC" w:rsidSect="008C7B7B">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5" w:h="16837"/>
      <w:pgMar w:top="1134" w:right="567" w:bottom="1134" w:left="1701" w:header="567" w:footer="232"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FA3" w:rsidRDefault="00135FA3">
      <w:pPr>
        <w:widowControl w:val="0"/>
        <w:suppressAutoHyphens/>
        <w:rPr>
          <w:rFonts w:eastAsia="Andale Sans UI" w:cs="Tahoma"/>
          <w:szCs w:val="24"/>
          <w:lang w:bidi="en-US"/>
        </w:rPr>
      </w:pPr>
      <w:r>
        <w:rPr>
          <w:rFonts w:eastAsia="Andale Sans UI" w:cs="Tahoma"/>
          <w:szCs w:val="24"/>
          <w:lang w:bidi="en-US"/>
        </w:rPr>
        <w:separator/>
      </w:r>
    </w:p>
  </w:endnote>
  <w:endnote w:type="continuationSeparator" w:id="0">
    <w:p w:rsidR="00135FA3" w:rsidRDefault="00135FA3">
      <w:pPr>
        <w:widowControl w:val="0"/>
        <w:suppressAutoHyphens/>
        <w:rPr>
          <w:rFonts w:eastAsia="Andale Sans UI" w:cs="Tahoma"/>
          <w:szCs w:val="24"/>
          <w:lang w:bidi="en-US"/>
        </w:rPr>
      </w:pPr>
      <w:r>
        <w:rPr>
          <w:rFonts w:eastAsia="Andale Sans UI" w:cs="Tahoma"/>
          <w:szCs w:val="24"/>
          <w:lang w:bidi="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23" w:rsidRDefault="00346F23">
    <w:pPr>
      <w:widowControl w:val="0"/>
      <w:suppressLineNumbers/>
      <w:tabs>
        <w:tab w:val="center" w:pos="4800"/>
        <w:tab w:val="right" w:pos="9601"/>
      </w:tabs>
      <w:suppressAutoHyphens/>
      <w:rPr>
        <w:rFonts w:eastAsia="Andale Sans UI" w:cs="Tahoma"/>
        <w:szCs w:val="24"/>
        <w:lang w:bidi="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23" w:rsidRDefault="00346F23">
    <w:pPr>
      <w:widowControl w:val="0"/>
      <w:suppressLineNumbers/>
      <w:tabs>
        <w:tab w:val="center" w:pos="4800"/>
        <w:tab w:val="right" w:pos="9601"/>
      </w:tabs>
      <w:suppressAutoHyphens/>
      <w:rPr>
        <w:rFonts w:eastAsia="Andale Sans UI" w:cs="Tahoma"/>
        <w:szCs w:val="24"/>
        <w:lang w:bidi="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23" w:rsidRDefault="00567629">
    <w:pPr>
      <w:widowControl w:val="0"/>
      <w:suppressLineNumbers/>
      <w:tabs>
        <w:tab w:val="center" w:pos="4800"/>
        <w:tab w:val="right" w:pos="9601"/>
      </w:tabs>
      <w:suppressAutoHyphens/>
      <w:jc w:val="right"/>
      <w:rPr>
        <w:rFonts w:eastAsia="Andale Sans UI" w:cs="Tahoma"/>
        <w:szCs w:val="24"/>
        <w:lang w:bidi="en-US"/>
      </w:rPr>
    </w:pPr>
    <w:r>
      <w:rPr>
        <w:rFonts w:eastAsia="Andale Sans UI" w:cs="Tahoma"/>
        <w:noProof/>
        <w:szCs w:val="24"/>
        <w:lang w:val="en-GB" w:eastAsia="en-GB"/>
      </w:rPr>
      <w:drawing>
        <wp:inline distT="0" distB="0" distL="0" distR="0" wp14:anchorId="362517C3" wp14:editId="480D69EF">
          <wp:extent cx="467995" cy="775335"/>
          <wp:effectExtent l="19050" t="0" r="8255" b="0"/>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srcRect/>
                  <a:stretch>
                    <a:fillRect/>
                  </a:stretch>
                </pic:blipFill>
                <pic:spPr bwMode="auto">
                  <a:xfrm>
                    <a:off x="0" y="0"/>
                    <a:ext cx="467995" cy="7753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FA3" w:rsidRDefault="00135FA3">
      <w:pPr>
        <w:widowControl w:val="0"/>
        <w:suppressAutoHyphens/>
        <w:rPr>
          <w:rFonts w:eastAsia="Andale Sans UI" w:cs="Tahoma"/>
          <w:szCs w:val="24"/>
          <w:lang w:bidi="en-US"/>
        </w:rPr>
      </w:pPr>
      <w:r>
        <w:rPr>
          <w:rFonts w:eastAsia="Andale Sans UI" w:cs="Tahoma"/>
          <w:szCs w:val="24"/>
          <w:lang w:bidi="en-US"/>
        </w:rPr>
        <w:separator/>
      </w:r>
    </w:p>
  </w:footnote>
  <w:footnote w:type="continuationSeparator" w:id="0">
    <w:p w:rsidR="00135FA3" w:rsidRDefault="00135FA3">
      <w:pPr>
        <w:widowControl w:val="0"/>
        <w:suppressAutoHyphens/>
        <w:rPr>
          <w:rFonts w:eastAsia="Andale Sans UI" w:cs="Tahoma"/>
          <w:szCs w:val="24"/>
          <w:lang w:bidi="en-US"/>
        </w:rPr>
      </w:pPr>
      <w:r>
        <w:rPr>
          <w:rFonts w:eastAsia="Andale Sans UI" w:cs="Tahoma"/>
          <w:szCs w:val="24"/>
          <w:lang w:bidi="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23" w:rsidRDefault="00BC3FE7">
    <w:pPr>
      <w:framePr w:wrap="auto" w:vAnchor="text" w:hAnchor="margin" w:xAlign="center" w:y="1"/>
      <w:widowControl w:val="0"/>
      <w:suppressLineNumbers/>
      <w:tabs>
        <w:tab w:val="center" w:pos="4800"/>
        <w:tab w:val="right" w:pos="9601"/>
      </w:tabs>
      <w:suppressAutoHyphens/>
      <w:rPr>
        <w:rFonts w:eastAsia="Andale Sans UI" w:cs="Tahoma"/>
        <w:szCs w:val="24"/>
        <w:lang w:bidi="en-US"/>
      </w:rPr>
    </w:pPr>
    <w:r>
      <w:rPr>
        <w:rFonts w:eastAsia="Andale Sans UI" w:cs="Tahoma"/>
        <w:szCs w:val="24"/>
        <w:lang w:bidi="en-US"/>
      </w:rPr>
      <w:fldChar w:fldCharType="begin"/>
    </w:r>
    <w:r w:rsidR="00567629">
      <w:rPr>
        <w:rFonts w:eastAsia="Andale Sans UI" w:cs="Tahoma"/>
        <w:szCs w:val="24"/>
        <w:lang w:bidi="en-US"/>
      </w:rPr>
      <w:instrText xml:space="preserve">PAGE  </w:instrText>
    </w:r>
    <w:r>
      <w:rPr>
        <w:rFonts w:eastAsia="Andale Sans UI" w:cs="Tahoma"/>
        <w:szCs w:val="24"/>
        <w:lang w:bidi="en-US"/>
      </w:rPr>
      <w:fldChar w:fldCharType="end"/>
    </w:r>
  </w:p>
  <w:p w:rsidR="00346F23" w:rsidRDefault="00346F23">
    <w:pPr>
      <w:widowControl w:val="0"/>
      <w:suppressLineNumbers/>
      <w:tabs>
        <w:tab w:val="center" w:pos="4800"/>
        <w:tab w:val="right" w:pos="9601"/>
      </w:tabs>
      <w:suppressAutoHyphens/>
      <w:rPr>
        <w:rFonts w:eastAsia="Andale Sans UI" w:cs="Tahoma"/>
        <w:szCs w:val="24"/>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23" w:rsidRDefault="00BC3FE7">
    <w:pPr>
      <w:framePr w:wrap="auto" w:vAnchor="text" w:hAnchor="margin" w:xAlign="center" w:y="1"/>
      <w:widowControl w:val="0"/>
      <w:suppressLineNumbers/>
      <w:tabs>
        <w:tab w:val="center" w:pos="4800"/>
        <w:tab w:val="right" w:pos="9601"/>
      </w:tabs>
      <w:suppressAutoHyphens/>
      <w:rPr>
        <w:rFonts w:eastAsia="Andale Sans UI" w:cs="Tahoma"/>
        <w:szCs w:val="24"/>
        <w:lang w:bidi="en-US"/>
      </w:rPr>
    </w:pPr>
    <w:r>
      <w:rPr>
        <w:rFonts w:eastAsia="Andale Sans UI" w:cs="Tahoma"/>
        <w:szCs w:val="24"/>
        <w:lang w:bidi="en-US"/>
      </w:rPr>
      <w:fldChar w:fldCharType="begin"/>
    </w:r>
    <w:r w:rsidR="00567629">
      <w:rPr>
        <w:rFonts w:eastAsia="Andale Sans UI" w:cs="Tahoma"/>
        <w:szCs w:val="24"/>
        <w:lang w:bidi="en-US"/>
      </w:rPr>
      <w:instrText xml:space="preserve">PAGE  </w:instrText>
    </w:r>
    <w:r>
      <w:rPr>
        <w:rFonts w:eastAsia="Andale Sans UI" w:cs="Tahoma"/>
        <w:szCs w:val="24"/>
        <w:lang w:bidi="en-US"/>
      </w:rPr>
      <w:fldChar w:fldCharType="separate"/>
    </w:r>
    <w:r w:rsidR="003C509A">
      <w:rPr>
        <w:rFonts w:eastAsia="Andale Sans UI" w:cs="Tahoma"/>
        <w:noProof/>
        <w:szCs w:val="24"/>
        <w:lang w:bidi="en-US"/>
      </w:rPr>
      <w:t>2</w:t>
    </w:r>
    <w:r>
      <w:rPr>
        <w:rFonts w:eastAsia="Andale Sans UI" w:cs="Tahoma"/>
        <w:szCs w:val="24"/>
        <w:lang w:bidi="en-US"/>
      </w:rPr>
      <w:fldChar w:fldCharType="end"/>
    </w:r>
  </w:p>
  <w:p w:rsidR="00346F23" w:rsidRDefault="00346F23">
    <w:pPr>
      <w:widowControl w:val="0"/>
      <w:suppressLineNumbers/>
      <w:tabs>
        <w:tab w:val="center" w:pos="4800"/>
        <w:tab w:val="right" w:pos="9601"/>
      </w:tabs>
      <w:suppressAutoHyphens/>
      <w:rPr>
        <w:rFonts w:eastAsia="Andale Sans UI" w:cs="Tahoma"/>
        <w:szCs w:val="24"/>
        <w:lang w:bidi="en-US"/>
      </w:rPr>
    </w:pPr>
  </w:p>
  <w:p w:rsidR="00346F23" w:rsidRDefault="00346F23">
    <w:pPr>
      <w:widowControl w:val="0"/>
      <w:suppressLineNumbers/>
      <w:tabs>
        <w:tab w:val="center" w:pos="4800"/>
        <w:tab w:val="right" w:pos="9601"/>
      </w:tabs>
      <w:suppressAutoHyphens/>
      <w:rPr>
        <w:rFonts w:eastAsia="Andale Sans UI" w:cs="Tahoma"/>
        <w:szCs w:val="24"/>
        <w:lang w:bidi="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23" w:rsidRDefault="00346F23">
    <w:pPr>
      <w:widowControl w:val="0"/>
      <w:suppressLineNumbers/>
      <w:tabs>
        <w:tab w:val="center" w:pos="4800"/>
        <w:tab w:val="right" w:pos="9601"/>
      </w:tabs>
      <w:suppressAutoHyphens/>
      <w:rPr>
        <w:rFonts w:eastAsia="Andale Sans UI" w:cs="Tahoma"/>
        <w:szCs w:val="24"/>
        <w:lang w:bidi="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C068A"/>
    <w:multiLevelType w:val="hybridMultilevel"/>
    <w:tmpl w:val="D9AEA55C"/>
    <w:lvl w:ilvl="0" w:tplc="7AF47B68">
      <w:start w:val="1"/>
      <w:numFmt w:val="decimal"/>
      <w:suff w:val="space"/>
      <w:lvlText w:val="%1."/>
      <w:lvlJc w:val="left"/>
      <w:pPr>
        <w:ind w:left="0" w:firstLine="984"/>
      </w:pPr>
      <w:rPr>
        <w:rFonts w:hint="default"/>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1">
    <w:nsid w:val="21834824"/>
    <w:multiLevelType w:val="hybridMultilevel"/>
    <w:tmpl w:val="C76C2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2D72F6"/>
    <w:multiLevelType w:val="hybridMultilevel"/>
    <w:tmpl w:val="6DD054A0"/>
    <w:lvl w:ilvl="0" w:tplc="B32E66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A000C5C"/>
    <w:multiLevelType w:val="hybridMultilevel"/>
    <w:tmpl w:val="42CCDA26"/>
    <w:lvl w:ilvl="0" w:tplc="FBCA03C0">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nsid w:val="6C060088"/>
    <w:multiLevelType w:val="hybridMultilevel"/>
    <w:tmpl w:val="BB94B964"/>
    <w:lvl w:ilvl="0" w:tplc="B3FC755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6977"/>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54"/>
    <w:rsid w:val="00004FAC"/>
    <w:rsid w:val="0002172B"/>
    <w:rsid w:val="00027982"/>
    <w:rsid w:val="00031B85"/>
    <w:rsid w:val="00045EA7"/>
    <w:rsid w:val="00046B7D"/>
    <w:rsid w:val="00055BDC"/>
    <w:rsid w:val="00070AAF"/>
    <w:rsid w:val="00073974"/>
    <w:rsid w:val="000A07AC"/>
    <w:rsid w:val="000A3C81"/>
    <w:rsid w:val="000A6DCE"/>
    <w:rsid w:val="000E209F"/>
    <w:rsid w:val="00104BF1"/>
    <w:rsid w:val="00111569"/>
    <w:rsid w:val="00111D8C"/>
    <w:rsid w:val="001131A8"/>
    <w:rsid w:val="001305FF"/>
    <w:rsid w:val="00135FA3"/>
    <w:rsid w:val="00157254"/>
    <w:rsid w:val="00161CCF"/>
    <w:rsid w:val="00164669"/>
    <w:rsid w:val="001725DA"/>
    <w:rsid w:val="00176B97"/>
    <w:rsid w:val="00182454"/>
    <w:rsid w:val="001902CE"/>
    <w:rsid w:val="00190A7A"/>
    <w:rsid w:val="001D0231"/>
    <w:rsid w:val="001D6A6D"/>
    <w:rsid w:val="001D768F"/>
    <w:rsid w:val="001E329D"/>
    <w:rsid w:val="002077AF"/>
    <w:rsid w:val="002150E5"/>
    <w:rsid w:val="002240E8"/>
    <w:rsid w:val="002274D3"/>
    <w:rsid w:val="002314F7"/>
    <w:rsid w:val="002320D2"/>
    <w:rsid w:val="002330A9"/>
    <w:rsid w:val="00233C4C"/>
    <w:rsid w:val="002357FE"/>
    <w:rsid w:val="00253D7F"/>
    <w:rsid w:val="0026067F"/>
    <w:rsid w:val="00295EA5"/>
    <w:rsid w:val="002A36B2"/>
    <w:rsid w:val="002B1028"/>
    <w:rsid w:val="002C0702"/>
    <w:rsid w:val="002C12A3"/>
    <w:rsid w:val="002D2071"/>
    <w:rsid w:val="002E32D8"/>
    <w:rsid w:val="002F7DF4"/>
    <w:rsid w:val="00306656"/>
    <w:rsid w:val="00306D66"/>
    <w:rsid w:val="00310E0C"/>
    <w:rsid w:val="00316F80"/>
    <w:rsid w:val="00317246"/>
    <w:rsid w:val="00317B39"/>
    <w:rsid w:val="003267D5"/>
    <w:rsid w:val="003276D2"/>
    <w:rsid w:val="0033083F"/>
    <w:rsid w:val="0033615E"/>
    <w:rsid w:val="00344E81"/>
    <w:rsid w:val="00346F23"/>
    <w:rsid w:val="00362945"/>
    <w:rsid w:val="00371D3D"/>
    <w:rsid w:val="00373654"/>
    <w:rsid w:val="0037471F"/>
    <w:rsid w:val="003B1CBF"/>
    <w:rsid w:val="003C1B96"/>
    <w:rsid w:val="003C509A"/>
    <w:rsid w:val="003D03FC"/>
    <w:rsid w:val="003D3A39"/>
    <w:rsid w:val="003E238A"/>
    <w:rsid w:val="003F01FB"/>
    <w:rsid w:val="0040170C"/>
    <w:rsid w:val="00413B7F"/>
    <w:rsid w:val="00416442"/>
    <w:rsid w:val="00430E50"/>
    <w:rsid w:val="00460509"/>
    <w:rsid w:val="004607F3"/>
    <w:rsid w:val="00465815"/>
    <w:rsid w:val="00482C1B"/>
    <w:rsid w:val="0048533B"/>
    <w:rsid w:val="0048707A"/>
    <w:rsid w:val="004A707A"/>
    <w:rsid w:val="004B38CF"/>
    <w:rsid w:val="004E11C5"/>
    <w:rsid w:val="004E712F"/>
    <w:rsid w:val="00503362"/>
    <w:rsid w:val="00510215"/>
    <w:rsid w:val="005124CD"/>
    <w:rsid w:val="00527FF6"/>
    <w:rsid w:val="005309A5"/>
    <w:rsid w:val="00532687"/>
    <w:rsid w:val="00532DAE"/>
    <w:rsid w:val="00540416"/>
    <w:rsid w:val="00546A17"/>
    <w:rsid w:val="00551F03"/>
    <w:rsid w:val="005536B3"/>
    <w:rsid w:val="005608B7"/>
    <w:rsid w:val="00566979"/>
    <w:rsid w:val="00566B0D"/>
    <w:rsid w:val="00567629"/>
    <w:rsid w:val="00574630"/>
    <w:rsid w:val="00577818"/>
    <w:rsid w:val="005917F9"/>
    <w:rsid w:val="00596F13"/>
    <w:rsid w:val="005A27AF"/>
    <w:rsid w:val="005A2B6B"/>
    <w:rsid w:val="005A37AB"/>
    <w:rsid w:val="005A5C90"/>
    <w:rsid w:val="005B2AE4"/>
    <w:rsid w:val="005C2456"/>
    <w:rsid w:val="005E2858"/>
    <w:rsid w:val="005E49E4"/>
    <w:rsid w:val="00607871"/>
    <w:rsid w:val="00641B76"/>
    <w:rsid w:val="00642DDB"/>
    <w:rsid w:val="0064733C"/>
    <w:rsid w:val="0065356A"/>
    <w:rsid w:val="00674554"/>
    <w:rsid w:val="00684713"/>
    <w:rsid w:val="0069193C"/>
    <w:rsid w:val="00695179"/>
    <w:rsid w:val="0069762B"/>
    <w:rsid w:val="006976F4"/>
    <w:rsid w:val="006A11D3"/>
    <w:rsid w:val="006A46F6"/>
    <w:rsid w:val="006B40B1"/>
    <w:rsid w:val="006C1798"/>
    <w:rsid w:val="006D2DB2"/>
    <w:rsid w:val="006D60EC"/>
    <w:rsid w:val="006D773E"/>
    <w:rsid w:val="006F647B"/>
    <w:rsid w:val="006F66CE"/>
    <w:rsid w:val="00724841"/>
    <w:rsid w:val="00752598"/>
    <w:rsid w:val="007652F9"/>
    <w:rsid w:val="00776360"/>
    <w:rsid w:val="007B7D8C"/>
    <w:rsid w:val="007C6B28"/>
    <w:rsid w:val="007D429D"/>
    <w:rsid w:val="007F032D"/>
    <w:rsid w:val="007F325A"/>
    <w:rsid w:val="00806D23"/>
    <w:rsid w:val="0082021A"/>
    <w:rsid w:val="00825A8A"/>
    <w:rsid w:val="008456DE"/>
    <w:rsid w:val="00860514"/>
    <w:rsid w:val="00860EF3"/>
    <w:rsid w:val="0089107F"/>
    <w:rsid w:val="00893D0A"/>
    <w:rsid w:val="008B544E"/>
    <w:rsid w:val="008C3C88"/>
    <w:rsid w:val="008C52DD"/>
    <w:rsid w:val="008C6E84"/>
    <w:rsid w:val="008C7B7B"/>
    <w:rsid w:val="008E20E9"/>
    <w:rsid w:val="008E4949"/>
    <w:rsid w:val="008E53BC"/>
    <w:rsid w:val="008E5EEE"/>
    <w:rsid w:val="008F4589"/>
    <w:rsid w:val="009003AC"/>
    <w:rsid w:val="00902A48"/>
    <w:rsid w:val="009072D6"/>
    <w:rsid w:val="00912E3F"/>
    <w:rsid w:val="009132AB"/>
    <w:rsid w:val="00916521"/>
    <w:rsid w:val="009314E7"/>
    <w:rsid w:val="00937875"/>
    <w:rsid w:val="00953E4F"/>
    <w:rsid w:val="00965052"/>
    <w:rsid w:val="009658C5"/>
    <w:rsid w:val="00967F44"/>
    <w:rsid w:val="00971D52"/>
    <w:rsid w:val="0098187D"/>
    <w:rsid w:val="0098209D"/>
    <w:rsid w:val="00984433"/>
    <w:rsid w:val="00985906"/>
    <w:rsid w:val="009911A5"/>
    <w:rsid w:val="009A01FD"/>
    <w:rsid w:val="009E4E1E"/>
    <w:rsid w:val="00A12CE4"/>
    <w:rsid w:val="00A2102D"/>
    <w:rsid w:val="00A31384"/>
    <w:rsid w:val="00A32904"/>
    <w:rsid w:val="00A52FCA"/>
    <w:rsid w:val="00A6010B"/>
    <w:rsid w:val="00A74BBE"/>
    <w:rsid w:val="00A81D63"/>
    <w:rsid w:val="00A84559"/>
    <w:rsid w:val="00A8483D"/>
    <w:rsid w:val="00A8638D"/>
    <w:rsid w:val="00A87707"/>
    <w:rsid w:val="00A976CF"/>
    <w:rsid w:val="00AA2E01"/>
    <w:rsid w:val="00AA4127"/>
    <w:rsid w:val="00AB2AE4"/>
    <w:rsid w:val="00AB6A34"/>
    <w:rsid w:val="00AE0DBE"/>
    <w:rsid w:val="00AE3B02"/>
    <w:rsid w:val="00AE47C3"/>
    <w:rsid w:val="00AF0966"/>
    <w:rsid w:val="00AF3767"/>
    <w:rsid w:val="00B01D9F"/>
    <w:rsid w:val="00B05F63"/>
    <w:rsid w:val="00B10551"/>
    <w:rsid w:val="00B10929"/>
    <w:rsid w:val="00B12B41"/>
    <w:rsid w:val="00B30DB2"/>
    <w:rsid w:val="00B31710"/>
    <w:rsid w:val="00B33478"/>
    <w:rsid w:val="00B41D67"/>
    <w:rsid w:val="00B4402C"/>
    <w:rsid w:val="00B57797"/>
    <w:rsid w:val="00B70D0B"/>
    <w:rsid w:val="00B80849"/>
    <w:rsid w:val="00B924C5"/>
    <w:rsid w:val="00B96018"/>
    <w:rsid w:val="00BA1A4C"/>
    <w:rsid w:val="00BA1B52"/>
    <w:rsid w:val="00BB0DA0"/>
    <w:rsid w:val="00BB4013"/>
    <w:rsid w:val="00BC3FE7"/>
    <w:rsid w:val="00BD0525"/>
    <w:rsid w:val="00BD697A"/>
    <w:rsid w:val="00BE34F2"/>
    <w:rsid w:val="00BF041C"/>
    <w:rsid w:val="00BF0893"/>
    <w:rsid w:val="00C004A1"/>
    <w:rsid w:val="00C0508E"/>
    <w:rsid w:val="00C10A10"/>
    <w:rsid w:val="00C14980"/>
    <w:rsid w:val="00C1710F"/>
    <w:rsid w:val="00C209FD"/>
    <w:rsid w:val="00C2787B"/>
    <w:rsid w:val="00C30E46"/>
    <w:rsid w:val="00C35CEE"/>
    <w:rsid w:val="00C45038"/>
    <w:rsid w:val="00C61CEF"/>
    <w:rsid w:val="00C6370C"/>
    <w:rsid w:val="00C653A2"/>
    <w:rsid w:val="00C7529D"/>
    <w:rsid w:val="00C825C4"/>
    <w:rsid w:val="00C8666E"/>
    <w:rsid w:val="00C92082"/>
    <w:rsid w:val="00CC2927"/>
    <w:rsid w:val="00D02156"/>
    <w:rsid w:val="00D13209"/>
    <w:rsid w:val="00D1615D"/>
    <w:rsid w:val="00D41889"/>
    <w:rsid w:val="00D60279"/>
    <w:rsid w:val="00D6293F"/>
    <w:rsid w:val="00D83C1C"/>
    <w:rsid w:val="00D8755E"/>
    <w:rsid w:val="00D94282"/>
    <w:rsid w:val="00D9554D"/>
    <w:rsid w:val="00DA1550"/>
    <w:rsid w:val="00DB1122"/>
    <w:rsid w:val="00DB48E2"/>
    <w:rsid w:val="00DC09CD"/>
    <w:rsid w:val="00DD4F31"/>
    <w:rsid w:val="00DF2F53"/>
    <w:rsid w:val="00E02130"/>
    <w:rsid w:val="00E1061C"/>
    <w:rsid w:val="00E2074F"/>
    <w:rsid w:val="00E20BFA"/>
    <w:rsid w:val="00E244D9"/>
    <w:rsid w:val="00E25137"/>
    <w:rsid w:val="00E26907"/>
    <w:rsid w:val="00E40B8A"/>
    <w:rsid w:val="00E43F8C"/>
    <w:rsid w:val="00E5785B"/>
    <w:rsid w:val="00E66C3D"/>
    <w:rsid w:val="00E7411C"/>
    <w:rsid w:val="00E94B72"/>
    <w:rsid w:val="00EA7771"/>
    <w:rsid w:val="00EB06CF"/>
    <w:rsid w:val="00ED69D1"/>
    <w:rsid w:val="00EE5491"/>
    <w:rsid w:val="00EE6C56"/>
    <w:rsid w:val="00F00FC1"/>
    <w:rsid w:val="00F06E50"/>
    <w:rsid w:val="00F13C41"/>
    <w:rsid w:val="00F22841"/>
    <w:rsid w:val="00F2417A"/>
    <w:rsid w:val="00F30973"/>
    <w:rsid w:val="00F327B3"/>
    <w:rsid w:val="00F61551"/>
    <w:rsid w:val="00F7020D"/>
    <w:rsid w:val="00F720A0"/>
    <w:rsid w:val="00FA2D01"/>
    <w:rsid w:val="00FA59EF"/>
    <w:rsid w:val="00FB67EE"/>
    <w:rsid w:val="00FB6B95"/>
    <w:rsid w:val="00FE28CF"/>
    <w:rsid w:val="00FE5E0E"/>
    <w:rsid w:val="00FF6394"/>
    <w:rsid w:val="59B20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0DBE"/>
    <w:rPr>
      <w:rFonts w:ascii="Tahoma" w:hAnsi="Tahoma" w:cs="Tahoma"/>
      <w:sz w:val="16"/>
      <w:szCs w:val="16"/>
    </w:rPr>
  </w:style>
  <w:style w:type="character" w:customStyle="1" w:styleId="BalloonTextChar">
    <w:name w:val="Balloon Text Char"/>
    <w:basedOn w:val="DefaultParagraphFont"/>
    <w:link w:val="BalloonText"/>
    <w:rsid w:val="00AE0DBE"/>
    <w:rPr>
      <w:rFonts w:ascii="Tahoma" w:hAnsi="Tahoma" w:cs="Tahoma"/>
      <w:sz w:val="16"/>
      <w:szCs w:val="16"/>
    </w:rPr>
  </w:style>
  <w:style w:type="paragraph" w:styleId="ListParagraph">
    <w:name w:val="List Paragraph"/>
    <w:basedOn w:val="Normal"/>
    <w:rsid w:val="00F00FC1"/>
    <w:pPr>
      <w:ind w:left="720"/>
      <w:contextualSpacing/>
    </w:pPr>
  </w:style>
  <w:style w:type="character" w:styleId="CommentReference">
    <w:name w:val="annotation reference"/>
    <w:basedOn w:val="DefaultParagraphFont"/>
    <w:rsid w:val="0082021A"/>
    <w:rPr>
      <w:sz w:val="16"/>
      <w:szCs w:val="16"/>
    </w:rPr>
  </w:style>
  <w:style w:type="paragraph" w:styleId="CommentText">
    <w:name w:val="annotation text"/>
    <w:basedOn w:val="Normal"/>
    <w:link w:val="CommentTextChar"/>
    <w:rsid w:val="0082021A"/>
    <w:rPr>
      <w:sz w:val="20"/>
    </w:rPr>
  </w:style>
  <w:style w:type="character" w:customStyle="1" w:styleId="CommentTextChar">
    <w:name w:val="Comment Text Char"/>
    <w:basedOn w:val="DefaultParagraphFont"/>
    <w:link w:val="CommentText"/>
    <w:rsid w:val="0082021A"/>
    <w:rPr>
      <w:sz w:val="20"/>
    </w:rPr>
  </w:style>
  <w:style w:type="paragraph" w:styleId="CommentSubject">
    <w:name w:val="annotation subject"/>
    <w:basedOn w:val="CommentText"/>
    <w:next w:val="CommentText"/>
    <w:link w:val="CommentSubjectChar"/>
    <w:rsid w:val="0082021A"/>
    <w:rPr>
      <w:b/>
      <w:bCs/>
    </w:rPr>
  </w:style>
  <w:style w:type="character" w:customStyle="1" w:styleId="CommentSubjectChar">
    <w:name w:val="Comment Subject Char"/>
    <w:basedOn w:val="CommentTextChar"/>
    <w:link w:val="CommentSubject"/>
    <w:rsid w:val="0082021A"/>
    <w:rPr>
      <w:b/>
      <w:bCs/>
      <w:sz w:val="20"/>
    </w:rPr>
  </w:style>
  <w:style w:type="paragraph" w:styleId="FootnoteText">
    <w:name w:val="footnote text"/>
    <w:basedOn w:val="Normal"/>
    <w:link w:val="FootnoteTextChar"/>
    <w:rsid w:val="00546A17"/>
    <w:rPr>
      <w:sz w:val="20"/>
    </w:rPr>
  </w:style>
  <w:style w:type="character" w:customStyle="1" w:styleId="FootnoteTextChar">
    <w:name w:val="Footnote Text Char"/>
    <w:basedOn w:val="DefaultParagraphFont"/>
    <w:link w:val="FootnoteText"/>
    <w:rsid w:val="00546A17"/>
    <w:rPr>
      <w:sz w:val="20"/>
    </w:rPr>
  </w:style>
  <w:style w:type="character" w:styleId="FootnoteReference">
    <w:name w:val="footnote reference"/>
    <w:basedOn w:val="DefaultParagraphFont"/>
    <w:rsid w:val="00546A17"/>
    <w:rPr>
      <w:vertAlign w:val="superscript"/>
    </w:rPr>
  </w:style>
  <w:style w:type="character" w:styleId="Hyperlink">
    <w:name w:val="Hyperlink"/>
    <w:basedOn w:val="DefaultParagraphFont"/>
    <w:rsid w:val="00C92082"/>
    <w:rPr>
      <w:color w:val="0000FF" w:themeColor="hyperlink"/>
      <w:u w:val="single"/>
    </w:rPr>
  </w:style>
  <w:style w:type="character" w:customStyle="1" w:styleId="tableentry">
    <w:name w:val="tableentry"/>
    <w:basedOn w:val="DefaultParagraphFont"/>
    <w:rsid w:val="00F720A0"/>
  </w:style>
  <w:style w:type="paragraph" w:styleId="NormalWeb">
    <w:name w:val="Normal (Web)"/>
    <w:basedOn w:val="Normal"/>
    <w:rsid w:val="00752598"/>
    <w:rPr>
      <w:szCs w:val="24"/>
    </w:rPr>
  </w:style>
  <w:style w:type="character" w:customStyle="1" w:styleId="normaltextrun">
    <w:name w:val="normaltextrun"/>
    <w:basedOn w:val="DefaultParagraphFont"/>
    <w:rsid w:val="00BA1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0DBE"/>
    <w:rPr>
      <w:rFonts w:ascii="Tahoma" w:hAnsi="Tahoma" w:cs="Tahoma"/>
      <w:sz w:val="16"/>
      <w:szCs w:val="16"/>
    </w:rPr>
  </w:style>
  <w:style w:type="character" w:customStyle="1" w:styleId="BalloonTextChar">
    <w:name w:val="Balloon Text Char"/>
    <w:basedOn w:val="DefaultParagraphFont"/>
    <w:link w:val="BalloonText"/>
    <w:rsid w:val="00AE0DBE"/>
    <w:rPr>
      <w:rFonts w:ascii="Tahoma" w:hAnsi="Tahoma" w:cs="Tahoma"/>
      <w:sz w:val="16"/>
      <w:szCs w:val="16"/>
    </w:rPr>
  </w:style>
  <w:style w:type="paragraph" w:styleId="ListParagraph">
    <w:name w:val="List Paragraph"/>
    <w:basedOn w:val="Normal"/>
    <w:rsid w:val="00F00FC1"/>
    <w:pPr>
      <w:ind w:left="720"/>
      <w:contextualSpacing/>
    </w:pPr>
  </w:style>
  <w:style w:type="character" w:styleId="CommentReference">
    <w:name w:val="annotation reference"/>
    <w:basedOn w:val="DefaultParagraphFont"/>
    <w:rsid w:val="0082021A"/>
    <w:rPr>
      <w:sz w:val="16"/>
      <w:szCs w:val="16"/>
    </w:rPr>
  </w:style>
  <w:style w:type="paragraph" w:styleId="CommentText">
    <w:name w:val="annotation text"/>
    <w:basedOn w:val="Normal"/>
    <w:link w:val="CommentTextChar"/>
    <w:rsid w:val="0082021A"/>
    <w:rPr>
      <w:sz w:val="20"/>
    </w:rPr>
  </w:style>
  <w:style w:type="character" w:customStyle="1" w:styleId="CommentTextChar">
    <w:name w:val="Comment Text Char"/>
    <w:basedOn w:val="DefaultParagraphFont"/>
    <w:link w:val="CommentText"/>
    <w:rsid w:val="0082021A"/>
    <w:rPr>
      <w:sz w:val="20"/>
    </w:rPr>
  </w:style>
  <w:style w:type="paragraph" w:styleId="CommentSubject">
    <w:name w:val="annotation subject"/>
    <w:basedOn w:val="CommentText"/>
    <w:next w:val="CommentText"/>
    <w:link w:val="CommentSubjectChar"/>
    <w:rsid w:val="0082021A"/>
    <w:rPr>
      <w:b/>
      <w:bCs/>
    </w:rPr>
  </w:style>
  <w:style w:type="character" w:customStyle="1" w:styleId="CommentSubjectChar">
    <w:name w:val="Comment Subject Char"/>
    <w:basedOn w:val="CommentTextChar"/>
    <w:link w:val="CommentSubject"/>
    <w:rsid w:val="0082021A"/>
    <w:rPr>
      <w:b/>
      <w:bCs/>
      <w:sz w:val="20"/>
    </w:rPr>
  </w:style>
  <w:style w:type="paragraph" w:styleId="FootnoteText">
    <w:name w:val="footnote text"/>
    <w:basedOn w:val="Normal"/>
    <w:link w:val="FootnoteTextChar"/>
    <w:rsid w:val="00546A17"/>
    <w:rPr>
      <w:sz w:val="20"/>
    </w:rPr>
  </w:style>
  <w:style w:type="character" w:customStyle="1" w:styleId="FootnoteTextChar">
    <w:name w:val="Footnote Text Char"/>
    <w:basedOn w:val="DefaultParagraphFont"/>
    <w:link w:val="FootnoteText"/>
    <w:rsid w:val="00546A17"/>
    <w:rPr>
      <w:sz w:val="20"/>
    </w:rPr>
  </w:style>
  <w:style w:type="character" w:styleId="FootnoteReference">
    <w:name w:val="footnote reference"/>
    <w:basedOn w:val="DefaultParagraphFont"/>
    <w:rsid w:val="00546A17"/>
    <w:rPr>
      <w:vertAlign w:val="superscript"/>
    </w:rPr>
  </w:style>
  <w:style w:type="character" w:styleId="Hyperlink">
    <w:name w:val="Hyperlink"/>
    <w:basedOn w:val="DefaultParagraphFont"/>
    <w:rsid w:val="00C92082"/>
    <w:rPr>
      <w:color w:val="0000FF" w:themeColor="hyperlink"/>
      <w:u w:val="single"/>
    </w:rPr>
  </w:style>
  <w:style w:type="character" w:customStyle="1" w:styleId="tableentry">
    <w:name w:val="tableentry"/>
    <w:basedOn w:val="DefaultParagraphFont"/>
    <w:rsid w:val="00F720A0"/>
  </w:style>
  <w:style w:type="paragraph" w:styleId="NormalWeb">
    <w:name w:val="Normal (Web)"/>
    <w:basedOn w:val="Normal"/>
    <w:rsid w:val="00752598"/>
    <w:rPr>
      <w:szCs w:val="24"/>
    </w:rPr>
  </w:style>
  <w:style w:type="character" w:customStyle="1" w:styleId="normaltextrun">
    <w:name w:val="normaltextrun"/>
    <w:basedOn w:val="DefaultParagraphFont"/>
    <w:rsid w:val="00BA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5812">
      <w:bodyDiv w:val="1"/>
      <w:marLeft w:val="0"/>
      <w:marRight w:val="0"/>
      <w:marTop w:val="0"/>
      <w:marBottom w:val="0"/>
      <w:divBdr>
        <w:top w:val="none" w:sz="0" w:space="0" w:color="auto"/>
        <w:left w:val="none" w:sz="0" w:space="0" w:color="auto"/>
        <w:bottom w:val="none" w:sz="0" w:space="0" w:color="auto"/>
        <w:right w:val="none" w:sz="0" w:space="0" w:color="auto"/>
      </w:divBdr>
    </w:div>
    <w:div w:id="273706511">
      <w:bodyDiv w:val="1"/>
      <w:marLeft w:val="0"/>
      <w:marRight w:val="0"/>
      <w:marTop w:val="0"/>
      <w:marBottom w:val="0"/>
      <w:divBdr>
        <w:top w:val="none" w:sz="0" w:space="0" w:color="auto"/>
        <w:left w:val="none" w:sz="0" w:space="0" w:color="auto"/>
        <w:bottom w:val="none" w:sz="0" w:space="0" w:color="auto"/>
        <w:right w:val="none" w:sz="0" w:space="0" w:color="auto"/>
      </w:divBdr>
    </w:div>
    <w:div w:id="721560674">
      <w:bodyDiv w:val="1"/>
      <w:marLeft w:val="0"/>
      <w:marRight w:val="0"/>
      <w:marTop w:val="0"/>
      <w:marBottom w:val="0"/>
      <w:divBdr>
        <w:top w:val="none" w:sz="0" w:space="0" w:color="auto"/>
        <w:left w:val="none" w:sz="0" w:space="0" w:color="auto"/>
        <w:bottom w:val="none" w:sz="0" w:space="0" w:color="auto"/>
        <w:right w:val="none" w:sz="0" w:space="0" w:color="auto"/>
      </w:divBdr>
    </w:div>
    <w:div w:id="965309684">
      <w:bodyDiv w:val="1"/>
      <w:marLeft w:val="0"/>
      <w:marRight w:val="0"/>
      <w:marTop w:val="0"/>
      <w:marBottom w:val="0"/>
      <w:divBdr>
        <w:top w:val="none" w:sz="0" w:space="0" w:color="auto"/>
        <w:left w:val="none" w:sz="0" w:space="0" w:color="auto"/>
        <w:bottom w:val="none" w:sz="0" w:space="0" w:color="auto"/>
        <w:right w:val="none" w:sz="0" w:space="0" w:color="auto"/>
      </w:divBdr>
    </w:div>
    <w:div w:id="1019701932">
      <w:bodyDiv w:val="1"/>
      <w:marLeft w:val="0"/>
      <w:marRight w:val="0"/>
      <w:marTop w:val="0"/>
      <w:marBottom w:val="0"/>
      <w:divBdr>
        <w:top w:val="none" w:sz="0" w:space="0" w:color="auto"/>
        <w:left w:val="none" w:sz="0" w:space="0" w:color="auto"/>
        <w:bottom w:val="none" w:sz="0" w:space="0" w:color="auto"/>
        <w:right w:val="none" w:sz="0" w:space="0" w:color="auto"/>
      </w:divBdr>
    </w:div>
    <w:div w:id="1207254042">
      <w:bodyDiv w:val="1"/>
      <w:marLeft w:val="0"/>
      <w:marRight w:val="0"/>
      <w:marTop w:val="0"/>
      <w:marBottom w:val="0"/>
      <w:divBdr>
        <w:top w:val="none" w:sz="0" w:space="0" w:color="auto"/>
        <w:left w:val="none" w:sz="0" w:space="0" w:color="auto"/>
        <w:bottom w:val="none" w:sz="0" w:space="0" w:color="auto"/>
        <w:right w:val="none" w:sz="0" w:space="0" w:color="auto"/>
      </w:divBdr>
    </w:div>
    <w:div w:id="1331786382">
      <w:bodyDiv w:val="1"/>
      <w:marLeft w:val="0"/>
      <w:marRight w:val="0"/>
      <w:marTop w:val="0"/>
      <w:marBottom w:val="0"/>
      <w:divBdr>
        <w:top w:val="none" w:sz="0" w:space="0" w:color="auto"/>
        <w:left w:val="none" w:sz="0" w:space="0" w:color="auto"/>
        <w:bottom w:val="none" w:sz="0" w:space="0" w:color="auto"/>
        <w:right w:val="none" w:sz="0" w:space="0" w:color="auto"/>
      </w:divBdr>
    </w:div>
    <w:div w:id="1451053152">
      <w:bodyDiv w:val="1"/>
      <w:marLeft w:val="0"/>
      <w:marRight w:val="0"/>
      <w:marTop w:val="0"/>
      <w:marBottom w:val="0"/>
      <w:divBdr>
        <w:top w:val="none" w:sz="0" w:space="0" w:color="auto"/>
        <w:left w:val="none" w:sz="0" w:space="0" w:color="auto"/>
        <w:bottom w:val="none" w:sz="0" w:space="0" w:color="auto"/>
        <w:right w:val="none" w:sz="0" w:space="0" w:color="auto"/>
      </w:divBdr>
      <w:divsChild>
        <w:div w:id="899242479">
          <w:marLeft w:val="0"/>
          <w:marRight w:val="0"/>
          <w:marTop w:val="0"/>
          <w:marBottom w:val="0"/>
          <w:divBdr>
            <w:top w:val="none" w:sz="0" w:space="0" w:color="auto"/>
            <w:left w:val="none" w:sz="0" w:space="0" w:color="auto"/>
            <w:bottom w:val="none" w:sz="0" w:space="0" w:color="auto"/>
            <w:right w:val="none" w:sz="0" w:space="0" w:color="auto"/>
          </w:divBdr>
        </w:div>
      </w:divsChild>
    </w:div>
    <w:div w:id="1509910424">
      <w:bodyDiv w:val="1"/>
      <w:marLeft w:val="0"/>
      <w:marRight w:val="0"/>
      <w:marTop w:val="0"/>
      <w:marBottom w:val="0"/>
      <w:divBdr>
        <w:top w:val="none" w:sz="0" w:space="0" w:color="auto"/>
        <w:left w:val="none" w:sz="0" w:space="0" w:color="auto"/>
        <w:bottom w:val="none" w:sz="0" w:space="0" w:color="auto"/>
        <w:right w:val="none" w:sz="0" w:space="0" w:color="auto"/>
      </w:divBdr>
    </w:div>
    <w:div w:id="1644308011">
      <w:bodyDiv w:val="1"/>
      <w:marLeft w:val="0"/>
      <w:marRight w:val="0"/>
      <w:marTop w:val="0"/>
      <w:marBottom w:val="0"/>
      <w:divBdr>
        <w:top w:val="none" w:sz="0" w:space="0" w:color="auto"/>
        <w:left w:val="none" w:sz="0" w:space="0" w:color="auto"/>
        <w:bottom w:val="none" w:sz="0" w:space="0" w:color="auto"/>
        <w:right w:val="none" w:sz="0" w:space="0" w:color="auto"/>
      </w:divBdr>
    </w:div>
    <w:div w:id="1884319328">
      <w:bodyDiv w:val="1"/>
      <w:marLeft w:val="0"/>
      <w:marRight w:val="0"/>
      <w:marTop w:val="0"/>
      <w:marBottom w:val="0"/>
      <w:divBdr>
        <w:top w:val="none" w:sz="0" w:space="0" w:color="auto"/>
        <w:left w:val="none" w:sz="0" w:space="0" w:color="auto"/>
        <w:bottom w:val="none" w:sz="0" w:space="0" w:color="auto"/>
        <w:right w:val="none" w:sz="0" w:space="0" w:color="auto"/>
      </w:divBdr>
    </w:div>
    <w:div w:id="1909802775">
      <w:bodyDiv w:val="1"/>
      <w:marLeft w:val="0"/>
      <w:marRight w:val="0"/>
      <w:marTop w:val="0"/>
      <w:marBottom w:val="0"/>
      <w:divBdr>
        <w:top w:val="none" w:sz="0" w:space="0" w:color="auto"/>
        <w:left w:val="none" w:sz="0" w:space="0" w:color="auto"/>
        <w:bottom w:val="none" w:sz="0" w:space="0" w:color="auto"/>
        <w:right w:val="none" w:sz="0" w:space="0" w:color="auto"/>
      </w:divBdr>
    </w:div>
    <w:div w:id="1969703921">
      <w:bodyDiv w:val="1"/>
      <w:marLeft w:val="0"/>
      <w:marRight w:val="0"/>
      <w:marTop w:val="0"/>
      <w:marBottom w:val="0"/>
      <w:divBdr>
        <w:top w:val="none" w:sz="0" w:space="0" w:color="auto"/>
        <w:left w:val="none" w:sz="0" w:space="0" w:color="auto"/>
        <w:bottom w:val="none" w:sz="0" w:space="0" w:color="auto"/>
        <w:right w:val="none" w:sz="0" w:space="0" w:color="auto"/>
      </w:divBdr>
    </w:div>
    <w:div w:id="21236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https://vdvis.am.lt/cs/idcplg?IdcService=EGO_DOC_INFO_OR_REVIEW&amp;dDocName=AM_5835258"
                 TargetMode="External"
                 Type="http://schemas.openxmlformats.org/officeDocument/2006/relationships/hyperlink"/>
   <Relationship Id="rId14"
                 Target="https://vdvis.am.lt/cs/idcplg?IdcService=EGO_DOC_INFO_OR_REVIEW&amp;dDocName=AM_6094576"
                 TargetMode="External"
                 Type="http://schemas.openxmlformats.org/officeDocument/2006/relationships/hyperlink"/>
   <Relationship Id="rId15" Target="mailto:algirdas.klimavicius@am.lt" TargetMode="External"
                 Type="http://schemas.openxmlformats.org/officeDocument/2006/relationships/hyperlink"/>
   <Relationship Id="rId16" Target="mailto:lina.caplikaite@am.lt" TargetMode="External"
                 Type="http://schemas.openxmlformats.org/officeDocument/2006/relationships/hyperlink"/>
   <Relationship Id="rId17" Target="mailto:lina.caplikaite@am.lt" TargetMode="External"
                 Type="http://schemas.openxmlformats.org/officeDocument/2006/relationships/hyperlink"/>
   <Relationship Id="rId18" Target="header1.xml"
                 Type="http://schemas.openxmlformats.org/officeDocument/2006/relationships/header"/>
   <Relationship Id="rId19" Target="header2.xml"
                 Type="http://schemas.openxmlformats.org/officeDocument/2006/relationships/header"/>
   <Relationship Id="rId2" Target="../customXml/item2.xml"
                 Type="http://schemas.openxmlformats.org/officeDocument/2006/relationships/customXml"/>
   <Relationship Id="rId20" Target="footer1.xml"
                 Type="http://schemas.openxmlformats.org/officeDocument/2006/relationships/footer"/>
   <Relationship Id="rId21" Target="footer2.xml"
                 Type="http://schemas.openxmlformats.org/officeDocument/2006/relationships/footer"/>
   <Relationship Id="rId22" Target="header3.xml"
                 Type="http://schemas.openxmlformats.org/officeDocument/2006/relationships/header"/>
   <Relationship Id="rId23" Target="footer3.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footer3.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Lina Čaplikaitė - Denisovienė</DisplayName>
        <AccountId>181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492E-47F7-47C1-BA8C-E254EC8547B0}">
  <ds:schemaRefs>
    <ds:schemaRef ds:uri="http://schemas.microsoft.com/sharepoint/v3/contenttype/forms"/>
  </ds:schemaRefs>
</ds:datastoreItem>
</file>

<file path=customXml/itemProps2.xml><?xml version="1.0" encoding="utf-8"?>
<ds:datastoreItem xmlns:ds="http://schemas.openxmlformats.org/officeDocument/2006/customXml" ds:itemID="{BAAD5F4C-273B-490A-9346-B507A50F8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79570-2AE7-434A-9C6C-B7C5C7086410}">
  <ds:schemaRefs>
    <ds:schemaRef ds:uri="http://schemas.microsoft.com/office/infopath/2007/PartnerControls"/>
    <ds:schemaRef ds:uri="http://purl.org/dc/terms/"/>
    <ds:schemaRef ds:uri="f5aad5d0-9c26-490e-8743-a6c7ceabd501"/>
    <ds:schemaRef ds:uri="http://schemas.microsoft.com/office/2006/documentManagement/types"/>
    <ds:schemaRef ds:uri="19cf09c5-daa1-4028-a0ff-74a0be4ec5cc"/>
    <ds:schemaRef ds:uri="http://purl.org/dc/elements/1.1/"/>
    <ds:schemaRef ds:uri="http://schemas.openxmlformats.org/package/2006/metadata/core-properties"/>
    <ds:schemaRef ds:uri="http://purl.org/dc/dcmitype/"/>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F9474A9-5857-4EBD-8DE6-3E763F21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4635</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5437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2021-11-25T10:40:00Z</dcterms:created>
  <dcterms:modified xsi:type="dcterms:W3CDTF">2021-11-26T07:31:00Z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