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14:paraId="6584B95F" w14:textId="4E51F7AB" w:rsidR="005F43FA" w:rsidRPr="005F43FA" w:rsidRDefault="005F43FA" w:rsidP="005F43FA">
      <w:pPr>
        <w:spacing w:after="0" w:line="240" w:lineRule="auto"/>
        <w:jc w:val="center"/>
        <w:outlineLvl w:val="0"/>
        <w:rPr>
          <w:rFonts w:eastAsia="Calibri" w:cs="Times New Roman"/>
          <w:b/>
          <w:caps/>
          <w:szCs w:val="24"/>
        </w:rPr>
      </w:pPr>
      <w:r w:rsidRPr="005F43FA">
        <w:rPr>
          <w:rFonts w:eastAsia="Calibri" w:cs="Times New Roman"/>
          <w:b/>
          <w:caps/>
          <w:szCs w:val="24"/>
        </w:rPr>
        <w:t xml:space="preserve">DĖL LIETUVOS RESPUBLIKOS BAUDŽIAMOJO KODEKSO </w:t>
      </w:r>
      <w:r w:rsidR="001301E4">
        <w:rPr>
          <w:rFonts w:eastAsia="Calibri" w:cs="Times New Roman"/>
          <w:b/>
          <w:caps/>
          <w:szCs w:val="24"/>
        </w:rPr>
        <w:t>18</w:t>
      </w:r>
      <w:r w:rsidR="006011C8">
        <w:rPr>
          <w:rFonts w:eastAsia="Calibri" w:cs="Times New Roman"/>
          <w:b/>
          <w:caps/>
          <w:szCs w:val="24"/>
        </w:rPr>
        <w:t>9</w:t>
      </w:r>
      <w:r w:rsidR="001301E4">
        <w:rPr>
          <w:rFonts w:eastAsia="Calibri" w:cs="Times New Roman"/>
          <w:b/>
          <w:caps/>
          <w:szCs w:val="24"/>
        </w:rPr>
        <w:t xml:space="preserve"> IR 216 </w:t>
      </w:r>
      <w:r w:rsidRPr="005F43FA">
        <w:rPr>
          <w:rFonts w:eastAsia="Calibri" w:cs="Times New Roman"/>
          <w:b/>
          <w:caps/>
          <w:szCs w:val="24"/>
        </w:rPr>
        <w:t xml:space="preserve">STRAIPSNIŲ </w:t>
      </w:r>
      <w:r w:rsidR="006011C8">
        <w:rPr>
          <w:rFonts w:eastAsia="Calibri" w:cs="Times New Roman"/>
          <w:b/>
          <w:caps/>
          <w:szCs w:val="24"/>
        </w:rPr>
        <w:t>PAKEITIMO ĮSTATYMO PROJEKTO</w:t>
      </w:r>
      <w:r w:rsidRPr="005F43FA">
        <w:rPr>
          <w:rFonts w:eastAsia="Calibri" w:cs="Times New Roman"/>
          <w:b/>
          <w:caps/>
          <w:szCs w:val="24"/>
        </w:rPr>
        <w:t xml:space="preserve"> </w:t>
      </w: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5F43FA" w14:paraId="0E6B0BAE" w14:textId="77777777" w:rsidTr="005F43FA">
        <w:tc>
          <w:tcPr>
            <w:tcW w:w="2127" w:type="dxa"/>
            <w:tcBorders>
              <w:top w:val="single" w:sz="4" w:space="0" w:color="auto"/>
              <w:left w:val="single" w:sz="4" w:space="0" w:color="auto"/>
              <w:bottom w:val="single" w:sz="4" w:space="0" w:color="auto"/>
              <w:right w:val="single" w:sz="4" w:space="0" w:color="auto"/>
            </w:tcBorders>
          </w:tcPr>
          <w:p w14:paraId="2FC853F8" w14:textId="72A804AD" w:rsidR="005D4147" w:rsidRPr="005F43FA" w:rsidRDefault="00502EF6" w:rsidP="00F3370E">
            <w:pPr>
              <w:jc w:val="center"/>
              <w:rPr>
                <w:rFonts w:cs="Times New Roman"/>
                <w:szCs w:val="24"/>
              </w:rPr>
            </w:pPr>
            <w:r w:rsidRPr="005F43FA">
              <w:rPr>
                <w:rFonts w:cs="Times New Roman"/>
                <w:szCs w:val="24"/>
              </w:rPr>
              <w:t>Institucija</w:t>
            </w:r>
          </w:p>
        </w:tc>
        <w:tc>
          <w:tcPr>
            <w:tcW w:w="5670" w:type="dxa"/>
            <w:tcBorders>
              <w:top w:val="single" w:sz="4" w:space="0" w:color="auto"/>
              <w:left w:val="single" w:sz="4" w:space="0" w:color="auto"/>
              <w:bottom w:val="single" w:sz="4" w:space="0" w:color="auto"/>
              <w:right w:val="single" w:sz="4" w:space="0" w:color="auto"/>
            </w:tcBorders>
          </w:tcPr>
          <w:p w14:paraId="334A1E7F" w14:textId="77777777" w:rsidR="005D4147" w:rsidRPr="005F43FA" w:rsidRDefault="005D4147" w:rsidP="00F3370E">
            <w:pPr>
              <w:pStyle w:val="Preformatted"/>
              <w:tabs>
                <w:tab w:val="clear" w:pos="959"/>
                <w:tab w:val="clear" w:pos="1918"/>
                <w:tab w:val="left" w:pos="1276"/>
              </w:tabs>
              <w:jc w:val="center"/>
              <w:rPr>
                <w:rFonts w:ascii="Times New Roman" w:hAnsi="Times New Roman"/>
                <w:sz w:val="24"/>
                <w:szCs w:val="24"/>
              </w:rPr>
            </w:pPr>
            <w:r w:rsidRPr="005F43FA">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3D80B9F7" w14:textId="77777777" w:rsidR="005D4147" w:rsidRPr="005F43FA" w:rsidRDefault="005D4147" w:rsidP="00F3370E">
            <w:pPr>
              <w:jc w:val="center"/>
              <w:rPr>
                <w:rFonts w:cs="Times New Roman"/>
                <w:szCs w:val="24"/>
              </w:rPr>
            </w:pPr>
            <w:r w:rsidRPr="005F43FA">
              <w:rPr>
                <w:rFonts w:cs="Times New Roman"/>
                <w:szCs w:val="24"/>
              </w:rPr>
              <w:t>Įvertinimas</w:t>
            </w:r>
          </w:p>
        </w:tc>
      </w:tr>
      <w:tr w:rsidR="006011C8" w:rsidRPr="005F43FA" w14:paraId="0F27175F" w14:textId="77777777" w:rsidTr="005F43FA">
        <w:tc>
          <w:tcPr>
            <w:tcW w:w="2127" w:type="dxa"/>
            <w:tcBorders>
              <w:top w:val="single" w:sz="4" w:space="0" w:color="auto"/>
              <w:left w:val="single" w:sz="4" w:space="0" w:color="auto"/>
              <w:bottom w:val="single" w:sz="4" w:space="0" w:color="auto"/>
              <w:right w:val="single" w:sz="4" w:space="0" w:color="auto"/>
            </w:tcBorders>
          </w:tcPr>
          <w:p w14:paraId="0EA068BA" w14:textId="203BB3F5" w:rsidR="006011C8" w:rsidRDefault="00004346" w:rsidP="00004346">
            <w:pPr>
              <w:jc w:val="center"/>
              <w:rPr>
                <w:rFonts w:cs="Times New Roman"/>
                <w:szCs w:val="24"/>
              </w:rPr>
            </w:pPr>
            <w:r>
              <w:rPr>
                <w:rFonts w:cs="Times New Roman"/>
                <w:szCs w:val="24"/>
              </w:rPr>
              <w:t>Lietuvos Respublikos generalinės prokuratūros 2020-12-14 raštas Nr. 17.2-4448</w:t>
            </w:r>
          </w:p>
        </w:tc>
        <w:tc>
          <w:tcPr>
            <w:tcW w:w="5670" w:type="dxa"/>
            <w:tcBorders>
              <w:top w:val="single" w:sz="4" w:space="0" w:color="auto"/>
              <w:left w:val="single" w:sz="4" w:space="0" w:color="auto"/>
              <w:bottom w:val="single" w:sz="4" w:space="0" w:color="auto"/>
              <w:right w:val="single" w:sz="4" w:space="0" w:color="auto"/>
            </w:tcBorders>
          </w:tcPr>
          <w:p w14:paraId="22BCACE5" w14:textId="77777777" w:rsidR="00004346" w:rsidRPr="00004346" w:rsidRDefault="00004346" w:rsidP="00004346">
            <w:pPr>
              <w:pStyle w:val="Standard"/>
              <w:jc w:val="both"/>
              <w:rPr>
                <w:rFonts w:ascii="Times New Roman" w:hAnsi="Times New Roman"/>
                <w:sz w:val="24"/>
                <w:szCs w:val="24"/>
              </w:rPr>
            </w:pPr>
            <w:r w:rsidRPr="00004346">
              <w:rPr>
                <w:rFonts w:ascii="Times New Roman" w:hAnsi="Times New Roman"/>
                <w:sz w:val="24"/>
                <w:szCs w:val="24"/>
              </w:rPr>
              <w:t>Lietuvos Respublikos baudžiamojo kodekso (toliau – BK) XXVIII skyriuje (Nusikaltimai ir baudžiamieji nusižengimai nuosavybei, turtinėms teisėms ir turtiniams interesams) numatytų nusikalstamų veikų kvalifikuotos dalys, kuriose kvalifikuojantis požymis yra didelės vertės turtas, dažniausiai priskiriamos sunkiems nusikaltimams (BK 178 str. 3 d., 180 str. 2 d., 181 str. 2 d., 182 str. 2 d., 183 str. 2 d., 184 str. 2 d.), už kurių padarymą numatytos septynerių, aštuonerių ar dešimties metų laisvės atėmimo bausmės. 2018 m. spalio 23 d. Europos Parlamento ir Tarybos Direktyvos Nr. 2018/1673 dėl kovos su pinigų plovimu baudžiamosios teisės priemonėmis 3 straipsnio 1 dalies c) punkte numatyta pinigų plovimo nusikalstamos veikos forma atitinka BK 189 straipsnyje numatytos nusikalstamos veikos požymius. Galiojančiame BK 189 straipsnyje numatyta nusikalstama veika yra apysunkis nusikaltimas, už kurio padarymą gali būti skiriama bauda arba areštas, arba laisvės atėmimas iki ketverių metų, tuo tarpu kitas pinigų plovimo nusikalstamas formas reglamentuojantis BK 216 straipsnis jame numatytą nusikalstamą veiką numato kaip sunkų nusikaltimą, už kurį gali būti skiriama bauda arba laisvės atėmimas iki septynerių metų.</w:t>
            </w:r>
          </w:p>
          <w:p w14:paraId="3B41A4C8" w14:textId="47B26123" w:rsidR="00004346" w:rsidRPr="00004346" w:rsidRDefault="00004346" w:rsidP="00004346">
            <w:pPr>
              <w:pStyle w:val="Standard"/>
              <w:jc w:val="both"/>
              <w:rPr>
                <w:rFonts w:ascii="Times New Roman" w:hAnsi="Times New Roman"/>
                <w:sz w:val="24"/>
                <w:szCs w:val="24"/>
              </w:rPr>
            </w:pPr>
            <w:r w:rsidRPr="00004346">
              <w:rPr>
                <w:rFonts w:ascii="Times New Roman" w:hAnsi="Times New Roman"/>
                <w:sz w:val="24"/>
                <w:szCs w:val="24"/>
              </w:rPr>
              <w:t>Įvertinus šias aplinkybes manytina, kad už BK 189 straipsnio 2 dalyje numatytą nusikaltimą turėtų būti skiriama bausmė – bauda arba laisvės atėmimas iki septynerių metų, t. y. ši nusikalstama veika turi būti priskirta sunkių nusikaltimų kategorijai.</w:t>
            </w:r>
          </w:p>
          <w:p w14:paraId="605B7375" w14:textId="214554A8" w:rsidR="00004346" w:rsidRPr="00004346" w:rsidRDefault="00004346" w:rsidP="00004346">
            <w:pPr>
              <w:pStyle w:val="Standard"/>
              <w:jc w:val="both"/>
              <w:rPr>
                <w:rFonts w:ascii="Times New Roman" w:hAnsi="Times New Roman"/>
                <w:sz w:val="24"/>
                <w:szCs w:val="24"/>
              </w:rPr>
            </w:pPr>
            <w:r w:rsidRPr="00004346">
              <w:rPr>
                <w:rFonts w:ascii="Times New Roman" w:hAnsi="Times New Roman"/>
                <w:sz w:val="24"/>
                <w:szCs w:val="24"/>
              </w:rPr>
              <w:t>Atsižvelgdami į tai siūlome p</w:t>
            </w:r>
            <w:r w:rsidRPr="00004346">
              <w:rPr>
                <w:rFonts w:ascii="Times New Roman" w:hAnsi="Times New Roman"/>
                <w:sz w:val="24"/>
                <w:szCs w:val="24"/>
                <w:lang w:eastAsia="en-US"/>
              </w:rPr>
              <w:t xml:space="preserve">akeisti BK </w:t>
            </w:r>
            <w:r w:rsidRPr="00004346">
              <w:rPr>
                <w:rFonts w:ascii="Times New Roman" w:hAnsi="Times New Roman"/>
                <w:sz w:val="24"/>
                <w:szCs w:val="24"/>
                <w:lang w:eastAsia="en-US" w:bidi="hi-IN"/>
              </w:rPr>
              <w:t>189</w:t>
            </w:r>
            <w:r w:rsidRPr="00004346">
              <w:rPr>
                <w:rFonts w:ascii="Times New Roman" w:hAnsi="Times New Roman"/>
                <w:sz w:val="24"/>
                <w:szCs w:val="24"/>
                <w:lang w:eastAsia="en-US"/>
              </w:rPr>
              <w:t xml:space="preserve"> straipsnio 2 dalį ir ją išdėstyti taip:</w:t>
            </w:r>
          </w:p>
          <w:p w14:paraId="2F693170" w14:textId="77777777" w:rsidR="00004346" w:rsidRPr="00004346" w:rsidRDefault="00004346" w:rsidP="00DB14F0">
            <w:pPr>
              <w:pStyle w:val="Pasilymai2"/>
              <w:rPr>
                <w:rFonts w:ascii="Times New Roman" w:hAnsi="Times New Roman" w:cs="Times New Roman"/>
                <w:sz w:val="24"/>
                <w:szCs w:val="24"/>
              </w:rPr>
            </w:pPr>
            <w:r w:rsidRPr="00004346">
              <w:rPr>
                <w:rFonts w:ascii="Times New Roman" w:hAnsi="Times New Roman" w:cs="Times New Roman"/>
                <w:sz w:val="24"/>
                <w:szCs w:val="24"/>
              </w:rPr>
              <w:t xml:space="preserve">,,2. Tas, kas įgijo, naudojosi arba realizavo didelės vertės turtą arba didelės mokslinės, istorinės ar kultūrinės reikšmės turinčias vertybes žinodamas </w:t>
            </w:r>
            <w:r w:rsidRPr="00004346">
              <w:rPr>
                <w:rFonts w:ascii="Times New Roman" w:hAnsi="Times New Roman" w:cs="Times New Roman"/>
                <w:b/>
                <w:sz w:val="24"/>
                <w:szCs w:val="24"/>
              </w:rPr>
              <w:t xml:space="preserve">arba turėdamas </w:t>
            </w:r>
            <w:r w:rsidRPr="00004346">
              <w:rPr>
                <w:rFonts w:ascii="Times New Roman" w:hAnsi="Times New Roman" w:cs="Times New Roman"/>
                <w:b/>
                <w:sz w:val="24"/>
                <w:szCs w:val="24"/>
              </w:rPr>
              <w:lastRenderedPageBreak/>
              <w:t>ir galėdamas žinoti</w:t>
            </w:r>
            <w:r w:rsidRPr="00004346">
              <w:rPr>
                <w:rFonts w:ascii="Times New Roman" w:hAnsi="Times New Roman" w:cs="Times New Roman"/>
                <w:sz w:val="24"/>
                <w:szCs w:val="24"/>
              </w:rPr>
              <w:t xml:space="preserve">, kad tas turtas ar vertybės gauti nusikalstamu būdu, </w:t>
            </w:r>
            <w:r w:rsidRPr="00004346">
              <w:rPr>
                <w:rFonts w:ascii="Times New Roman" w:hAnsi="Times New Roman" w:cs="Times New Roman"/>
                <w:b/>
                <w:sz w:val="24"/>
                <w:szCs w:val="24"/>
              </w:rPr>
              <w:t>arba dalyvaujant nusikalstamoje veikoje,</w:t>
            </w:r>
          </w:p>
          <w:p w14:paraId="3ADE5008" w14:textId="00E7624A" w:rsidR="006011C8" w:rsidRPr="00DB14F0" w:rsidRDefault="00004346" w:rsidP="00DB14F0">
            <w:pPr>
              <w:pStyle w:val="Pasilymai2"/>
              <w:rPr>
                <w:rFonts w:ascii="Times New Roman" w:hAnsi="Times New Roman" w:cs="Times New Roman"/>
                <w:sz w:val="24"/>
                <w:szCs w:val="24"/>
              </w:rPr>
            </w:pPr>
            <w:r w:rsidRPr="00004346">
              <w:rPr>
                <w:rFonts w:ascii="Times New Roman" w:eastAsia="Times New Roman" w:hAnsi="Times New Roman" w:cs="Times New Roman"/>
                <w:sz w:val="24"/>
                <w:szCs w:val="24"/>
                <w:lang w:bidi="ar-SA"/>
              </w:rPr>
              <w:t xml:space="preserve">baudžiamas bauda arba areštu, arba laisvės atėmimu iki </w:t>
            </w:r>
            <w:r w:rsidRPr="00004346">
              <w:rPr>
                <w:rFonts w:ascii="Times New Roman" w:eastAsia="Times New Roman" w:hAnsi="Times New Roman" w:cs="Times New Roman"/>
                <w:strike/>
                <w:sz w:val="24"/>
                <w:szCs w:val="24"/>
                <w:lang w:bidi="ar-SA"/>
              </w:rPr>
              <w:t>ketverių</w:t>
            </w:r>
            <w:r w:rsidRPr="00004346">
              <w:rPr>
                <w:rFonts w:ascii="Times New Roman" w:eastAsia="Times New Roman" w:hAnsi="Times New Roman" w:cs="Times New Roman"/>
                <w:sz w:val="24"/>
                <w:szCs w:val="24"/>
                <w:lang w:bidi="ar-SA"/>
              </w:rPr>
              <w:t xml:space="preserve"> </w:t>
            </w:r>
            <w:r w:rsidRPr="00004346">
              <w:rPr>
                <w:rFonts w:ascii="Times New Roman" w:eastAsia="Times New Roman" w:hAnsi="Times New Roman" w:cs="Times New Roman"/>
                <w:b/>
                <w:sz w:val="24"/>
                <w:szCs w:val="24"/>
                <w:lang w:bidi="ar-SA"/>
              </w:rPr>
              <w:t xml:space="preserve">septynerių </w:t>
            </w:r>
            <w:r w:rsidRPr="00004346">
              <w:rPr>
                <w:rFonts w:ascii="Times New Roman" w:eastAsia="Times New Roman" w:hAnsi="Times New Roman" w:cs="Times New Roman"/>
                <w:sz w:val="24"/>
                <w:szCs w:val="24"/>
                <w:lang w:bidi="ar-SA"/>
              </w:rPr>
              <w:t>metų.“</w:t>
            </w:r>
          </w:p>
        </w:tc>
        <w:tc>
          <w:tcPr>
            <w:tcW w:w="7796" w:type="dxa"/>
            <w:tcBorders>
              <w:top w:val="single" w:sz="4" w:space="0" w:color="auto"/>
              <w:left w:val="single" w:sz="4" w:space="0" w:color="auto"/>
              <w:bottom w:val="single" w:sz="4" w:space="0" w:color="auto"/>
              <w:right w:val="single" w:sz="4" w:space="0" w:color="auto"/>
            </w:tcBorders>
          </w:tcPr>
          <w:p w14:paraId="04A47511" w14:textId="77777777" w:rsidR="000B3662" w:rsidRDefault="006011C8" w:rsidP="00004346">
            <w:pPr>
              <w:jc w:val="both"/>
              <w:rPr>
                <w:rFonts w:cs="Times New Roman"/>
                <w:szCs w:val="24"/>
              </w:rPr>
            </w:pPr>
            <w:r>
              <w:rPr>
                <w:rFonts w:cs="Times New Roman"/>
                <w:b/>
                <w:szCs w:val="24"/>
              </w:rPr>
              <w:lastRenderedPageBreak/>
              <w:t>Neatsižvelgta</w:t>
            </w:r>
            <w:r w:rsidRPr="006011C8">
              <w:rPr>
                <w:rFonts w:cs="Times New Roman"/>
                <w:szCs w:val="24"/>
              </w:rPr>
              <w:t>.</w:t>
            </w:r>
          </w:p>
          <w:p w14:paraId="00AB588C" w14:textId="5BA352AC" w:rsidR="00700644" w:rsidRDefault="00A6150D" w:rsidP="00004346">
            <w:pPr>
              <w:jc w:val="both"/>
              <w:rPr>
                <w:rFonts w:cs="Times New Roman"/>
                <w:szCs w:val="24"/>
              </w:rPr>
            </w:pPr>
            <w:r>
              <w:rPr>
                <w:rFonts w:cs="Times New Roman"/>
                <w:szCs w:val="24"/>
              </w:rPr>
              <w:t xml:space="preserve">Pirma, </w:t>
            </w:r>
            <w:r w:rsidR="00700644">
              <w:rPr>
                <w:rFonts w:cs="Times New Roman"/>
                <w:szCs w:val="24"/>
              </w:rPr>
              <w:t xml:space="preserve">pateikta pastaba neatitinka aktualios </w:t>
            </w:r>
            <w:r w:rsidR="00970663">
              <w:rPr>
                <w:rFonts w:cs="Times New Roman"/>
                <w:szCs w:val="24"/>
              </w:rPr>
              <w:t>BK</w:t>
            </w:r>
            <w:r w:rsidR="00700644">
              <w:rPr>
                <w:rFonts w:cs="Times New Roman"/>
                <w:szCs w:val="24"/>
              </w:rPr>
              <w:t xml:space="preserve"> redakcijos. Pažymėtina, kad 2020 m. lapkričio 5 d. priimtu Lietuvos Respublikos baudžiamojo kodekso 60, 147</w:t>
            </w:r>
            <w:r w:rsidR="00700644">
              <w:rPr>
                <w:rFonts w:cs="Times New Roman"/>
                <w:szCs w:val="24"/>
                <w:vertAlign w:val="superscript"/>
              </w:rPr>
              <w:t>1</w:t>
            </w:r>
            <w:r w:rsidR="00700644">
              <w:rPr>
                <w:rFonts w:cs="Times New Roman"/>
                <w:szCs w:val="24"/>
              </w:rPr>
              <w:t>, 151</w:t>
            </w:r>
            <w:r w:rsidR="00700644">
              <w:rPr>
                <w:rFonts w:cs="Times New Roman"/>
                <w:szCs w:val="24"/>
                <w:vertAlign w:val="superscript"/>
              </w:rPr>
              <w:t>1</w:t>
            </w:r>
            <w:r w:rsidR="00700644">
              <w:rPr>
                <w:rFonts w:cs="Times New Roman"/>
                <w:szCs w:val="24"/>
              </w:rPr>
              <w:t>, 189, 214, 218, 224</w:t>
            </w:r>
            <w:r w:rsidR="00700644">
              <w:rPr>
                <w:rFonts w:cs="Times New Roman"/>
                <w:szCs w:val="24"/>
                <w:vertAlign w:val="superscript"/>
              </w:rPr>
              <w:t>1</w:t>
            </w:r>
            <w:r w:rsidR="00700644">
              <w:rPr>
                <w:rFonts w:cs="Times New Roman"/>
                <w:szCs w:val="24"/>
              </w:rPr>
              <w:t xml:space="preserve"> straipsnių ir priedo pakeitimo įstatymu Nr. XIII-3350 BK 189 straipsnio 2 dalyje įtvirtinta maksimali laisvės atėmimo iki </w:t>
            </w:r>
            <w:r w:rsidR="0001414D">
              <w:rPr>
                <w:rFonts w:cs="Times New Roman"/>
                <w:szCs w:val="24"/>
              </w:rPr>
              <w:t>6</w:t>
            </w:r>
            <w:r w:rsidR="00700644">
              <w:rPr>
                <w:rFonts w:cs="Times New Roman"/>
                <w:szCs w:val="24"/>
              </w:rPr>
              <w:t xml:space="preserve"> metų bausmė (o ne </w:t>
            </w:r>
            <w:r w:rsidR="00D42546">
              <w:rPr>
                <w:rFonts w:cs="Times New Roman"/>
                <w:szCs w:val="24"/>
              </w:rPr>
              <w:t xml:space="preserve">laisvės atėmimo iki </w:t>
            </w:r>
            <w:r w:rsidR="0001414D">
              <w:rPr>
                <w:rFonts w:cs="Times New Roman"/>
                <w:szCs w:val="24"/>
              </w:rPr>
              <w:t>4</w:t>
            </w:r>
            <w:r w:rsidR="00700644">
              <w:rPr>
                <w:rFonts w:cs="Times New Roman"/>
                <w:szCs w:val="24"/>
              </w:rPr>
              <w:t xml:space="preserve"> metų </w:t>
            </w:r>
            <w:r w:rsidR="00D42546">
              <w:rPr>
                <w:rFonts w:cs="Times New Roman"/>
                <w:szCs w:val="24"/>
              </w:rPr>
              <w:t xml:space="preserve">bausmė </w:t>
            </w:r>
            <w:r w:rsidR="00700644">
              <w:rPr>
                <w:rFonts w:cs="Times New Roman"/>
                <w:szCs w:val="24"/>
              </w:rPr>
              <w:t xml:space="preserve">kaip nurodyta pastaboje). </w:t>
            </w:r>
          </w:p>
          <w:p w14:paraId="3245C0DE" w14:textId="23A775DD" w:rsidR="00AE0F9E" w:rsidRDefault="00A6150D" w:rsidP="00004346">
            <w:pPr>
              <w:jc w:val="both"/>
              <w:rPr>
                <w:rFonts w:cs="Times New Roman"/>
                <w:szCs w:val="24"/>
              </w:rPr>
            </w:pPr>
            <w:r>
              <w:rPr>
                <w:rFonts w:cs="Times New Roman"/>
                <w:szCs w:val="24"/>
              </w:rPr>
              <w:t xml:space="preserve">Antra, </w:t>
            </w:r>
            <w:r w:rsidR="00970663">
              <w:rPr>
                <w:rFonts w:cs="Times New Roman"/>
                <w:szCs w:val="24"/>
              </w:rPr>
              <w:t xml:space="preserve">nors, kaip nurodyta pastaboje, </w:t>
            </w:r>
            <w:r w:rsidR="00970663">
              <w:rPr>
                <w:szCs w:val="24"/>
              </w:rPr>
              <w:t xml:space="preserve">BK 178 straipsnio 3 dalyje, 180 straipsnio 3 dalyje, 181 straipsnio 3 dalyje, 182 straipsnio 2 dalyje, 183 straipsnio 2 dalyje, 184 straipsnio 2 dalyje </w:t>
            </w:r>
            <w:r w:rsidR="00D42546">
              <w:rPr>
                <w:szCs w:val="24"/>
              </w:rPr>
              <w:t xml:space="preserve">yra </w:t>
            </w:r>
            <w:r w:rsidR="00970663">
              <w:rPr>
                <w:szCs w:val="24"/>
              </w:rPr>
              <w:t xml:space="preserve">minimas </w:t>
            </w:r>
            <w:r w:rsidR="00970663">
              <w:rPr>
                <w:rFonts w:cs="Times New Roman"/>
                <w:szCs w:val="24"/>
              </w:rPr>
              <w:t xml:space="preserve">didelės vertės turto požymis, šiuose straipsniuose numatytos sankcijos skiriasi. Tai reiškia, kad ne didelės vertės turtas </w:t>
            </w:r>
            <w:r w:rsidR="00970663" w:rsidRPr="00970663">
              <w:rPr>
                <w:rFonts w:cs="Times New Roman"/>
                <w:i/>
                <w:szCs w:val="24"/>
                <w:lang w:val="la-Latn"/>
              </w:rPr>
              <w:t>per se</w:t>
            </w:r>
            <w:r w:rsidR="00970663">
              <w:rPr>
                <w:rFonts w:cs="Times New Roman"/>
                <w:szCs w:val="24"/>
              </w:rPr>
              <w:t>, bet</w:t>
            </w:r>
            <w:r w:rsidR="0001414D">
              <w:rPr>
                <w:rFonts w:cs="Times New Roman"/>
                <w:szCs w:val="24"/>
              </w:rPr>
              <w:t xml:space="preserve"> kiti</w:t>
            </w:r>
            <w:r w:rsidR="00970663">
              <w:rPr>
                <w:rFonts w:cs="Times New Roman"/>
                <w:szCs w:val="24"/>
              </w:rPr>
              <w:t xml:space="preserve"> nusikalstamų veikų sudėčių požymiai, didinantys šių nusikalstamų veikų pavojingumą (pvz., apgaulės panaudojimas, fizinio smurto naudojimas, kitokios prievartos naudojimas </w:t>
            </w:r>
            <w:r w:rsidR="005D21DB">
              <w:rPr>
                <w:rFonts w:cs="Times New Roman"/>
                <w:szCs w:val="24"/>
              </w:rPr>
              <w:t>verčiant perduoti tam tikrą turtą ir pan.)</w:t>
            </w:r>
            <w:r w:rsidR="00970663">
              <w:rPr>
                <w:rFonts w:cs="Times New Roman"/>
                <w:szCs w:val="24"/>
              </w:rPr>
              <w:t>, lemia ir sankcijos dydį</w:t>
            </w:r>
            <w:r w:rsidR="005D21DB">
              <w:rPr>
                <w:rFonts w:cs="Times New Roman"/>
                <w:szCs w:val="24"/>
              </w:rPr>
              <w:t xml:space="preserve">. </w:t>
            </w:r>
            <w:r w:rsidR="0001414D">
              <w:rPr>
                <w:rFonts w:cs="Times New Roman"/>
                <w:szCs w:val="24"/>
              </w:rPr>
              <w:t>V</w:t>
            </w:r>
            <w:r w:rsidR="005D21DB">
              <w:rPr>
                <w:rFonts w:cs="Times New Roman"/>
                <w:szCs w:val="24"/>
              </w:rPr>
              <w:t>ien pats didelės vertės turto požymis, vertinant jį atsietai nuo kitų nusik</w:t>
            </w:r>
            <w:r w:rsidR="0001414D">
              <w:rPr>
                <w:rFonts w:cs="Times New Roman"/>
                <w:szCs w:val="24"/>
              </w:rPr>
              <w:t>alstamos veikos požymių, nelemia</w:t>
            </w:r>
            <w:r w:rsidR="005D21DB">
              <w:rPr>
                <w:rFonts w:cs="Times New Roman"/>
                <w:szCs w:val="24"/>
              </w:rPr>
              <w:t xml:space="preserve"> sankcijos dydžio. Pažymėtina, kad BK 189 straipsnyje numatyta nusikalstama veika pasireiškia nusikalstamu būdu gauto turto įgijimu, valdymu, naudojimusi arba realizavimu, t. y. konkrečiomis veikomis, nesant jokių papildomų aplinkybių (pavyzdžiui, prievartos, apgaulės ir pan.), kurios esmingai didintų šios nusikalstamos veikos pavojingumą. Atkreiptinas dėmesys ir į tai, kad, pavyzdžiui, BK 185 straipsnyje („Radinio pasisavinimas“) ar BK 187 straipsnyje („Turto sunaikinimas ar sugadinimas“) taip pat įtvirtinti didelės vertės turto požymiai, tačiau tai nereiškia automatinio šių nusikalstamų veikų priskyrimo sunkių nusikaltimų kategorijai (</w:t>
            </w:r>
            <w:r w:rsidR="009A01FF">
              <w:rPr>
                <w:rFonts w:cs="Times New Roman"/>
                <w:szCs w:val="24"/>
              </w:rPr>
              <w:t xml:space="preserve">maksimalios laisvės atėmimo bausmės </w:t>
            </w:r>
            <w:r w:rsidR="005D21DB">
              <w:rPr>
                <w:rFonts w:cs="Times New Roman"/>
                <w:szCs w:val="24"/>
              </w:rPr>
              <w:t>už minėtas nusikalstamas</w:t>
            </w:r>
            <w:r w:rsidR="0001414D">
              <w:rPr>
                <w:rFonts w:cs="Times New Roman"/>
                <w:szCs w:val="24"/>
              </w:rPr>
              <w:t xml:space="preserve"> veikas</w:t>
            </w:r>
            <w:r w:rsidR="005D21DB">
              <w:rPr>
                <w:rFonts w:cs="Times New Roman"/>
                <w:szCs w:val="24"/>
              </w:rPr>
              <w:t xml:space="preserve"> </w:t>
            </w:r>
            <w:r w:rsidR="009A01FF">
              <w:rPr>
                <w:rFonts w:cs="Times New Roman"/>
                <w:szCs w:val="24"/>
              </w:rPr>
              <w:t xml:space="preserve">– atitinkamai </w:t>
            </w:r>
            <w:r w:rsidR="0001414D">
              <w:rPr>
                <w:rFonts w:cs="Times New Roman"/>
                <w:szCs w:val="24"/>
              </w:rPr>
              <w:t>2</w:t>
            </w:r>
            <w:r w:rsidR="009A01FF">
              <w:rPr>
                <w:rFonts w:cs="Times New Roman"/>
                <w:szCs w:val="24"/>
              </w:rPr>
              <w:t xml:space="preserve"> ir </w:t>
            </w:r>
            <w:r w:rsidR="0001414D">
              <w:rPr>
                <w:rFonts w:cs="Times New Roman"/>
                <w:szCs w:val="24"/>
              </w:rPr>
              <w:t>5</w:t>
            </w:r>
            <w:r w:rsidR="009A01FF">
              <w:rPr>
                <w:rFonts w:cs="Times New Roman"/>
                <w:szCs w:val="24"/>
              </w:rPr>
              <w:t xml:space="preserve"> metai). </w:t>
            </w:r>
            <w:r w:rsidR="005D21DB">
              <w:rPr>
                <w:rFonts w:cs="Times New Roman"/>
                <w:szCs w:val="24"/>
              </w:rPr>
              <w:t xml:space="preserve">Atsižvelgiant į tai, </w:t>
            </w:r>
            <w:r w:rsidR="0001414D">
              <w:rPr>
                <w:rFonts w:cs="Times New Roman"/>
                <w:szCs w:val="24"/>
              </w:rPr>
              <w:t>6</w:t>
            </w:r>
            <w:r w:rsidR="005D21DB">
              <w:rPr>
                <w:rFonts w:cs="Times New Roman"/>
                <w:szCs w:val="24"/>
              </w:rPr>
              <w:t xml:space="preserve"> met</w:t>
            </w:r>
            <w:r w:rsidR="009A01FF">
              <w:rPr>
                <w:rFonts w:cs="Times New Roman"/>
                <w:szCs w:val="24"/>
              </w:rPr>
              <w:t xml:space="preserve">ų laisvės atėmimo bausmė už BK 189 straipsnio 2 dalyje įtvirtintą nusikalstamą veiką atitinka </w:t>
            </w:r>
            <w:r w:rsidR="00AE0F9E">
              <w:rPr>
                <w:rFonts w:cs="Times New Roman"/>
                <w:szCs w:val="24"/>
              </w:rPr>
              <w:t>š</w:t>
            </w:r>
            <w:r w:rsidR="009A01FF">
              <w:rPr>
                <w:rFonts w:cs="Times New Roman"/>
                <w:szCs w:val="24"/>
              </w:rPr>
              <w:t>ios nusikalstamos veikos pavojingumą</w:t>
            </w:r>
            <w:r w:rsidR="00AE0F9E">
              <w:rPr>
                <w:rFonts w:cs="Times New Roman"/>
                <w:szCs w:val="24"/>
              </w:rPr>
              <w:t xml:space="preserve"> ir </w:t>
            </w:r>
            <w:r w:rsidR="009A01FF">
              <w:rPr>
                <w:rFonts w:cs="Times New Roman"/>
                <w:szCs w:val="24"/>
              </w:rPr>
              <w:t>sistemiškai dera su kitomis sankcijomis, numatytomis BK</w:t>
            </w:r>
            <w:r w:rsidR="00AE0F9E">
              <w:rPr>
                <w:rFonts w:cs="Times New Roman"/>
                <w:szCs w:val="24"/>
              </w:rPr>
              <w:t>.</w:t>
            </w:r>
          </w:p>
          <w:p w14:paraId="7DB1200A" w14:textId="6A616FE8" w:rsidR="00AE0F9E" w:rsidRPr="0074691C" w:rsidRDefault="009A01FF" w:rsidP="0097764C">
            <w:pPr>
              <w:jc w:val="both"/>
              <w:rPr>
                <w:rFonts w:cs="Times New Roman"/>
                <w:szCs w:val="24"/>
              </w:rPr>
            </w:pPr>
            <w:r>
              <w:rPr>
                <w:rFonts w:cs="Times New Roman"/>
                <w:szCs w:val="24"/>
              </w:rPr>
              <w:t>T</w:t>
            </w:r>
            <w:r w:rsidR="005107B2">
              <w:rPr>
                <w:rFonts w:cs="Times New Roman"/>
                <w:szCs w:val="24"/>
              </w:rPr>
              <w:t xml:space="preserve">rečia, </w:t>
            </w:r>
            <w:r w:rsidR="00AE0F9E">
              <w:rPr>
                <w:rFonts w:cs="Times New Roman"/>
                <w:szCs w:val="24"/>
              </w:rPr>
              <w:t xml:space="preserve">nepaisant to, kad tiek BK </w:t>
            </w:r>
            <w:r w:rsidR="00A6150D">
              <w:rPr>
                <w:rFonts w:cs="Times New Roman"/>
                <w:szCs w:val="24"/>
              </w:rPr>
              <w:t>189</w:t>
            </w:r>
            <w:r w:rsidR="00AE0F9E">
              <w:rPr>
                <w:rFonts w:cs="Times New Roman"/>
                <w:szCs w:val="24"/>
              </w:rPr>
              <w:t xml:space="preserve"> straipsnis, tiek BK 216 straipsnis nustato baudžiamąją atsakomybę už nusikalstamas veikas, susijusias su pinigų plovimu, šių nusikalstamų veikų pavojingumas yra skirtingas. Kaip minėta, pagal BK 189 straipsnį baudžiamoji atsakomybė atsiranda nustačius patį nusikalstamu būdu gauto turto įgijimo, valdymo, naudojimosi arba realizavimo faktą. Tuo tarpu </w:t>
            </w:r>
            <w:r w:rsidR="00AE0F9E">
              <w:rPr>
                <w:rFonts w:cs="Times New Roman"/>
                <w:szCs w:val="24"/>
              </w:rPr>
              <w:lastRenderedPageBreak/>
              <w:t>BK 216 straipsnyje įtvirtina nusikalstama veika yra susijusi ir su papildomais požymiais, didinančiais šios veikos pavojingumą (</w:t>
            </w:r>
            <w:r w:rsidR="0001414D">
              <w:rPr>
                <w:rFonts w:cs="Times New Roman"/>
                <w:szCs w:val="24"/>
              </w:rPr>
              <w:t>siekiu</w:t>
            </w:r>
            <w:r w:rsidR="00AE0F9E">
              <w:rPr>
                <w:rFonts w:cs="Times New Roman"/>
                <w:szCs w:val="24"/>
              </w:rPr>
              <w:t xml:space="preserve"> įteisinti kito asmens turtą, </w:t>
            </w:r>
            <w:r w:rsidR="0001414D">
              <w:rPr>
                <w:rFonts w:cs="Times New Roman"/>
                <w:szCs w:val="24"/>
              </w:rPr>
              <w:t>tikrojo turto šaltinio slėpimu</w:t>
            </w:r>
            <w:r w:rsidR="0097764C">
              <w:rPr>
                <w:rFonts w:cs="Times New Roman"/>
                <w:szCs w:val="24"/>
              </w:rPr>
              <w:t xml:space="preserve"> ir kt.). Atsižvelgiant į tai, skirtingas šių nusikalstamų veikų pavojingumo pobūdis lemia ir skirtingų sankcijų  </w:t>
            </w:r>
            <w:r w:rsidR="00D42546">
              <w:rPr>
                <w:rFonts w:cs="Times New Roman"/>
                <w:szCs w:val="24"/>
              </w:rPr>
              <w:t xml:space="preserve">už jas </w:t>
            </w:r>
            <w:r w:rsidR="0097764C">
              <w:rPr>
                <w:rFonts w:cs="Times New Roman"/>
                <w:szCs w:val="24"/>
              </w:rPr>
              <w:t xml:space="preserve">nustatymą. Tai atitinka tiek </w:t>
            </w:r>
            <w:r w:rsidR="0097764C" w:rsidRPr="00004346">
              <w:rPr>
                <w:szCs w:val="24"/>
              </w:rPr>
              <w:t>2018 m. spalio 23 d.</w:t>
            </w:r>
            <w:r w:rsidR="0097764C">
              <w:rPr>
                <w:szCs w:val="24"/>
              </w:rPr>
              <w:t xml:space="preserve"> Europos Parlamento ir Tarybos direktyvoje</w:t>
            </w:r>
            <w:r w:rsidR="0097764C" w:rsidRPr="00004346">
              <w:rPr>
                <w:szCs w:val="24"/>
              </w:rPr>
              <w:t xml:space="preserve"> 2018/1673 dėl kovos su pinigų plovimu baudžiamosios teisės priemonėmis</w:t>
            </w:r>
            <w:r w:rsidR="0097764C">
              <w:rPr>
                <w:rFonts w:cs="Times New Roman"/>
                <w:szCs w:val="24"/>
              </w:rPr>
              <w:t xml:space="preserve"> nustatytus reikalavimus, tiek MONEYVAL komiteto rekomendacijas.</w:t>
            </w:r>
          </w:p>
        </w:tc>
      </w:tr>
    </w:tbl>
    <w:p w14:paraId="4772808B" w14:textId="745E22E6" w:rsidR="00415F87" w:rsidRPr="005F43FA" w:rsidRDefault="00415F87" w:rsidP="00CF2553">
      <w:pPr>
        <w:spacing w:line="240" w:lineRule="auto"/>
        <w:rPr>
          <w:rFonts w:cs="Times New Roman"/>
          <w:szCs w:val="24"/>
        </w:rPr>
      </w:pPr>
      <w:bookmarkStart w:id="0" w:name="_GoBack"/>
      <w:bookmarkEnd w:id="0"/>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3E0B5" w14:textId="77777777" w:rsidR="002A0C69" w:rsidRDefault="002A0C69" w:rsidP="001A74E1">
      <w:pPr>
        <w:spacing w:after="0" w:line="240" w:lineRule="auto"/>
      </w:pPr>
      <w:r>
        <w:separator/>
      </w:r>
    </w:p>
  </w:endnote>
  <w:endnote w:type="continuationSeparator" w:id="0">
    <w:p w14:paraId="5771124A" w14:textId="77777777" w:rsidR="002A0C69" w:rsidRDefault="002A0C69" w:rsidP="001A74E1">
      <w:pPr>
        <w:spacing w:after="0" w:line="240" w:lineRule="auto"/>
      </w:pPr>
      <w:r>
        <w:continuationSeparator/>
      </w:r>
    </w:p>
  </w:endnote>
  <w:endnote w:type="continuationNotice" w:id="1">
    <w:p w14:paraId="119A10BA" w14:textId="77777777" w:rsidR="002A0C69" w:rsidRDefault="002A0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宋体">
    <w:charset w:val="00"/>
    <w:family w:val="auto"/>
    <w:pitch w:val="variable"/>
  </w:font>
  <w:font w:name="Mangal, 'Liberation Mono'">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7E77D" w14:textId="77777777" w:rsidR="002A0C69" w:rsidRDefault="002A0C69" w:rsidP="001A74E1">
      <w:pPr>
        <w:spacing w:after="0" w:line="240" w:lineRule="auto"/>
      </w:pPr>
      <w:r>
        <w:separator/>
      </w:r>
    </w:p>
  </w:footnote>
  <w:footnote w:type="continuationSeparator" w:id="0">
    <w:p w14:paraId="71663AD3" w14:textId="77777777" w:rsidR="002A0C69" w:rsidRDefault="002A0C69" w:rsidP="001A74E1">
      <w:pPr>
        <w:spacing w:after="0" w:line="240" w:lineRule="auto"/>
      </w:pPr>
      <w:r>
        <w:continuationSeparator/>
      </w:r>
    </w:p>
  </w:footnote>
  <w:footnote w:type="continuationNotice" w:id="1">
    <w:p w14:paraId="5DC7E31A" w14:textId="77777777" w:rsidR="002A0C69" w:rsidRDefault="002A0C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D42546">
          <w:rPr>
            <w:noProof/>
          </w:rPr>
          <w:t>2</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D38"/>
    <w:multiLevelType w:val="hybridMultilevel"/>
    <w:tmpl w:val="F5CC25B0"/>
    <w:lvl w:ilvl="0" w:tplc="BD68C33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9"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1"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15"/>
  </w:num>
  <w:num w:numId="7">
    <w:abstractNumId w:val="7"/>
  </w:num>
  <w:num w:numId="8">
    <w:abstractNumId w:val="1"/>
  </w:num>
  <w:num w:numId="9">
    <w:abstractNumId w:val="11"/>
  </w:num>
  <w:num w:numId="10">
    <w:abstractNumId w:val="4"/>
  </w:num>
  <w:num w:numId="11">
    <w:abstractNumId w:val="3"/>
  </w:num>
  <w:num w:numId="12">
    <w:abstractNumId w:val="9"/>
  </w:num>
  <w:num w:numId="13">
    <w:abstractNumId w:val="10"/>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4346"/>
    <w:rsid w:val="00006D83"/>
    <w:rsid w:val="000105C5"/>
    <w:rsid w:val="00011F89"/>
    <w:rsid w:val="0001325B"/>
    <w:rsid w:val="0001414D"/>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363E"/>
    <w:rsid w:val="000B3662"/>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01E4"/>
    <w:rsid w:val="0013472B"/>
    <w:rsid w:val="001371A4"/>
    <w:rsid w:val="001427A4"/>
    <w:rsid w:val="00142C80"/>
    <w:rsid w:val="0014586D"/>
    <w:rsid w:val="00147839"/>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D6C11"/>
    <w:rsid w:val="001E14C1"/>
    <w:rsid w:val="001E1DAC"/>
    <w:rsid w:val="001E2FB6"/>
    <w:rsid w:val="001E5AEB"/>
    <w:rsid w:val="001E7F07"/>
    <w:rsid w:val="001F0BA8"/>
    <w:rsid w:val="001F6612"/>
    <w:rsid w:val="001F6E6F"/>
    <w:rsid w:val="001F71A0"/>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0C69"/>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F1A58"/>
    <w:rsid w:val="003F5015"/>
    <w:rsid w:val="003F5C06"/>
    <w:rsid w:val="003F5DD9"/>
    <w:rsid w:val="003F6EBC"/>
    <w:rsid w:val="00415F87"/>
    <w:rsid w:val="004223AE"/>
    <w:rsid w:val="00424471"/>
    <w:rsid w:val="004245E2"/>
    <w:rsid w:val="004315DD"/>
    <w:rsid w:val="00432375"/>
    <w:rsid w:val="004418C5"/>
    <w:rsid w:val="0044766B"/>
    <w:rsid w:val="00450C04"/>
    <w:rsid w:val="004514C5"/>
    <w:rsid w:val="004569A7"/>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07B2"/>
    <w:rsid w:val="005144AA"/>
    <w:rsid w:val="005209CC"/>
    <w:rsid w:val="00526545"/>
    <w:rsid w:val="00527807"/>
    <w:rsid w:val="005341DB"/>
    <w:rsid w:val="00534CB6"/>
    <w:rsid w:val="005403AC"/>
    <w:rsid w:val="005409AE"/>
    <w:rsid w:val="00540D33"/>
    <w:rsid w:val="00540F3C"/>
    <w:rsid w:val="00544C0C"/>
    <w:rsid w:val="00545038"/>
    <w:rsid w:val="00546C48"/>
    <w:rsid w:val="00554089"/>
    <w:rsid w:val="00557F5F"/>
    <w:rsid w:val="00564B20"/>
    <w:rsid w:val="00565A80"/>
    <w:rsid w:val="005727C3"/>
    <w:rsid w:val="00580044"/>
    <w:rsid w:val="005817D1"/>
    <w:rsid w:val="005864BA"/>
    <w:rsid w:val="0058714C"/>
    <w:rsid w:val="00594633"/>
    <w:rsid w:val="00596F76"/>
    <w:rsid w:val="005978F9"/>
    <w:rsid w:val="005A0133"/>
    <w:rsid w:val="005A0F4F"/>
    <w:rsid w:val="005A157A"/>
    <w:rsid w:val="005A16AF"/>
    <w:rsid w:val="005A18F8"/>
    <w:rsid w:val="005A3B54"/>
    <w:rsid w:val="005A3F6F"/>
    <w:rsid w:val="005B28C2"/>
    <w:rsid w:val="005B2D1A"/>
    <w:rsid w:val="005B5D51"/>
    <w:rsid w:val="005C135C"/>
    <w:rsid w:val="005C1E60"/>
    <w:rsid w:val="005C1FA6"/>
    <w:rsid w:val="005C32D3"/>
    <w:rsid w:val="005D21DB"/>
    <w:rsid w:val="005D2896"/>
    <w:rsid w:val="005D4147"/>
    <w:rsid w:val="005E1CE3"/>
    <w:rsid w:val="005E26F2"/>
    <w:rsid w:val="005E2C7E"/>
    <w:rsid w:val="005E32A0"/>
    <w:rsid w:val="005E3E09"/>
    <w:rsid w:val="005F1948"/>
    <w:rsid w:val="005F43FA"/>
    <w:rsid w:val="006011C8"/>
    <w:rsid w:val="0060124B"/>
    <w:rsid w:val="0060180E"/>
    <w:rsid w:val="00603612"/>
    <w:rsid w:val="00606C03"/>
    <w:rsid w:val="00611AF4"/>
    <w:rsid w:val="00616125"/>
    <w:rsid w:val="006170C6"/>
    <w:rsid w:val="006310E3"/>
    <w:rsid w:val="006321A1"/>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00644"/>
    <w:rsid w:val="00720BA1"/>
    <w:rsid w:val="00723C27"/>
    <w:rsid w:val="00725F5D"/>
    <w:rsid w:val="00726020"/>
    <w:rsid w:val="00726899"/>
    <w:rsid w:val="007335D4"/>
    <w:rsid w:val="007408F8"/>
    <w:rsid w:val="0074312A"/>
    <w:rsid w:val="007445EE"/>
    <w:rsid w:val="0074631F"/>
    <w:rsid w:val="0074691C"/>
    <w:rsid w:val="00754BCF"/>
    <w:rsid w:val="00755E2A"/>
    <w:rsid w:val="00762159"/>
    <w:rsid w:val="00765D32"/>
    <w:rsid w:val="00770554"/>
    <w:rsid w:val="00771E6A"/>
    <w:rsid w:val="007738DA"/>
    <w:rsid w:val="007777DA"/>
    <w:rsid w:val="00784FCE"/>
    <w:rsid w:val="00790F32"/>
    <w:rsid w:val="007952DD"/>
    <w:rsid w:val="007B23DB"/>
    <w:rsid w:val="007C0600"/>
    <w:rsid w:val="007D0685"/>
    <w:rsid w:val="007D104B"/>
    <w:rsid w:val="007D3929"/>
    <w:rsid w:val="007D3B2B"/>
    <w:rsid w:val="007D4D8F"/>
    <w:rsid w:val="007E557A"/>
    <w:rsid w:val="007E6A58"/>
    <w:rsid w:val="007F1063"/>
    <w:rsid w:val="007F2C38"/>
    <w:rsid w:val="00801012"/>
    <w:rsid w:val="00803F6D"/>
    <w:rsid w:val="00813CB8"/>
    <w:rsid w:val="0081420F"/>
    <w:rsid w:val="00815438"/>
    <w:rsid w:val="00821186"/>
    <w:rsid w:val="008218C0"/>
    <w:rsid w:val="0082582E"/>
    <w:rsid w:val="00826DA7"/>
    <w:rsid w:val="008310F8"/>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36E1"/>
    <w:rsid w:val="00913A29"/>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0663"/>
    <w:rsid w:val="00973D0C"/>
    <w:rsid w:val="0097764C"/>
    <w:rsid w:val="00977A1F"/>
    <w:rsid w:val="00980296"/>
    <w:rsid w:val="00982399"/>
    <w:rsid w:val="00991676"/>
    <w:rsid w:val="00991FA1"/>
    <w:rsid w:val="00993425"/>
    <w:rsid w:val="00993B6E"/>
    <w:rsid w:val="00994D28"/>
    <w:rsid w:val="00995443"/>
    <w:rsid w:val="009A01FF"/>
    <w:rsid w:val="009A1005"/>
    <w:rsid w:val="009A673F"/>
    <w:rsid w:val="009A6788"/>
    <w:rsid w:val="009B0744"/>
    <w:rsid w:val="009B1261"/>
    <w:rsid w:val="009B231D"/>
    <w:rsid w:val="009B5580"/>
    <w:rsid w:val="009B7E6B"/>
    <w:rsid w:val="009C0BBA"/>
    <w:rsid w:val="009C1D86"/>
    <w:rsid w:val="009C35C0"/>
    <w:rsid w:val="009C5F86"/>
    <w:rsid w:val="009D6985"/>
    <w:rsid w:val="009E009E"/>
    <w:rsid w:val="009E19C1"/>
    <w:rsid w:val="009E635F"/>
    <w:rsid w:val="009F385C"/>
    <w:rsid w:val="00A05FDA"/>
    <w:rsid w:val="00A07FB1"/>
    <w:rsid w:val="00A10A05"/>
    <w:rsid w:val="00A118AE"/>
    <w:rsid w:val="00A12215"/>
    <w:rsid w:val="00A123C2"/>
    <w:rsid w:val="00A2150A"/>
    <w:rsid w:val="00A24232"/>
    <w:rsid w:val="00A25966"/>
    <w:rsid w:val="00A316E8"/>
    <w:rsid w:val="00A31BE9"/>
    <w:rsid w:val="00A3349B"/>
    <w:rsid w:val="00A42182"/>
    <w:rsid w:val="00A507E5"/>
    <w:rsid w:val="00A6150D"/>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4F7D"/>
    <w:rsid w:val="00AB6AE9"/>
    <w:rsid w:val="00AD0F49"/>
    <w:rsid w:val="00AD2C91"/>
    <w:rsid w:val="00AD2DB7"/>
    <w:rsid w:val="00AD6A50"/>
    <w:rsid w:val="00AE0995"/>
    <w:rsid w:val="00AE0F9E"/>
    <w:rsid w:val="00AE44A2"/>
    <w:rsid w:val="00AE4530"/>
    <w:rsid w:val="00AE50AE"/>
    <w:rsid w:val="00AF195A"/>
    <w:rsid w:val="00AF2744"/>
    <w:rsid w:val="00AF4FF3"/>
    <w:rsid w:val="00AF5B67"/>
    <w:rsid w:val="00AF77AD"/>
    <w:rsid w:val="00AF7FB4"/>
    <w:rsid w:val="00B01443"/>
    <w:rsid w:val="00B075C4"/>
    <w:rsid w:val="00B1596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153"/>
    <w:rsid w:val="00B82E77"/>
    <w:rsid w:val="00B850BE"/>
    <w:rsid w:val="00B85312"/>
    <w:rsid w:val="00B85949"/>
    <w:rsid w:val="00B86100"/>
    <w:rsid w:val="00B9174F"/>
    <w:rsid w:val="00B92D18"/>
    <w:rsid w:val="00BA4A2A"/>
    <w:rsid w:val="00BA6F12"/>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3F92"/>
    <w:rsid w:val="00C46820"/>
    <w:rsid w:val="00C53F8C"/>
    <w:rsid w:val="00C544FD"/>
    <w:rsid w:val="00C54764"/>
    <w:rsid w:val="00C54BE8"/>
    <w:rsid w:val="00C56F94"/>
    <w:rsid w:val="00C6629E"/>
    <w:rsid w:val="00C66F54"/>
    <w:rsid w:val="00C7315D"/>
    <w:rsid w:val="00C77144"/>
    <w:rsid w:val="00C83BA5"/>
    <w:rsid w:val="00C866C0"/>
    <w:rsid w:val="00C97074"/>
    <w:rsid w:val="00CA058C"/>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0B0B"/>
    <w:rsid w:val="00D01541"/>
    <w:rsid w:val="00D02223"/>
    <w:rsid w:val="00D0449A"/>
    <w:rsid w:val="00D10703"/>
    <w:rsid w:val="00D1683C"/>
    <w:rsid w:val="00D208C9"/>
    <w:rsid w:val="00D20B2D"/>
    <w:rsid w:val="00D26169"/>
    <w:rsid w:val="00D41389"/>
    <w:rsid w:val="00D42546"/>
    <w:rsid w:val="00D43E3B"/>
    <w:rsid w:val="00D4424F"/>
    <w:rsid w:val="00D46783"/>
    <w:rsid w:val="00D50909"/>
    <w:rsid w:val="00D561BD"/>
    <w:rsid w:val="00D61EE7"/>
    <w:rsid w:val="00D677CC"/>
    <w:rsid w:val="00D74576"/>
    <w:rsid w:val="00D76E1B"/>
    <w:rsid w:val="00D8283E"/>
    <w:rsid w:val="00D87A33"/>
    <w:rsid w:val="00D91E25"/>
    <w:rsid w:val="00D97B72"/>
    <w:rsid w:val="00DA4B43"/>
    <w:rsid w:val="00DA75F3"/>
    <w:rsid w:val="00DB14F0"/>
    <w:rsid w:val="00DB3C1B"/>
    <w:rsid w:val="00DB522C"/>
    <w:rsid w:val="00DB5ABD"/>
    <w:rsid w:val="00DB76BD"/>
    <w:rsid w:val="00DC5961"/>
    <w:rsid w:val="00DC7AFD"/>
    <w:rsid w:val="00DD0288"/>
    <w:rsid w:val="00DD11C8"/>
    <w:rsid w:val="00DD1E48"/>
    <w:rsid w:val="00DD5105"/>
    <w:rsid w:val="00DD6376"/>
    <w:rsid w:val="00DE2D29"/>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A799D"/>
    <w:rsid w:val="00EB0966"/>
    <w:rsid w:val="00EB1862"/>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1520"/>
    <w:rsid w:val="00F02B57"/>
    <w:rsid w:val="00F03D30"/>
    <w:rsid w:val="00F047CE"/>
    <w:rsid w:val="00F17DAF"/>
    <w:rsid w:val="00F234FB"/>
    <w:rsid w:val="00F24F7D"/>
    <w:rsid w:val="00F3282F"/>
    <w:rsid w:val="00F3370E"/>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97ABA"/>
    <w:rsid w:val="00FA2988"/>
    <w:rsid w:val="00FA42CB"/>
    <w:rsid w:val="00FB1199"/>
    <w:rsid w:val="00FB4DC3"/>
    <w:rsid w:val="00FC5D30"/>
    <w:rsid w:val="00FC6128"/>
    <w:rsid w:val="00FC7789"/>
    <w:rsid w:val="00FD31AA"/>
    <w:rsid w:val="00FD38EB"/>
    <w:rsid w:val="00FD3CA9"/>
    <w:rsid w:val="00FD5346"/>
    <w:rsid w:val="00FD714E"/>
    <w:rsid w:val="00FE14C3"/>
    <w:rsid w:val="00FE48C2"/>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Pasilymai2">
    <w:name w:val="Pasiūlymai2"/>
    <w:basedOn w:val="Standard"/>
    <w:rsid w:val="00004346"/>
    <w:pPr>
      <w:suppressAutoHyphens/>
      <w:jc w:val="both"/>
    </w:pPr>
    <w:rPr>
      <w:rFonts w:ascii="Liberation Serif" w:eastAsia="SimSun, 宋体" w:hAnsi="Liberation Serif" w:cs="Mangal, 'Liberation Mono'"/>
      <w:bCs/>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38091">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56B-A600-45B2-8FE6-1C8F806C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3266</Words>
  <Characters>1862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2020-12-16T20:43:00Z</dcterms:created>
  <dc:creator>Jūratė Peciukonytė</dc:creator>
  <cp:lastModifiedBy>Tautvydas Žėkas</cp:lastModifiedBy>
  <cp:lastPrinted>2018-03-29T06:10:00Z</cp:lastPrinted>
  <dcterms:modified xsi:type="dcterms:W3CDTF">2020-12-19T17:44:00Z</dcterms:modified>
  <cp:revision>11</cp:revision>
</cp:coreProperties>
</file>