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DC46" w14:textId="77777777" w:rsidR="00FD29FB" w:rsidRPr="00E81374" w:rsidRDefault="00FD29FB" w:rsidP="00F704C2">
      <w:pPr>
        <w:autoSpaceDE w:val="0"/>
        <w:autoSpaceDN w:val="0"/>
        <w:adjustRightInd w:val="0"/>
        <w:spacing w:after="0" w:line="240" w:lineRule="auto"/>
        <w:jc w:val="center"/>
        <w:rPr>
          <w:rFonts w:ascii="Times New Roman" w:hAnsi="Times New Roman" w:cs="Times New Roman"/>
          <w:b/>
          <w:bCs/>
        </w:rPr>
      </w:pPr>
      <w:r w:rsidRPr="00E81374">
        <w:rPr>
          <w:rFonts w:ascii="Times New Roman" w:hAnsi="Times New Roman" w:cs="Times New Roman"/>
          <w:b/>
          <w:bCs/>
        </w:rPr>
        <w:t>DERINIMO PAŽYMA</w:t>
      </w:r>
    </w:p>
    <w:p w14:paraId="50221525" w14:textId="445B0638" w:rsidR="00FD29FB" w:rsidRDefault="00FD29FB" w:rsidP="00F704C2">
      <w:pPr>
        <w:pStyle w:val="TableContents"/>
        <w:jc w:val="center"/>
        <w:rPr>
          <w:rFonts w:cs="Times New Roman"/>
          <w:b/>
          <w:bCs/>
          <w:sz w:val="22"/>
          <w:szCs w:val="22"/>
        </w:rPr>
      </w:pPr>
      <w:r w:rsidRPr="00E81374">
        <w:rPr>
          <w:rFonts w:cs="Times New Roman"/>
          <w:b/>
          <w:bCs/>
          <w:sz w:val="22"/>
          <w:szCs w:val="22"/>
        </w:rPr>
        <w:t xml:space="preserve">DĖL LIETUVOS RESPUBLIKOS VYRIAUSYBĖS NUTARIMO „DĖL </w:t>
      </w:r>
      <w:r w:rsidRPr="00E81374">
        <w:rPr>
          <w:rFonts w:cs="Times New Roman"/>
          <w:b/>
          <w:caps/>
          <w:sz w:val="22"/>
          <w:szCs w:val="22"/>
          <w:lang w:eastAsia="lt-LT"/>
        </w:rPr>
        <w:t>pavyzdinių už korupcijai atsparios aplinkos kūrimą atsakingų subjektų nuostatų ir pareigybIŲ aprašymŲ patvirtinimo</w:t>
      </w:r>
      <w:r w:rsidRPr="00E81374">
        <w:rPr>
          <w:rFonts w:cs="Times New Roman"/>
          <w:b/>
          <w:bCs/>
          <w:sz w:val="22"/>
          <w:szCs w:val="22"/>
        </w:rPr>
        <w:t>“ PROJEKTO</w:t>
      </w:r>
    </w:p>
    <w:p w14:paraId="2813F138" w14:textId="77777777" w:rsidR="000F72CA" w:rsidRDefault="000F72CA" w:rsidP="00F704C2">
      <w:pPr>
        <w:pStyle w:val="TableContents"/>
        <w:jc w:val="center"/>
        <w:rPr>
          <w:rFonts w:cs="Times New Roman"/>
          <w:b/>
          <w:bCs/>
          <w:sz w:val="22"/>
          <w:szCs w:val="22"/>
        </w:rPr>
      </w:pPr>
    </w:p>
    <w:p w14:paraId="1597FE26" w14:textId="77777777" w:rsidR="000F72CA" w:rsidRPr="00E81374" w:rsidRDefault="000F72CA" w:rsidP="00F704C2">
      <w:pPr>
        <w:pStyle w:val="TableContents"/>
        <w:jc w:val="center"/>
        <w:rPr>
          <w:rFonts w:cs="Times New Roman"/>
          <w:b/>
          <w:bCs/>
          <w:sz w:val="22"/>
          <w:szCs w:val="22"/>
        </w:rPr>
      </w:pPr>
    </w:p>
    <w:tbl>
      <w:tblPr>
        <w:tblpPr w:leftFromText="180" w:rightFromText="180" w:vertAnchor="text" w:tblpY="1"/>
        <w:tblOverlap w:val="neve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159"/>
        <w:gridCol w:w="6095"/>
        <w:gridCol w:w="5699"/>
      </w:tblGrid>
      <w:tr w:rsidR="000F72CA" w:rsidRPr="002E5568" w14:paraId="3D38414C" w14:textId="77777777" w:rsidTr="00133EEC">
        <w:tc>
          <w:tcPr>
            <w:tcW w:w="562" w:type="dxa"/>
            <w:vAlign w:val="center"/>
          </w:tcPr>
          <w:p w14:paraId="49EDB52E" w14:textId="77777777" w:rsidR="000F72CA" w:rsidRPr="00C31CA7" w:rsidRDefault="000F72CA" w:rsidP="00133EEC">
            <w:pPr>
              <w:spacing w:after="0" w:line="240" w:lineRule="auto"/>
              <w:jc w:val="center"/>
              <w:rPr>
                <w:rFonts w:ascii="Times New Roman" w:eastAsia="Andale Sans UI" w:hAnsi="Times New Roman" w:cs="Times New Roman"/>
                <w:b/>
                <w:bCs/>
                <w:lang w:bidi="en-US"/>
              </w:rPr>
            </w:pPr>
            <w:r w:rsidRPr="00C31CA7">
              <w:rPr>
                <w:rFonts w:ascii="Times New Roman" w:eastAsia="Andale Sans UI" w:hAnsi="Times New Roman" w:cs="Times New Roman"/>
                <w:b/>
                <w:bCs/>
                <w:lang w:bidi="en-US"/>
              </w:rPr>
              <w:t>Eil. Nr.</w:t>
            </w:r>
          </w:p>
          <w:p w14:paraId="3F4C876B" w14:textId="77777777" w:rsidR="000F72CA" w:rsidRPr="00C31CA7" w:rsidRDefault="000F72CA" w:rsidP="00133EEC">
            <w:pPr>
              <w:spacing w:after="0" w:line="240" w:lineRule="auto"/>
              <w:jc w:val="center"/>
              <w:rPr>
                <w:rFonts w:ascii="Times New Roman" w:eastAsia="Andale Sans UI" w:hAnsi="Times New Roman" w:cs="Times New Roman"/>
                <w:b/>
                <w:bCs/>
                <w:lang w:bidi="en-US"/>
              </w:rPr>
            </w:pPr>
          </w:p>
        </w:tc>
        <w:tc>
          <w:tcPr>
            <w:tcW w:w="2159" w:type="dxa"/>
            <w:vAlign w:val="center"/>
          </w:tcPr>
          <w:p w14:paraId="75F3E850" w14:textId="77777777" w:rsidR="000F72CA" w:rsidRPr="00C31CA7" w:rsidRDefault="000F72CA" w:rsidP="00133EEC">
            <w:pPr>
              <w:spacing w:after="0" w:line="240" w:lineRule="auto"/>
              <w:jc w:val="center"/>
              <w:rPr>
                <w:rFonts w:ascii="Times New Roman" w:eastAsia="Andale Sans UI" w:hAnsi="Times New Roman" w:cs="Times New Roman"/>
                <w:b/>
                <w:bCs/>
                <w:lang w:bidi="en-US"/>
              </w:rPr>
            </w:pPr>
            <w:r w:rsidRPr="00C31CA7">
              <w:rPr>
                <w:rFonts w:ascii="Times New Roman" w:eastAsia="Andale Sans UI" w:hAnsi="Times New Roman" w:cs="Times New Roman"/>
                <w:b/>
                <w:bCs/>
                <w:lang w:bidi="en-US"/>
              </w:rPr>
              <w:t>Institucijos, su kuria derinta, pavadinimas, rašto data ir numeris</w:t>
            </w:r>
          </w:p>
        </w:tc>
        <w:tc>
          <w:tcPr>
            <w:tcW w:w="6095" w:type="dxa"/>
            <w:vAlign w:val="center"/>
          </w:tcPr>
          <w:p w14:paraId="29243A1A" w14:textId="77777777" w:rsidR="000F72CA" w:rsidRPr="00C31CA7" w:rsidRDefault="000F72CA" w:rsidP="00133EEC">
            <w:pPr>
              <w:spacing w:after="0" w:line="240" w:lineRule="auto"/>
              <w:ind w:firstLine="317"/>
              <w:jc w:val="center"/>
              <w:rPr>
                <w:rFonts w:ascii="Times New Roman" w:eastAsia="Andale Sans UI" w:hAnsi="Times New Roman" w:cs="Times New Roman"/>
                <w:b/>
                <w:bCs/>
                <w:lang w:bidi="en-US"/>
              </w:rPr>
            </w:pPr>
            <w:r w:rsidRPr="00C31CA7">
              <w:rPr>
                <w:rFonts w:ascii="Times New Roman" w:eastAsia="Andale Sans UI" w:hAnsi="Times New Roman" w:cs="Times New Roman"/>
                <w:b/>
                <w:bCs/>
                <w:lang w:bidi="en-US"/>
              </w:rPr>
              <w:t>Pastabos ir pasiūlymai</w:t>
            </w:r>
          </w:p>
        </w:tc>
        <w:tc>
          <w:tcPr>
            <w:tcW w:w="5699" w:type="dxa"/>
            <w:vAlign w:val="center"/>
          </w:tcPr>
          <w:p w14:paraId="6DD5C6CB" w14:textId="77777777" w:rsidR="000F72CA" w:rsidRPr="00C31CA7" w:rsidRDefault="000F72CA" w:rsidP="00133EEC">
            <w:pPr>
              <w:spacing w:after="0" w:line="240" w:lineRule="auto"/>
              <w:jc w:val="center"/>
              <w:rPr>
                <w:rFonts w:ascii="Times New Roman" w:eastAsia="Andale Sans UI" w:hAnsi="Times New Roman" w:cs="Times New Roman"/>
                <w:b/>
                <w:bCs/>
                <w:lang w:bidi="en-US"/>
              </w:rPr>
            </w:pPr>
            <w:r w:rsidRPr="00C31CA7">
              <w:rPr>
                <w:rFonts w:ascii="Times New Roman" w:eastAsia="Andale Sans UI" w:hAnsi="Times New Roman" w:cs="Times New Roman"/>
                <w:b/>
                <w:bCs/>
                <w:lang w:bidi="en-US"/>
              </w:rPr>
              <w:t>Žyma apie pastabas ir pasiūlymus, į kuriuos</w:t>
            </w:r>
            <w:r w:rsidRPr="00C31CA7">
              <w:rPr>
                <w:rFonts w:ascii="Times New Roman" w:eastAsia="Andale Sans UI" w:hAnsi="Times New Roman" w:cs="Times New Roman"/>
                <w:b/>
                <w:bCs/>
                <w:lang w:bidi="en-US"/>
              </w:rPr>
              <w:br/>
              <w:t>nebuvo atsižvelgta arba atsižvelgta iš dalies</w:t>
            </w:r>
          </w:p>
        </w:tc>
      </w:tr>
      <w:tr w:rsidR="00345EEC" w:rsidRPr="002E5568" w14:paraId="44BF3339" w14:textId="77777777" w:rsidTr="00133EEC">
        <w:tc>
          <w:tcPr>
            <w:tcW w:w="562" w:type="dxa"/>
          </w:tcPr>
          <w:p w14:paraId="761CF3EF" w14:textId="24491127" w:rsidR="00345EEC" w:rsidRDefault="00345EEC" w:rsidP="00133EEC">
            <w:pPr>
              <w:spacing w:after="0" w:line="240" w:lineRule="auto"/>
              <w:jc w:val="center"/>
              <w:rPr>
                <w:rFonts w:ascii="Times New Roman" w:eastAsia="Andale Sans UI" w:hAnsi="Times New Roman" w:cs="Times New Roman"/>
                <w:b/>
                <w:bCs/>
                <w:lang w:bidi="en-US"/>
              </w:rPr>
            </w:pPr>
            <w:r>
              <w:rPr>
                <w:rFonts w:ascii="Times New Roman" w:eastAsia="Andale Sans UI" w:hAnsi="Times New Roman" w:cs="Times New Roman"/>
                <w:b/>
                <w:bCs/>
                <w:lang w:bidi="en-US"/>
              </w:rPr>
              <w:t>1.</w:t>
            </w:r>
          </w:p>
          <w:p w14:paraId="5F6C903E" w14:textId="77777777" w:rsidR="00345EEC" w:rsidRPr="00C31CA7" w:rsidRDefault="00345EEC" w:rsidP="00133EEC">
            <w:pPr>
              <w:spacing w:after="0" w:line="240" w:lineRule="auto"/>
              <w:jc w:val="center"/>
              <w:rPr>
                <w:rFonts w:ascii="Times New Roman" w:eastAsia="Andale Sans UI" w:hAnsi="Times New Roman" w:cs="Times New Roman"/>
                <w:b/>
                <w:bCs/>
                <w:lang w:bidi="en-US"/>
              </w:rPr>
            </w:pPr>
          </w:p>
        </w:tc>
        <w:tc>
          <w:tcPr>
            <w:tcW w:w="2159" w:type="dxa"/>
          </w:tcPr>
          <w:p w14:paraId="5D605638" w14:textId="77777777" w:rsidR="00345EEC" w:rsidRDefault="00345EEC" w:rsidP="00133EEC">
            <w:pPr>
              <w:spacing w:after="0" w:line="240" w:lineRule="auto"/>
              <w:jc w:val="both"/>
              <w:rPr>
                <w:rFonts w:ascii="Times New Roman" w:hAnsi="Times New Roman" w:cs="Times New Roman"/>
                <w:b/>
                <w:bCs/>
              </w:rPr>
            </w:pPr>
            <w:r w:rsidRPr="00E81374">
              <w:rPr>
                <w:rFonts w:ascii="Times New Roman" w:hAnsi="Times New Roman" w:cs="Times New Roman"/>
                <w:b/>
                <w:bCs/>
              </w:rPr>
              <w:t>Lietuvos Respublikos sveikatos apsaugos ministerija</w:t>
            </w:r>
          </w:p>
          <w:p w14:paraId="62E68FA2" w14:textId="37A48039" w:rsidR="00345EEC" w:rsidRPr="00C31CA7" w:rsidRDefault="00345EEC" w:rsidP="00133EEC">
            <w:pPr>
              <w:spacing w:after="0" w:line="240" w:lineRule="auto"/>
              <w:jc w:val="both"/>
              <w:rPr>
                <w:rFonts w:ascii="Times New Roman" w:hAnsi="Times New Roman" w:cs="Times New Roman"/>
                <w:b/>
                <w:bCs/>
              </w:rPr>
            </w:pPr>
            <w:r w:rsidRPr="00E81374">
              <w:rPr>
                <w:rFonts w:ascii="Times New Roman" w:hAnsi="Times New Roman" w:cs="Times New Roman"/>
                <w:b/>
                <w:bCs/>
              </w:rPr>
              <w:t xml:space="preserve">2021-10-25 </w:t>
            </w:r>
            <w:r>
              <w:rPr>
                <w:rFonts w:ascii="Times New Roman" w:hAnsi="Times New Roman" w:cs="Times New Roman"/>
                <w:b/>
                <w:bCs/>
              </w:rPr>
              <w:t xml:space="preserve">rašto </w:t>
            </w:r>
            <w:r w:rsidRPr="00E81374">
              <w:rPr>
                <w:rFonts w:ascii="Times New Roman" w:hAnsi="Times New Roman" w:cs="Times New Roman"/>
                <w:b/>
                <w:bCs/>
              </w:rPr>
              <w:t>Nr. (1.1.21.Mr.)</w:t>
            </w:r>
            <w:r w:rsidRPr="00E81374">
              <w:rPr>
                <w:rFonts w:ascii="Times New Roman" w:hAnsi="Times New Roman" w:cs="Times New Roman"/>
              </w:rPr>
              <w:t xml:space="preserve"> </w:t>
            </w:r>
            <w:r w:rsidRPr="00E81374">
              <w:rPr>
                <w:rFonts w:ascii="Times New Roman" w:hAnsi="Times New Roman" w:cs="Times New Roman"/>
                <w:b/>
                <w:bCs/>
              </w:rPr>
              <w:t>10-5663</w:t>
            </w:r>
          </w:p>
        </w:tc>
        <w:tc>
          <w:tcPr>
            <w:tcW w:w="6095" w:type="dxa"/>
          </w:tcPr>
          <w:p w14:paraId="2EAB1856" w14:textId="77777777" w:rsidR="00345EEC" w:rsidRDefault="00345EEC" w:rsidP="00133EEC">
            <w:pPr>
              <w:keepNext/>
              <w:spacing w:after="0" w:line="240" w:lineRule="auto"/>
              <w:ind w:firstLine="567"/>
              <w:jc w:val="both"/>
              <w:outlineLvl w:val="1"/>
              <w:rPr>
                <w:rFonts w:ascii="Times New Roman" w:hAnsi="Times New Roman" w:cs="Times New Roman"/>
                <w:b/>
                <w:caps/>
                <w:lang w:eastAsia="lt-LT"/>
              </w:rPr>
            </w:pPr>
            <w:r w:rsidRPr="00E81374">
              <w:rPr>
                <w:rFonts w:ascii="Times New Roman" w:hAnsi="Times New Roman" w:cs="Times New Roman"/>
                <w:spacing w:val="-1"/>
              </w:rPr>
              <w:t xml:space="preserve">2022 m. sausio 1 d. įsigaliosiančio naujos redakcijos Lietuvos Respublikos </w:t>
            </w:r>
            <w:r w:rsidRPr="00E81374">
              <w:rPr>
                <w:rFonts w:ascii="Times New Roman" w:hAnsi="Times New Roman" w:cs="Times New Roman"/>
              </w:rPr>
              <w:t>korupcijos prevencijos įstatymo nuostatų 24.2 papunktyje yra  nurodyta „</w:t>
            </w:r>
            <w:r w:rsidRPr="00E81374">
              <w:rPr>
                <w:rFonts w:ascii="Times New Roman" w:eastAsia="Calibri" w:hAnsi="Times New Roman" w:cs="Times New Roman"/>
              </w:rPr>
              <w:t xml:space="preserve">Viešojo sektoriaus subjektas, kuris nėra savarankiška įstaiga, privalo įsteigti už korupcijai atsparios aplinkos kūrimą atsakingus padalinius, skirti už korupcijai atsparios aplinkos kūrimą atsakingus asmenis arba </w:t>
            </w:r>
            <w:r w:rsidRPr="00E81374">
              <w:rPr>
                <w:rFonts w:ascii="Times New Roman" w:eastAsia="Calibri" w:hAnsi="Times New Roman" w:cs="Times New Roman"/>
                <w:i/>
                <w:iCs/>
              </w:rPr>
              <w:t>jiems priskirtinas funkcijas pavesti tam tikriems darbuotojams, kai šiame viešojo sektoriaus subjekte dirba</w:t>
            </w:r>
            <w:r w:rsidRPr="00E81374">
              <w:rPr>
                <w:rFonts w:ascii="Times New Roman" w:eastAsia="Calibri" w:hAnsi="Times New Roman" w:cs="Times New Roman"/>
              </w:rPr>
              <w:t xml:space="preserve"> ar pareigas eina 200 ar daugiau darbuotojų ir jeigu savarankiškoje įstaigoje ar kitame viešojo sektoriaus subjekte, kuriam šis viešojo sektoriaus subjektas yra pavaldus ir (ar) priskirtas jo valdymo sričiai, nėra įsteigto ar skirto subjekto, atsakingo už korupcijai atsparios aplinkos kūrimą pavaldžiuose ir (ar) jos valdymo sričiai priskirtuose viešojo sektoriaus subjektuose.“ Šiuo metu daugumoje sveikatos priežiūros įstaigų korupcijos prevencija kaip viena iš veiklos sričių yra pavedama darbuotojams kaip papildoma funkcija prie kitų atliekamų (pvz. sveikatos priežiūros specialistui, teisininkui ar kitos profesijos darbuotojui). Vienas darbuotojas turėdamas tik vieną iš savo darbo funkcijų – korupcijos prevenciją, turės užtikrinti pavyzdinėse pareigybėse visas numatytas funkcijas, kaip antai –  </w:t>
            </w:r>
            <w:r w:rsidRPr="00E81374">
              <w:rPr>
                <w:rFonts w:ascii="Times New Roman" w:hAnsi="Times New Roman" w:cs="Times New Roman"/>
                <w:bCs/>
              </w:rPr>
              <w:t xml:space="preserve">už korupcijai atsparios aplinkos kūrimą atsakingo asmens (darbuotojo, dirbančio pagal darbo sutartį) </w:t>
            </w:r>
            <w:r w:rsidRPr="00E81374">
              <w:rPr>
                <w:rFonts w:ascii="Times New Roman" w:hAnsi="Times New Roman" w:cs="Times New Roman"/>
                <w:bCs/>
                <w:lang w:eastAsia="lt-LT"/>
              </w:rPr>
              <w:t xml:space="preserve">pavyzdinių pareigybių </w:t>
            </w:r>
            <w:r w:rsidRPr="00E81374">
              <w:rPr>
                <w:rFonts w:ascii="Times New Roman" w:hAnsi="Times New Roman" w:cs="Times New Roman"/>
                <w:bCs/>
              </w:rPr>
              <w:t>aprašyme (nuostatų) 6 punkte numatytas 17 funkcijų. Klausimas, ar paskirstant keliems už korupcijai atsparios aplinkos kūrimą atsakingiems asmenims/ darbuotojams darbo krūvius visuomet reikės nurodyti visas pastabose pateiktas privalomas 13 funkcijų vienam v</w:t>
            </w:r>
            <w:r w:rsidRPr="00E81374">
              <w:rPr>
                <w:rFonts w:ascii="Times New Roman" w:hAnsi="Times New Roman" w:cs="Times New Roman"/>
                <w:lang w:eastAsia="lt-LT"/>
              </w:rPr>
              <w:t xml:space="preserve">iešojo sektoriaus subjektui „rengdami už korupcijai atsparios aplinkos kūrimą atsakingų asmenų pareigybių aprašyme, </w:t>
            </w:r>
            <w:r w:rsidRPr="00E81374">
              <w:rPr>
                <w:rFonts w:ascii="Times New Roman" w:hAnsi="Times New Roman" w:cs="Times New Roman"/>
                <w:lang w:eastAsia="lt-LT"/>
              </w:rPr>
              <w:lastRenderedPageBreak/>
              <w:t>taiko be išimčių šio pavyzdinio pareigybės aprašymo (nuostatų) 6.1, 6.4, 6.5, 6.</w:t>
            </w:r>
            <w:r w:rsidRPr="00E81374">
              <w:rPr>
                <w:rFonts w:ascii="Times New Roman" w:hAnsi="Times New Roman" w:cs="Times New Roman"/>
                <w:caps/>
                <w:lang w:eastAsia="lt-LT"/>
              </w:rPr>
              <w:t>7, 6.9, 6.10, 6.15, 7.1, 7.2, 7.3</w:t>
            </w:r>
            <w:r w:rsidRPr="00E81374">
              <w:rPr>
                <w:rFonts w:ascii="Times New Roman" w:hAnsi="Times New Roman" w:cs="Times New Roman"/>
                <w:lang w:eastAsia="lt-LT"/>
              </w:rPr>
              <w:t>, 8.2, 8.4 ir 8.6 papunkčius. Jie gali nukrypti nuo kitų punktų, jeigu tai atitinka Korupcijos prevencijos įstatymo 25 straipsnio 2 dalyje nustatytas sąlygas“.</w:t>
            </w:r>
            <w:r w:rsidRPr="00E81374">
              <w:rPr>
                <w:rFonts w:ascii="Times New Roman" w:hAnsi="Times New Roman" w:cs="Times New Roman"/>
                <w:b/>
                <w:caps/>
                <w:lang w:eastAsia="lt-LT"/>
              </w:rPr>
              <w:t xml:space="preserve"> </w:t>
            </w:r>
          </w:p>
          <w:p w14:paraId="42213662" w14:textId="74D15BD4" w:rsidR="00345EEC" w:rsidRPr="00C31CA7" w:rsidRDefault="00345EEC" w:rsidP="00133EEC">
            <w:pPr>
              <w:keepNext/>
              <w:spacing w:after="0" w:line="240" w:lineRule="auto"/>
              <w:ind w:firstLine="567"/>
              <w:jc w:val="both"/>
              <w:outlineLvl w:val="1"/>
              <w:rPr>
                <w:rFonts w:ascii="Times New Roman" w:hAnsi="Times New Roman" w:cs="Times New Roman"/>
                <w:b/>
                <w:caps/>
                <w:lang w:eastAsia="lt-LT"/>
              </w:rPr>
            </w:pPr>
            <w:r w:rsidRPr="00E81374">
              <w:rPr>
                <w:rFonts w:ascii="Times New Roman" w:hAnsi="Times New Roman" w:cs="Times New Roman"/>
                <w:bCs/>
              </w:rPr>
              <w:t>Siūlome abejuose projektuose (</w:t>
            </w:r>
            <w:r w:rsidRPr="00E81374">
              <w:rPr>
                <w:rFonts w:ascii="Times New Roman" w:hAnsi="Times New Roman" w:cs="Times New Roman"/>
              </w:rPr>
              <w:t xml:space="preserve">2 priede “Už korupcijai atsparios aplinkos kūrimą atsakingo asmens (karjeros valstybės tarnautojo) pavyzdinis pareigybės aprašymas“ ir 4 priede </w:t>
            </w:r>
            <w:r w:rsidRPr="00E81374">
              <w:rPr>
                <w:rFonts w:ascii="Times New Roman" w:hAnsi="Times New Roman" w:cs="Times New Roman"/>
                <w:bCs/>
              </w:rPr>
              <w:t xml:space="preserve"> „</w:t>
            </w:r>
            <w:r w:rsidRPr="00E81374">
              <w:rPr>
                <w:rFonts w:ascii="Times New Roman" w:hAnsi="Times New Roman" w:cs="Times New Roman"/>
              </w:rPr>
              <w:t xml:space="preserve">Už korupcijai atsparios aplinkos kūrimą atsakingo asmens (darbuotojo, dirbančio pagal darbo sutartį) pavyzdinis pareigybės aprašymas (nuostatuose) nustatytą </w:t>
            </w:r>
            <w:r w:rsidRPr="00E81374">
              <w:rPr>
                <w:rFonts w:ascii="Times New Roman" w:hAnsi="Times New Roman" w:cs="Times New Roman"/>
                <w:bCs/>
              </w:rPr>
              <w:t xml:space="preserve">funkciją – </w:t>
            </w:r>
            <w:r w:rsidRPr="00E81374">
              <w:rPr>
                <w:rFonts w:ascii="Times New Roman" w:hAnsi="Times New Roman" w:cs="Times New Roman"/>
                <w:lang w:eastAsia="lt-LT"/>
              </w:rPr>
              <w:t xml:space="preserve">rengia mokymus darbuotojams korupcijai atsparios aplinkos kūrimo klausimais – suformuluoti plačiau, numatant galimybę alternatyviems mokymo būdams – </w:t>
            </w:r>
            <w:proofErr w:type="spellStart"/>
            <w:r w:rsidRPr="00E81374">
              <w:rPr>
                <w:rFonts w:ascii="Times New Roman" w:hAnsi="Times New Roman" w:cs="Times New Roman"/>
                <w:lang w:eastAsia="lt-LT"/>
              </w:rPr>
              <w:t>dalomosios</w:t>
            </w:r>
            <w:proofErr w:type="spellEnd"/>
            <w:r w:rsidRPr="00E81374">
              <w:rPr>
                <w:rFonts w:ascii="Times New Roman" w:hAnsi="Times New Roman" w:cs="Times New Roman"/>
                <w:lang w:eastAsia="lt-LT"/>
              </w:rPr>
              <w:t xml:space="preserve"> informacijos sklaida, dalyvavimas Specialiųjų tyrimų tarnybos antikorupcinio švietimo e. mokymo platformos mokymuose, dalyvavimas Skaidrumo akademijos renginiuose ir pan.</w:t>
            </w:r>
          </w:p>
        </w:tc>
        <w:tc>
          <w:tcPr>
            <w:tcW w:w="5699" w:type="dxa"/>
          </w:tcPr>
          <w:p w14:paraId="7364BAFA" w14:textId="77777777" w:rsidR="00345EEC" w:rsidRDefault="00345EEC" w:rsidP="00133EEC">
            <w:pPr>
              <w:spacing w:after="0" w:line="240" w:lineRule="auto"/>
              <w:jc w:val="both"/>
              <w:rPr>
                <w:rFonts w:ascii="Times New Roman" w:hAnsi="Times New Roman" w:cs="Times New Roman"/>
                <w:b/>
              </w:rPr>
            </w:pPr>
            <w:r>
              <w:rPr>
                <w:rFonts w:ascii="Times New Roman" w:hAnsi="Times New Roman" w:cs="Times New Roman"/>
                <w:b/>
              </w:rPr>
              <w:lastRenderedPageBreak/>
              <w:t>A</w:t>
            </w:r>
            <w:r w:rsidRPr="00713045">
              <w:rPr>
                <w:rFonts w:ascii="Times New Roman" w:hAnsi="Times New Roman" w:cs="Times New Roman"/>
                <w:b/>
              </w:rPr>
              <w:t>tsižvelgta</w:t>
            </w:r>
            <w:r>
              <w:rPr>
                <w:rFonts w:ascii="Times New Roman" w:hAnsi="Times New Roman" w:cs="Times New Roman"/>
                <w:b/>
              </w:rPr>
              <w:t xml:space="preserve"> iš dalies</w:t>
            </w:r>
            <w:r w:rsidRPr="00713045">
              <w:rPr>
                <w:rFonts w:ascii="Times New Roman" w:hAnsi="Times New Roman" w:cs="Times New Roman"/>
                <w:b/>
              </w:rPr>
              <w:t>.</w:t>
            </w:r>
          </w:p>
          <w:p w14:paraId="3068F68B" w14:textId="1809D2E9" w:rsidR="006D3C7C" w:rsidRPr="00035231" w:rsidRDefault="006D3C7C" w:rsidP="00133EEC">
            <w:pPr>
              <w:spacing w:after="0" w:line="240" w:lineRule="auto"/>
              <w:jc w:val="both"/>
              <w:rPr>
                <w:rFonts w:ascii="Times New Roman" w:hAnsi="Times New Roman" w:cs="Times New Roman"/>
                <w:bCs/>
              </w:rPr>
            </w:pPr>
            <w:r w:rsidRPr="00035231">
              <w:rPr>
                <w:rFonts w:ascii="Times New Roman" w:hAnsi="Times New Roman" w:cs="Times New Roman"/>
                <w:bCs/>
              </w:rPr>
              <w:t>Atsižvelgiant į tai, kad K</w:t>
            </w:r>
            <w:r w:rsidR="00133EEC">
              <w:rPr>
                <w:rFonts w:ascii="Times New Roman" w:hAnsi="Times New Roman" w:cs="Times New Roman"/>
                <w:bCs/>
              </w:rPr>
              <w:t>orupcijos prevencijos įstatymo</w:t>
            </w:r>
            <w:r w:rsidRPr="00035231">
              <w:rPr>
                <w:rFonts w:ascii="Times New Roman" w:hAnsi="Times New Roman" w:cs="Times New Roman"/>
                <w:bCs/>
              </w:rPr>
              <w:t xml:space="preserve"> tikslas nukreiptas į sisteminę korupcijos prevenciją ir </w:t>
            </w:r>
            <w:r w:rsidRPr="00035231">
              <w:rPr>
                <w:rFonts w:ascii="Times New Roman" w:hAnsi="Times New Roman" w:cs="Times New Roman"/>
              </w:rPr>
              <w:t>efektyvų korupcijai atsparios aplinkos kūrimą</w:t>
            </w:r>
            <w:r w:rsidRPr="00035231">
              <w:rPr>
                <w:rFonts w:ascii="Times New Roman" w:hAnsi="Times New Roman" w:cs="Times New Roman"/>
                <w:bCs/>
              </w:rPr>
              <w:t xml:space="preserve"> viešojo sektoriaus subjekte, </w:t>
            </w:r>
            <w:r w:rsidR="00150D77">
              <w:rPr>
                <w:rFonts w:ascii="Times New Roman" w:hAnsi="Times New Roman" w:cs="Times New Roman"/>
                <w:bCs/>
              </w:rPr>
              <w:t xml:space="preserve">taip pat siekiant  sistemiškai ir koordinuotai šalinti korupcijos rizikos veiksnius, mažinti korupcijos riziką, </w:t>
            </w:r>
            <w:r w:rsidRPr="00035231">
              <w:rPr>
                <w:rFonts w:ascii="Times New Roman" w:hAnsi="Times New Roman" w:cs="Times New Roman"/>
                <w:bCs/>
              </w:rPr>
              <w:t xml:space="preserve"> tikslinga viešojo sektoriaus subjekte </w:t>
            </w:r>
            <w:r w:rsidR="00150D77" w:rsidRPr="00035231">
              <w:rPr>
                <w:rFonts w:ascii="Times New Roman" w:hAnsi="Times New Roman" w:cs="Times New Roman"/>
                <w:lang w:eastAsia="lt-LT"/>
              </w:rPr>
              <w:t>vien</w:t>
            </w:r>
            <w:r w:rsidR="00150D77">
              <w:rPr>
                <w:rFonts w:ascii="Times New Roman" w:hAnsi="Times New Roman" w:cs="Times New Roman"/>
                <w:lang w:eastAsia="lt-LT"/>
              </w:rPr>
              <w:t>o</w:t>
            </w:r>
            <w:r w:rsidR="00150D77" w:rsidRPr="00035231">
              <w:rPr>
                <w:rFonts w:ascii="Times New Roman" w:hAnsi="Times New Roman" w:cs="Times New Roman"/>
                <w:lang w:eastAsia="lt-LT"/>
              </w:rPr>
              <w:t xml:space="preserve"> darbuotoj</w:t>
            </w:r>
            <w:r w:rsidR="00150D77">
              <w:rPr>
                <w:rFonts w:ascii="Times New Roman" w:hAnsi="Times New Roman" w:cs="Times New Roman"/>
                <w:lang w:eastAsia="lt-LT"/>
              </w:rPr>
              <w:t>o</w:t>
            </w:r>
            <w:r w:rsidR="00150D77" w:rsidRPr="00035231">
              <w:rPr>
                <w:rFonts w:ascii="Times New Roman" w:hAnsi="Times New Roman" w:cs="Times New Roman"/>
                <w:lang w:eastAsia="lt-LT"/>
              </w:rPr>
              <w:t xml:space="preserve"> </w:t>
            </w:r>
            <w:r w:rsidRPr="00035231">
              <w:rPr>
                <w:rFonts w:ascii="Times New Roman" w:hAnsi="Times New Roman" w:cs="Times New Roman"/>
              </w:rPr>
              <w:t xml:space="preserve">už korupcijai atsparios aplinkos kūrimą atsakingo asmens </w:t>
            </w:r>
            <w:r w:rsidRPr="00035231">
              <w:rPr>
                <w:rFonts w:ascii="Times New Roman" w:hAnsi="Times New Roman" w:cs="Times New Roman"/>
                <w:lang w:eastAsia="lt-LT"/>
              </w:rPr>
              <w:t xml:space="preserve">pareigybės aprašyme nustatyti </w:t>
            </w:r>
            <w:r w:rsidRPr="00035231">
              <w:rPr>
                <w:rFonts w:ascii="Times New Roman" w:hAnsi="Times New Roman" w:cs="Times New Roman"/>
              </w:rPr>
              <w:t xml:space="preserve">už korupcijai atsparios aplinkos kūrimą atsakingo asmens pavyzdiniame </w:t>
            </w:r>
            <w:r w:rsidRPr="00035231">
              <w:rPr>
                <w:rFonts w:ascii="Times New Roman" w:hAnsi="Times New Roman" w:cs="Times New Roman"/>
                <w:lang w:eastAsia="lt-LT"/>
              </w:rPr>
              <w:t>pareigybės aprašyme pastabose nurodytas privalomas nuostatas</w:t>
            </w:r>
            <w:r w:rsidR="00A503FD">
              <w:rPr>
                <w:rFonts w:ascii="Times New Roman" w:hAnsi="Times New Roman" w:cs="Times New Roman"/>
                <w:lang w:eastAsia="lt-LT"/>
              </w:rPr>
              <w:t>, užtikrinti jo veiklos ir organizacinį nepriklausomumą</w:t>
            </w:r>
            <w:r w:rsidRPr="00035231">
              <w:rPr>
                <w:rFonts w:ascii="Times New Roman" w:hAnsi="Times New Roman" w:cs="Times New Roman"/>
                <w:lang w:eastAsia="lt-LT"/>
              </w:rPr>
              <w:t>, o kitas funkcijas (pvz., teisės aktų projektų antikorupcinį vertinimą, korupcijos pasireiškimo tikimybės nustatymą ir kt.) viešojo sektoriaus s</w:t>
            </w:r>
            <w:r>
              <w:rPr>
                <w:rFonts w:ascii="Times New Roman" w:hAnsi="Times New Roman" w:cs="Times New Roman"/>
                <w:lang w:eastAsia="lt-LT"/>
              </w:rPr>
              <w:t xml:space="preserve">ubjekto vadovas gali pavesti </w:t>
            </w:r>
            <w:r w:rsidR="00150D77">
              <w:rPr>
                <w:rFonts w:ascii="Times New Roman" w:hAnsi="Times New Roman" w:cs="Times New Roman"/>
                <w:lang w:eastAsia="lt-LT"/>
              </w:rPr>
              <w:t xml:space="preserve">ir </w:t>
            </w:r>
            <w:r>
              <w:rPr>
                <w:rFonts w:ascii="Times New Roman" w:hAnsi="Times New Roman" w:cs="Times New Roman"/>
                <w:lang w:eastAsia="lt-LT"/>
              </w:rPr>
              <w:t>ki</w:t>
            </w:r>
            <w:r w:rsidRPr="00035231">
              <w:rPr>
                <w:rFonts w:ascii="Times New Roman" w:hAnsi="Times New Roman" w:cs="Times New Roman"/>
                <w:lang w:eastAsia="lt-LT"/>
              </w:rPr>
              <w:t>tiems viešojo sektoriaus subjekto padaliniams ar darbuotojams, jeigu tokiu atveju atitinkama funkcija bus įgyvendinama racionaliausiu būdu.</w:t>
            </w:r>
          </w:p>
          <w:p w14:paraId="0F302319" w14:textId="259AA6BB" w:rsidR="00345EEC" w:rsidRPr="00C31CA7" w:rsidRDefault="00345EEC" w:rsidP="00133EEC">
            <w:pPr>
              <w:spacing w:after="0" w:line="240" w:lineRule="auto"/>
              <w:jc w:val="both"/>
              <w:rPr>
                <w:rFonts w:ascii="Times New Roman" w:eastAsia="Andale Sans UI" w:hAnsi="Times New Roman" w:cs="Times New Roman"/>
                <w:b/>
                <w:bCs/>
                <w:lang w:bidi="en-US"/>
              </w:rPr>
            </w:pPr>
            <w:r>
              <w:rPr>
                <w:rFonts w:ascii="Times New Roman" w:hAnsi="Times New Roman" w:cs="Times New Roman"/>
                <w:szCs w:val="24"/>
              </w:rPr>
              <w:t xml:space="preserve">Valstybės tarnautojų pareigybių aprašymo ir vertinimo metodikos, patvirtintos Lietuvos Respublikos Vyriausybės 2018 m. lapkričio 28 d. nutarimu Nr. 116 „Dėl Lietuvos Respublikos valstybės tarnybos įstatymo įgyvendinimo“ 19 punkte nustatyta, kad funkcijos pareigybės aprašyme formuluojamos </w:t>
            </w:r>
            <w:r w:rsidRPr="00603834">
              <w:rPr>
                <w:rFonts w:ascii="Times New Roman" w:hAnsi="Times New Roman" w:cs="Times New Roman"/>
                <w:iCs/>
                <w:szCs w:val="24"/>
              </w:rPr>
              <w:t>apibendrintai ir kiek įmanoma glaustai.</w:t>
            </w:r>
            <w:r>
              <w:rPr>
                <w:rFonts w:ascii="Times New Roman" w:hAnsi="Times New Roman" w:cs="Times New Roman"/>
                <w:i/>
                <w:iCs/>
                <w:szCs w:val="24"/>
              </w:rPr>
              <w:t xml:space="preserve"> </w:t>
            </w:r>
            <w:r>
              <w:rPr>
                <w:rFonts w:ascii="Times New Roman" w:hAnsi="Times New Roman" w:cs="Times New Roman"/>
                <w:iCs/>
                <w:szCs w:val="24"/>
              </w:rPr>
              <w:t xml:space="preserve">Pažymėtina, kad </w:t>
            </w:r>
            <w:r w:rsidRPr="00E81374">
              <w:rPr>
                <w:rFonts w:ascii="Times New Roman" w:hAnsi="Times New Roman" w:cs="Times New Roman"/>
                <w:bCs/>
              </w:rPr>
              <w:t>abejuose projektuose (</w:t>
            </w:r>
            <w:r w:rsidRPr="00E81374">
              <w:rPr>
                <w:rFonts w:ascii="Times New Roman" w:hAnsi="Times New Roman" w:cs="Times New Roman"/>
              </w:rPr>
              <w:t xml:space="preserve">2 priede </w:t>
            </w:r>
            <w:r w:rsidR="00133EEC">
              <w:rPr>
                <w:rFonts w:ascii="Times New Roman" w:hAnsi="Times New Roman" w:cs="Times New Roman"/>
              </w:rPr>
              <w:t>„</w:t>
            </w:r>
            <w:r w:rsidRPr="00E81374">
              <w:rPr>
                <w:rFonts w:ascii="Times New Roman" w:hAnsi="Times New Roman" w:cs="Times New Roman"/>
              </w:rPr>
              <w:t xml:space="preserve">Už korupcijai atsparios aplinkos kūrimą atsakingo asmens (karjeros valstybės tarnautojo) pavyzdinis pareigybės aprašymas“ ir 4 priede </w:t>
            </w:r>
            <w:r w:rsidRPr="00E81374">
              <w:rPr>
                <w:rFonts w:ascii="Times New Roman" w:hAnsi="Times New Roman" w:cs="Times New Roman"/>
                <w:bCs/>
              </w:rPr>
              <w:t>„</w:t>
            </w:r>
            <w:r w:rsidRPr="00E81374">
              <w:rPr>
                <w:rFonts w:ascii="Times New Roman" w:hAnsi="Times New Roman" w:cs="Times New Roman"/>
              </w:rPr>
              <w:t xml:space="preserve">Už korupcijai atsparios aplinkos kūrimą atsakingo asmens (darbuotojo, dirbančio pagal darbo sutartį) pavyzdinis </w:t>
            </w:r>
            <w:r w:rsidRPr="00E81374">
              <w:rPr>
                <w:rFonts w:ascii="Times New Roman" w:hAnsi="Times New Roman" w:cs="Times New Roman"/>
              </w:rPr>
              <w:lastRenderedPageBreak/>
              <w:t>pareigybės aprašymas</w:t>
            </w:r>
            <w:r>
              <w:rPr>
                <w:rFonts w:ascii="Times New Roman" w:hAnsi="Times New Roman" w:cs="Times New Roman"/>
              </w:rPr>
              <w:t>“)</w:t>
            </w:r>
            <w:r w:rsidRPr="00E81374">
              <w:rPr>
                <w:rFonts w:ascii="Times New Roman" w:hAnsi="Times New Roman" w:cs="Times New Roman"/>
              </w:rPr>
              <w:t xml:space="preserve"> nustatyt</w:t>
            </w:r>
            <w:r>
              <w:rPr>
                <w:rFonts w:ascii="Times New Roman" w:hAnsi="Times New Roman" w:cs="Times New Roman"/>
              </w:rPr>
              <w:t>a</w:t>
            </w:r>
            <w:r w:rsidRPr="00E81374">
              <w:rPr>
                <w:rFonts w:ascii="Times New Roman" w:hAnsi="Times New Roman" w:cs="Times New Roman"/>
              </w:rPr>
              <w:t xml:space="preserve"> </w:t>
            </w:r>
            <w:r w:rsidRPr="0008767F">
              <w:rPr>
                <w:rFonts w:ascii="Times New Roman" w:hAnsi="Times New Roman" w:cs="Times New Roman"/>
              </w:rPr>
              <w:t>funkcija, kuri susijusi</w:t>
            </w:r>
            <w:r w:rsidRPr="00D55AA0">
              <w:rPr>
                <w:rFonts w:ascii="Times New Roman" w:hAnsi="Times New Roman" w:cs="Times New Roman"/>
              </w:rPr>
              <w:t xml:space="preserve"> su mokymų darbuotojams korupcijai atsparios aplinkos kūrimo klausimais organizavimu ir (ar) pravedimu,</w:t>
            </w:r>
            <w:r w:rsidRPr="0008767F">
              <w:rPr>
                <w:rFonts w:ascii="Times New Roman" w:hAnsi="Times New Roman" w:cs="Times New Roman"/>
              </w:rPr>
              <w:t xml:space="preserve"> </w:t>
            </w:r>
            <w:r>
              <w:rPr>
                <w:rFonts w:ascii="Times New Roman" w:hAnsi="Times New Roman" w:cs="Times New Roman"/>
                <w:lang w:eastAsia="lt-LT"/>
              </w:rPr>
              <w:t xml:space="preserve">skirta didinti įstaigos (įmonės) darbuotojų sąmoningumą veikti sąžiningai ir skaidriai, netoleruoti korupcijos ar kito nesąžiningo elgesio, pranešti apie korupcinio pobūdžio teisės pažeidimus. Ši funkcija </w:t>
            </w:r>
            <w:r w:rsidRPr="00E81374">
              <w:rPr>
                <w:rFonts w:ascii="Times New Roman" w:hAnsi="Times New Roman" w:cs="Times New Roman"/>
                <w:lang w:eastAsia="lt-LT"/>
              </w:rPr>
              <w:t xml:space="preserve"> suformuluot</w:t>
            </w:r>
            <w:r>
              <w:rPr>
                <w:rFonts w:ascii="Times New Roman" w:hAnsi="Times New Roman" w:cs="Times New Roman"/>
                <w:lang w:eastAsia="lt-LT"/>
              </w:rPr>
              <w:t>a apibendrintai ir tokiu būdu, kad</w:t>
            </w:r>
            <w:r w:rsidRPr="00E81374">
              <w:rPr>
                <w:rFonts w:ascii="Times New Roman" w:hAnsi="Times New Roman" w:cs="Times New Roman"/>
                <w:lang w:eastAsia="lt-LT"/>
              </w:rPr>
              <w:t xml:space="preserve"> </w:t>
            </w:r>
            <w:r>
              <w:rPr>
                <w:rFonts w:ascii="Times New Roman" w:hAnsi="Times New Roman" w:cs="Times New Roman"/>
                <w:lang w:eastAsia="lt-LT"/>
              </w:rPr>
              <w:t xml:space="preserve"> apimtų įvairius mokymų formatus,</w:t>
            </w:r>
            <w:r w:rsidRPr="00E81374">
              <w:rPr>
                <w:rFonts w:ascii="Times New Roman" w:hAnsi="Times New Roman" w:cs="Times New Roman"/>
                <w:lang w:eastAsia="lt-LT"/>
              </w:rPr>
              <w:t xml:space="preserve"> </w:t>
            </w:r>
            <w:r>
              <w:rPr>
                <w:rFonts w:ascii="Times New Roman" w:hAnsi="Times New Roman" w:cs="Times New Roman"/>
                <w:lang w:eastAsia="lt-LT"/>
              </w:rPr>
              <w:t xml:space="preserve">formas ir būdus (pvz., mokymai organizuoti kartu su STT, STT organizuojami Skaidrumo akademijos renginiai, </w:t>
            </w:r>
            <w:proofErr w:type="spellStart"/>
            <w:r>
              <w:rPr>
                <w:rFonts w:ascii="Times New Roman" w:hAnsi="Times New Roman" w:cs="Times New Roman"/>
                <w:lang w:eastAsia="lt-LT"/>
              </w:rPr>
              <w:t>dalomosios</w:t>
            </w:r>
            <w:proofErr w:type="spellEnd"/>
            <w:r>
              <w:rPr>
                <w:rFonts w:ascii="Times New Roman" w:hAnsi="Times New Roman" w:cs="Times New Roman"/>
                <w:lang w:eastAsia="lt-LT"/>
              </w:rPr>
              <w:t xml:space="preserve"> medžiagos suteikimas ir kt.).</w:t>
            </w:r>
          </w:p>
        </w:tc>
      </w:tr>
      <w:tr w:rsidR="00345EEC" w:rsidRPr="002E5568" w14:paraId="204FAFF1" w14:textId="77777777" w:rsidTr="00133EEC">
        <w:tc>
          <w:tcPr>
            <w:tcW w:w="562" w:type="dxa"/>
          </w:tcPr>
          <w:p w14:paraId="5838F5C9" w14:textId="772732B0" w:rsidR="00345EEC" w:rsidRDefault="002A4E2F" w:rsidP="00133EEC">
            <w:pPr>
              <w:spacing w:after="0" w:line="240" w:lineRule="auto"/>
              <w:jc w:val="center"/>
              <w:rPr>
                <w:rFonts w:ascii="Times New Roman" w:eastAsia="Andale Sans UI" w:hAnsi="Times New Roman" w:cs="Times New Roman"/>
                <w:b/>
                <w:bCs/>
                <w:lang w:bidi="en-US"/>
              </w:rPr>
            </w:pPr>
            <w:r>
              <w:rPr>
                <w:rFonts w:ascii="Times New Roman" w:eastAsia="Andale Sans UI" w:hAnsi="Times New Roman" w:cs="Times New Roman"/>
                <w:b/>
                <w:bCs/>
                <w:lang w:bidi="en-US"/>
              </w:rPr>
              <w:lastRenderedPageBreak/>
              <w:t>2</w:t>
            </w:r>
            <w:r w:rsidR="00345EEC">
              <w:rPr>
                <w:rFonts w:ascii="Times New Roman" w:eastAsia="Andale Sans UI" w:hAnsi="Times New Roman" w:cs="Times New Roman"/>
                <w:b/>
                <w:bCs/>
                <w:lang w:bidi="en-US"/>
              </w:rPr>
              <w:t>.</w:t>
            </w:r>
          </w:p>
        </w:tc>
        <w:tc>
          <w:tcPr>
            <w:tcW w:w="2159" w:type="dxa"/>
          </w:tcPr>
          <w:p w14:paraId="08EA6034" w14:textId="77777777" w:rsidR="00345EEC" w:rsidRPr="00E81374" w:rsidRDefault="00345EEC" w:rsidP="00133EEC">
            <w:pPr>
              <w:spacing w:after="0" w:line="240" w:lineRule="auto"/>
              <w:jc w:val="both"/>
              <w:rPr>
                <w:rFonts w:ascii="Times New Roman" w:hAnsi="Times New Roman" w:cs="Times New Roman"/>
                <w:b/>
                <w:bCs/>
              </w:rPr>
            </w:pPr>
            <w:r w:rsidRPr="00E81374">
              <w:rPr>
                <w:rFonts w:ascii="Times New Roman" w:hAnsi="Times New Roman" w:cs="Times New Roman"/>
                <w:b/>
                <w:bCs/>
              </w:rPr>
              <w:t xml:space="preserve">Lietuvos Respublikos </w:t>
            </w:r>
            <w:r>
              <w:rPr>
                <w:rFonts w:ascii="Times New Roman" w:hAnsi="Times New Roman" w:cs="Times New Roman"/>
                <w:b/>
                <w:bCs/>
              </w:rPr>
              <w:t>vidaus reikalų</w:t>
            </w:r>
            <w:r w:rsidRPr="00E81374">
              <w:rPr>
                <w:rFonts w:ascii="Times New Roman" w:hAnsi="Times New Roman" w:cs="Times New Roman"/>
                <w:b/>
                <w:bCs/>
              </w:rPr>
              <w:t xml:space="preserve"> ministerija</w:t>
            </w:r>
          </w:p>
          <w:p w14:paraId="1C39FAFC" w14:textId="76929566" w:rsidR="00345EEC" w:rsidRPr="00E81374" w:rsidRDefault="00345EEC" w:rsidP="00133EEC">
            <w:pPr>
              <w:spacing w:after="0" w:line="240" w:lineRule="auto"/>
              <w:jc w:val="both"/>
              <w:rPr>
                <w:rFonts w:ascii="Times New Roman" w:hAnsi="Times New Roman" w:cs="Times New Roman"/>
                <w:b/>
                <w:bCs/>
              </w:rPr>
            </w:pPr>
            <w:r>
              <w:rPr>
                <w:rFonts w:ascii="Times New Roman" w:hAnsi="Times New Roman" w:cs="Times New Roman"/>
                <w:b/>
                <w:bCs/>
              </w:rPr>
              <w:t xml:space="preserve">2021-10-27 </w:t>
            </w:r>
            <w:r w:rsidR="00B8059D">
              <w:rPr>
                <w:rFonts w:ascii="Times New Roman" w:hAnsi="Times New Roman" w:cs="Times New Roman"/>
                <w:b/>
                <w:bCs/>
              </w:rPr>
              <w:t xml:space="preserve">rašto </w:t>
            </w:r>
            <w:r>
              <w:rPr>
                <w:rFonts w:ascii="Times New Roman" w:hAnsi="Times New Roman" w:cs="Times New Roman"/>
                <w:b/>
                <w:bCs/>
              </w:rPr>
              <w:t>Nr. 1D-6097</w:t>
            </w:r>
          </w:p>
        </w:tc>
        <w:tc>
          <w:tcPr>
            <w:tcW w:w="6095" w:type="dxa"/>
          </w:tcPr>
          <w:p w14:paraId="4018ABDD" w14:textId="77777777" w:rsidR="00345EEC" w:rsidRPr="00133EEC" w:rsidRDefault="00345EEC" w:rsidP="00133EEC">
            <w:pPr>
              <w:spacing w:after="0" w:line="240" w:lineRule="auto"/>
              <w:ind w:firstLine="568"/>
              <w:jc w:val="both"/>
              <w:rPr>
                <w:rFonts w:ascii="Times New Roman" w:hAnsi="Times New Roman" w:cs="Times New Roman"/>
              </w:rPr>
            </w:pPr>
            <w:r w:rsidRPr="00133EEC">
              <w:rPr>
                <w:rFonts w:ascii="Times New Roman" w:hAnsi="Times New Roman" w:cs="Times New Roman"/>
              </w:rPr>
              <w:t>2. Dėl P</w:t>
            </w:r>
            <w:r w:rsidRPr="00133EEC">
              <w:rPr>
                <w:rFonts w:ascii="Times New Roman" w:eastAsia="Calibri" w:hAnsi="Times New Roman" w:cs="Times New Roman"/>
              </w:rPr>
              <w:t>avyzdinių už korupcijai atsparios aplinkos pareigybių aprašymų</w:t>
            </w:r>
            <w:r w:rsidRPr="00133EEC">
              <w:rPr>
                <w:rFonts w:ascii="Times New Roman" w:hAnsi="Times New Roman" w:cs="Times New Roman"/>
              </w:rPr>
              <w:t xml:space="preserve"> projektų:</w:t>
            </w:r>
          </w:p>
          <w:p w14:paraId="775E5CA7" w14:textId="533870EE" w:rsidR="00345EEC" w:rsidRDefault="00345EEC" w:rsidP="00133EEC">
            <w:pPr>
              <w:keepNext/>
              <w:spacing w:after="0" w:line="240" w:lineRule="auto"/>
              <w:ind w:firstLine="568"/>
              <w:jc w:val="both"/>
              <w:outlineLvl w:val="1"/>
              <w:rPr>
                <w:rFonts w:ascii="Times New Roman" w:hAnsi="Times New Roman" w:cs="Times New Roman"/>
                <w:color w:val="000000"/>
              </w:rPr>
            </w:pPr>
            <w:r w:rsidRPr="00E81374">
              <w:rPr>
                <w:rFonts w:ascii="Times New Roman" w:hAnsi="Times New Roman" w:cs="Times New Roman"/>
              </w:rPr>
              <w:t xml:space="preserve">2.1. </w:t>
            </w:r>
            <w:r w:rsidR="00133EEC">
              <w:rPr>
                <w:rFonts w:ascii="Times New Roman" w:hAnsi="Times New Roman" w:cs="Times New Roman"/>
              </w:rPr>
              <w:t>į</w:t>
            </w:r>
            <w:r w:rsidRPr="00E81374">
              <w:rPr>
                <w:rFonts w:ascii="Times New Roman" w:hAnsi="Times New Roman" w:cs="Times New Roman"/>
              </w:rPr>
              <w:t>vertinę Nutarimo projektu tvirtinamą Už korupcijai atsparios aplinkos kūrimą atsakingo asmens (karjeros valstybės tarnautojo) pavyzdinį pareigybės aprašymą (toliau – pareigybės aprašymas), siūlome keisti pareigybės aprašymo II skyrių „Veiklos sritis“, nustatant pagrindinę veiklos sritį – kita specifinė veika, vykdoma einant valstybės tarnautojo pareigas, – korupcijos prevencija. Atitinkamai reikės keisti Valstybės tarnautojų pareigybių aprašymo ir vertinimo metodiką, patvirtintą Lietuvos Respublikos Vyriausybės 2018 m. lapkričio 28 d. nutarimu Nr. 1176 „Dėl Lietuvos Respublikos valstybės tarnybos įstatymo įgyvendinimo“ (pridedame nutarimo projektą).</w:t>
            </w:r>
          </w:p>
        </w:tc>
        <w:tc>
          <w:tcPr>
            <w:tcW w:w="5699" w:type="dxa"/>
          </w:tcPr>
          <w:p w14:paraId="0A54C269" w14:textId="77777777" w:rsidR="00345EEC" w:rsidRDefault="00345EEC" w:rsidP="00133EEC">
            <w:pPr>
              <w:spacing w:after="0" w:line="240" w:lineRule="auto"/>
              <w:jc w:val="both"/>
              <w:rPr>
                <w:rFonts w:ascii="Times New Roman" w:hAnsi="Times New Roman" w:cs="Times New Roman"/>
              </w:rPr>
            </w:pPr>
            <w:r w:rsidRPr="007E4DA4">
              <w:rPr>
                <w:rFonts w:ascii="Times New Roman" w:hAnsi="Times New Roman" w:cs="Times New Roman"/>
                <w:b/>
              </w:rPr>
              <w:t>Neatsižvelgta.</w:t>
            </w:r>
            <w:r w:rsidRPr="00EC64D3">
              <w:rPr>
                <w:rFonts w:ascii="Times New Roman" w:hAnsi="Times New Roman" w:cs="Times New Roman"/>
              </w:rPr>
              <w:t xml:space="preserve"> </w:t>
            </w:r>
          </w:p>
          <w:p w14:paraId="764342B0" w14:textId="0D487BD5" w:rsidR="00030FCF" w:rsidRDefault="00291366" w:rsidP="00133EEC">
            <w:pPr>
              <w:spacing w:after="0" w:line="240" w:lineRule="auto"/>
              <w:jc w:val="both"/>
              <w:rPr>
                <w:rFonts w:ascii="Times New Roman" w:hAnsi="Times New Roman" w:cs="Times New Roman"/>
              </w:rPr>
            </w:pPr>
            <w:r>
              <w:rPr>
                <w:rFonts w:ascii="Times New Roman" w:hAnsi="Times New Roman" w:cs="Times New Roman"/>
              </w:rPr>
              <w:t xml:space="preserve">Nuo 2022 m. sausio 1 d. įsigaliojus naujam Korupcijos prevencijos įstatymui </w:t>
            </w:r>
            <w:r w:rsidR="00150D77">
              <w:rPr>
                <w:rFonts w:ascii="Times New Roman" w:hAnsi="Times New Roman" w:cs="Times New Roman"/>
              </w:rPr>
              <w:t>savarankišk</w:t>
            </w:r>
            <w:r>
              <w:rPr>
                <w:rFonts w:ascii="Times New Roman" w:hAnsi="Times New Roman" w:cs="Times New Roman"/>
              </w:rPr>
              <w:t xml:space="preserve">ose </w:t>
            </w:r>
            <w:r w:rsidR="004E00DD">
              <w:rPr>
                <w:rFonts w:ascii="Times New Roman" w:hAnsi="Times New Roman" w:cs="Times New Roman"/>
              </w:rPr>
              <w:t>įstaigo</w:t>
            </w:r>
            <w:r>
              <w:rPr>
                <w:rFonts w:ascii="Times New Roman" w:hAnsi="Times New Roman" w:cs="Times New Roman"/>
              </w:rPr>
              <w:t xml:space="preserve">se, kituose viešojo sektoriaus subjektuose, kuriuose yra 200 ir daugiau darbuotojų </w:t>
            </w:r>
            <w:r w:rsidR="0031438F">
              <w:rPr>
                <w:rFonts w:ascii="Times New Roman" w:hAnsi="Times New Roman" w:cs="Times New Roman"/>
              </w:rPr>
              <w:t>bei</w:t>
            </w:r>
            <w:r>
              <w:rPr>
                <w:rFonts w:ascii="Times New Roman" w:hAnsi="Times New Roman" w:cs="Times New Roman"/>
              </w:rPr>
              <w:t xml:space="preserve"> </w:t>
            </w:r>
            <w:r w:rsidR="0031438F">
              <w:rPr>
                <w:rFonts w:ascii="Times New Roman" w:hAnsi="Times New Roman" w:cs="Times New Roman"/>
              </w:rPr>
              <w:t>kai juos</w:t>
            </w:r>
            <w:r>
              <w:rPr>
                <w:rFonts w:ascii="Times New Roman" w:hAnsi="Times New Roman" w:cs="Times New Roman"/>
              </w:rPr>
              <w:t xml:space="preserve"> kuruojančiame viešojo sektoriaus subjekte</w:t>
            </w:r>
            <w:r w:rsidR="0031438F">
              <w:rPr>
                <w:rFonts w:ascii="Times New Roman" w:hAnsi="Times New Roman" w:cs="Times New Roman"/>
              </w:rPr>
              <w:t xml:space="preserve"> </w:t>
            </w:r>
            <w:r>
              <w:rPr>
                <w:rFonts w:ascii="Times New Roman" w:hAnsi="Times New Roman" w:cs="Times New Roman"/>
              </w:rPr>
              <w:t xml:space="preserve">nėra atsakingo už </w:t>
            </w:r>
            <w:r w:rsidR="00030FCF">
              <w:rPr>
                <w:rFonts w:ascii="Times New Roman" w:hAnsi="Times New Roman" w:cs="Times New Roman"/>
              </w:rPr>
              <w:t>korupcijos prevenciją pavaldžiuose įstaigose</w:t>
            </w:r>
            <w:r>
              <w:rPr>
                <w:rFonts w:ascii="Times New Roman" w:hAnsi="Times New Roman" w:cs="Times New Roman"/>
              </w:rPr>
              <w:t>, privalo steigti už korupcijai atsparios aplinkos kūrimą atsakingą padalinį, skirti atsakingus asmenis arba jiems priskirtinas funkcijas pavesti tam tikriems darbuotojams.</w:t>
            </w:r>
            <w:r w:rsidRPr="00B8059D">
              <w:rPr>
                <w:rFonts w:ascii="Times New Roman" w:hAnsi="Times New Roman" w:cs="Times New Roman"/>
              </w:rPr>
              <w:t xml:space="preserve"> </w:t>
            </w:r>
          </w:p>
          <w:p w14:paraId="775A0C10" w14:textId="77777777" w:rsidR="00345EEC" w:rsidRDefault="00377222" w:rsidP="00133EEC">
            <w:pPr>
              <w:spacing w:after="0" w:line="240" w:lineRule="auto"/>
              <w:jc w:val="both"/>
              <w:rPr>
                <w:rFonts w:ascii="Times New Roman" w:hAnsi="Times New Roman" w:cs="Times New Roman"/>
              </w:rPr>
            </w:pPr>
            <w:r>
              <w:rPr>
                <w:rFonts w:ascii="Times New Roman" w:hAnsi="Times New Roman" w:cs="Times New Roman"/>
                <w:bCs/>
              </w:rPr>
              <w:t xml:space="preserve">Kaip jau minėta, siekiant sistemiškai ir koordinuotai šalinti korupcijos rizikos veiksnius, mažinti korupcijos riziką, </w:t>
            </w:r>
            <w:r w:rsidRPr="00035231">
              <w:rPr>
                <w:rFonts w:ascii="Times New Roman" w:hAnsi="Times New Roman" w:cs="Times New Roman"/>
                <w:bCs/>
              </w:rPr>
              <w:t xml:space="preserve"> tikslinga viešojo sektoriaus subjekte </w:t>
            </w:r>
            <w:r w:rsidRPr="00035231">
              <w:rPr>
                <w:rFonts w:ascii="Times New Roman" w:hAnsi="Times New Roman" w:cs="Times New Roman"/>
                <w:lang w:eastAsia="lt-LT"/>
              </w:rPr>
              <w:t>vien</w:t>
            </w:r>
            <w:r>
              <w:rPr>
                <w:rFonts w:ascii="Times New Roman" w:hAnsi="Times New Roman" w:cs="Times New Roman"/>
                <w:lang w:eastAsia="lt-LT"/>
              </w:rPr>
              <w:t>o</w:t>
            </w:r>
            <w:r w:rsidRPr="00035231">
              <w:rPr>
                <w:rFonts w:ascii="Times New Roman" w:hAnsi="Times New Roman" w:cs="Times New Roman"/>
                <w:lang w:eastAsia="lt-LT"/>
              </w:rPr>
              <w:t xml:space="preserve"> darbuotoj</w:t>
            </w:r>
            <w:r>
              <w:rPr>
                <w:rFonts w:ascii="Times New Roman" w:hAnsi="Times New Roman" w:cs="Times New Roman"/>
                <w:lang w:eastAsia="lt-LT"/>
              </w:rPr>
              <w:t>o</w:t>
            </w:r>
            <w:r w:rsidRPr="00035231">
              <w:rPr>
                <w:rFonts w:ascii="Times New Roman" w:hAnsi="Times New Roman" w:cs="Times New Roman"/>
                <w:lang w:eastAsia="lt-LT"/>
              </w:rPr>
              <w:t xml:space="preserve"> </w:t>
            </w:r>
            <w:r w:rsidRPr="00035231">
              <w:rPr>
                <w:rFonts w:ascii="Times New Roman" w:hAnsi="Times New Roman" w:cs="Times New Roman"/>
              </w:rPr>
              <w:t xml:space="preserve">už korupcijai atsparios aplinkos kūrimą atsakingo asmens </w:t>
            </w:r>
            <w:r w:rsidRPr="00035231">
              <w:rPr>
                <w:rFonts w:ascii="Times New Roman" w:hAnsi="Times New Roman" w:cs="Times New Roman"/>
                <w:lang w:eastAsia="lt-LT"/>
              </w:rPr>
              <w:t xml:space="preserve">pareigybės aprašyme nustatyti </w:t>
            </w:r>
            <w:r w:rsidRPr="00035231">
              <w:rPr>
                <w:rFonts w:ascii="Times New Roman" w:hAnsi="Times New Roman" w:cs="Times New Roman"/>
              </w:rPr>
              <w:t xml:space="preserve">už korupcijai atsparios aplinkos kūrimą atsakingo asmens pavyzdiniame </w:t>
            </w:r>
            <w:r w:rsidRPr="00035231">
              <w:rPr>
                <w:rFonts w:ascii="Times New Roman" w:hAnsi="Times New Roman" w:cs="Times New Roman"/>
                <w:lang w:eastAsia="lt-LT"/>
              </w:rPr>
              <w:t>pareigybės aprašyme pastabose nurodytas privalomas nuostatas</w:t>
            </w:r>
            <w:r>
              <w:rPr>
                <w:rFonts w:ascii="Times New Roman" w:hAnsi="Times New Roman" w:cs="Times New Roman"/>
                <w:lang w:eastAsia="lt-LT"/>
              </w:rPr>
              <w:t xml:space="preserve">, užtikrinti jo veiklos ir organizacinį nepriklausomumą. Būtent šio darbuotojo pagrindinė veiklos sritis ir turėtų būti – korupcijos </w:t>
            </w:r>
            <w:r w:rsidR="00F274F3">
              <w:rPr>
                <w:rFonts w:ascii="Times New Roman" w:hAnsi="Times New Roman" w:cs="Times New Roman"/>
                <w:lang w:eastAsia="lt-LT"/>
              </w:rPr>
              <w:t>prevencija,</w:t>
            </w:r>
            <w:r>
              <w:rPr>
                <w:rFonts w:ascii="Times New Roman" w:hAnsi="Times New Roman" w:cs="Times New Roman"/>
                <w:lang w:eastAsia="lt-LT"/>
              </w:rPr>
              <w:t xml:space="preserve"> kaip ir nustatyta galiojančiame teisiniame reguliavime</w:t>
            </w:r>
            <w:r w:rsidR="00F274F3">
              <w:rPr>
                <w:rFonts w:ascii="Times New Roman" w:hAnsi="Times New Roman" w:cs="Times New Roman"/>
                <w:lang w:eastAsia="lt-LT"/>
              </w:rPr>
              <w:t xml:space="preserve">. </w:t>
            </w:r>
            <w:r w:rsidR="00F274F3" w:rsidRPr="00B8059D">
              <w:rPr>
                <w:rFonts w:ascii="Times New Roman" w:hAnsi="Times New Roman" w:cs="Times New Roman"/>
              </w:rPr>
              <w:t xml:space="preserve">Valstybės tarnautojų pareigybių aprašymo ir vertinimo </w:t>
            </w:r>
            <w:r w:rsidR="00F274F3" w:rsidRPr="00B8059D">
              <w:rPr>
                <w:rFonts w:ascii="Times New Roman" w:hAnsi="Times New Roman" w:cs="Times New Roman"/>
              </w:rPr>
              <w:lastRenderedPageBreak/>
              <w:t>metodikos, patvirtintos Lietuvos Respublikos Vyriausybės 2018 m. lapkričio 28 d. nutarimu Nr. 1176 „Dėl Lietuvos Respublikos valstybės tarnybos įstatymo įgyvendinimo“, 13.1 papunktyje prie bendrosios veiklos srities, kurioje atliekamos funkcijos, užtikrinančios savar</w:t>
            </w:r>
            <w:r w:rsidR="00F274F3">
              <w:rPr>
                <w:rFonts w:ascii="Times New Roman" w:hAnsi="Times New Roman" w:cs="Times New Roman"/>
              </w:rPr>
              <w:t>ankišką įstaigos funkcionavimą,</w:t>
            </w:r>
            <w:r w:rsidR="00F274F3" w:rsidRPr="00B8059D">
              <w:rPr>
                <w:rFonts w:ascii="Times New Roman" w:hAnsi="Times New Roman" w:cs="Times New Roman"/>
              </w:rPr>
              <w:t xml:space="preserve"> yra priskirta </w:t>
            </w:r>
            <w:r w:rsidR="00F274F3" w:rsidRPr="00AE376D">
              <w:rPr>
                <w:rFonts w:ascii="Times New Roman" w:hAnsi="Times New Roman" w:cs="Times New Roman"/>
                <w:i/>
              </w:rPr>
              <w:t>korupcijos prevencija</w:t>
            </w:r>
            <w:r w:rsidR="00F274F3" w:rsidRPr="00B8059D">
              <w:rPr>
                <w:rFonts w:ascii="Times New Roman" w:hAnsi="Times New Roman" w:cs="Times New Roman"/>
              </w:rPr>
              <w:t xml:space="preserve">, kuri nustatoma viešojo sektoriaus subjektuose valstybės tarnautojo, </w:t>
            </w:r>
            <w:r w:rsidR="00F274F3">
              <w:rPr>
                <w:rFonts w:ascii="Times New Roman" w:hAnsi="Times New Roman" w:cs="Times New Roman"/>
              </w:rPr>
              <w:t>atsakingo už korupcijai atsparios aplinkos kūrimą</w:t>
            </w:r>
            <w:r w:rsidR="00F274F3" w:rsidRPr="00B8059D">
              <w:rPr>
                <w:rFonts w:ascii="Times New Roman" w:hAnsi="Times New Roman" w:cs="Times New Roman"/>
              </w:rPr>
              <w:t>, pareigybei. Pažymėtina, kad viešojo sektoriaus subjektuose įsteigti padaliniai arba paskirti asmenys jau šiuo metu atlieka teisės pažeidimų tyrimus, taiko poveikio priemones, rengia korupcijos prevencijos veiksmų planus ir vykdo kitas korupcijai atsparios aplinkos kūrimo priemones.</w:t>
            </w:r>
            <w:r w:rsidR="00E53301">
              <w:rPr>
                <w:rFonts w:ascii="Times New Roman" w:hAnsi="Times New Roman" w:cs="Times New Roman"/>
              </w:rPr>
              <w:t xml:space="preserve"> </w:t>
            </w:r>
          </w:p>
          <w:p w14:paraId="7A155AF7" w14:textId="548DC5E9" w:rsidR="00103E5F" w:rsidRPr="0071349E" w:rsidRDefault="00103E5F" w:rsidP="00133EEC">
            <w:pPr>
              <w:spacing w:after="0" w:line="240" w:lineRule="auto"/>
              <w:jc w:val="both"/>
              <w:rPr>
                <w:rFonts w:ascii="Times New Roman" w:hAnsi="Times New Roman" w:cs="Times New Roman"/>
              </w:rPr>
            </w:pPr>
            <w:r w:rsidRPr="00B8059D">
              <w:rPr>
                <w:rFonts w:ascii="Times New Roman" w:hAnsi="Times New Roman" w:cs="Times New Roman"/>
              </w:rPr>
              <w:t>Atsižvelgiant į tai, kas išdėstyta, tikslinti Metodiką ir korupcijos prevencijos sritį priskirti prie kitos specialios veiklos srities nėra tikslinga.</w:t>
            </w:r>
          </w:p>
        </w:tc>
      </w:tr>
      <w:tr w:rsidR="00345EEC" w:rsidRPr="002E5568" w14:paraId="2D967775" w14:textId="77777777" w:rsidTr="00133EEC">
        <w:tc>
          <w:tcPr>
            <w:tcW w:w="562" w:type="dxa"/>
          </w:tcPr>
          <w:p w14:paraId="62E643E7" w14:textId="35D07C34" w:rsidR="00345EEC" w:rsidRDefault="002A4E2F" w:rsidP="00133EEC">
            <w:pPr>
              <w:spacing w:after="0" w:line="240" w:lineRule="auto"/>
              <w:jc w:val="center"/>
              <w:rPr>
                <w:rFonts w:ascii="Times New Roman" w:eastAsia="Andale Sans UI" w:hAnsi="Times New Roman" w:cs="Times New Roman"/>
                <w:b/>
                <w:bCs/>
                <w:lang w:bidi="en-US"/>
              </w:rPr>
            </w:pPr>
            <w:r>
              <w:rPr>
                <w:rFonts w:ascii="Times New Roman" w:eastAsia="Andale Sans UI" w:hAnsi="Times New Roman" w:cs="Times New Roman"/>
                <w:b/>
                <w:bCs/>
                <w:lang w:bidi="en-US"/>
              </w:rPr>
              <w:lastRenderedPageBreak/>
              <w:t>3</w:t>
            </w:r>
            <w:r w:rsidR="00345EEC">
              <w:rPr>
                <w:rFonts w:ascii="Times New Roman" w:eastAsia="Andale Sans UI" w:hAnsi="Times New Roman" w:cs="Times New Roman"/>
                <w:b/>
                <w:bCs/>
                <w:lang w:bidi="en-US"/>
              </w:rPr>
              <w:t>.</w:t>
            </w:r>
          </w:p>
        </w:tc>
        <w:tc>
          <w:tcPr>
            <w:tcW w:w="2159" w:type="dxa"/>
          </w:tcPr>
          <w:p w14:paraId="36C7DB59" w14:textId="77777777" w:rsidR="00345EEC" w:rsidRPr="00E81374" w:rsidRDefault="00345EEC" w:rsidP="00133EEC">
            <w:pPr>
              <w:spacing w:after="0" w:line="240" w:lineRule="auto"/>
              <w:jc w:val="both"/>
              <w:rPr>
                <w:rFonts w:ascii="Times New Roman" w:hAnsi="Times New Roman" w:cs="Times New Roman"/>
                <w:b/>
                <w:bCs/>
              </w:rPr>
            </w:pPr>
          </w:p>
        </w:tc>
        <w:tc>
          <w:tcPr>
            <w:tcW w:w="6095" w:type="dxa"/>
          </w:tcPr>
          <w:p w14:paraId="2C36A46C" w14:textId="2A242B84" w:rsidR="00345EEC" w:rsidRPr="00E81374" w:rsidRDefault="00345EEC" w:rsidP="00133EEC">
            <w:pPr>
              <w:spacing w:after="0" w:line="240" w:lineRule="auto"/>
              <w:jc w:val="both"/>
              <w:rPr>
                <w:rFonts w:ascii="Times New Roman" w:hAnsi="Times New Roman" w:cs="Times New Roman"/>
                <w:u w:val="single"/>
              </w:rPr>
            </w:pPr>
            <w:r w:rsidRPr="00E81374">
              <w:rPr>
                <w:rFonts w:ascii="Times New Roman" w:hAnsi="Times New Roman" w:cs="Times New Roman"/>
              </w:rPr>
              <w:t>2.9. Tikslinga kaip lydimąjį teisės aktą kartu keisti ir Valstybės tarnautojų pareigybių aprašymo ir vertinimo metodiką, patvirtintą Lietuvos Respublikos Vyriausybės 2018 m. lapkričio 28 d. nutarimu Nr. 1176 „Dėl Lietuvos Respublikos valstybės tarnybos įstatymo įgyvendinimo“ (toliau – Metodika), atsižvelgiant į 2022 m. sausio 1 d. įsigaliosiančio naujos redakcijos Lietuvos Respublikos korupcijos prevencijos įstatymo nuostatas, pagal kurias v</w:t>
            </w:r>
            <w:r w:rsidRPr="00E81374">
              <w:rPr>
                <w:rFonts w:ascii="Times New Roman" w:hAnsi="Times New Roman" w:cs="Times New Roman"/>
                <w:lang w:eastAsia="lt-LT"/>
              </w:rPr>
              <w:t>iešojo sektoriaus subjektai steigia už korupcijai atsparios aplinkos kūrimą atsakingus padalinius arba paskiria už korupcijai atsparios aplinkos kūrimą atsakingus asmenis. Šių subjektų veikla reglamentuojama viešojo sektoriaus subjekto patvirtintose už korupcijai atsparios aplinkos kūrimą atsakingų subjektų nuostatuose ir (arba) pareigybių aprašymuose, kurie bus rengiami vadovaujantis Vyriausybės patvirtintais pavyzdiniais už korupcijai atsparios aplinkos kūrimą atsakingų subjektų nuostatais ir (arba) pareigybių aprašymais. Įvertinus už korupcijai atsparios aplinkos kūrimą atsakingų asmenų funkcijų specifiškumą (</w:t>
            </w:r>
            <w:proofErr w:type="spellStart"/>
            <w:r w:rsidRPr="00E81374">
              <w:rPr>
                <w:rFonts w:ascii="Times New Roman" w:hAnsi="Times New Roman" w:cs="Times New Roman"/>
                <w:i/>
                <w:lang w:eastAsia="lt-LT"/>
              </w:rPr>
              <w:t>inter</w:t>
            </w:r>
            <w:proofErr w:type="spellEnd"/>
            <w:r w:rsidRPr="00E81374">
              <w:rPr>
                <w:rFonts w:ascii="Times New Roman" w:hAnsi="Times New Roman" w:cs="Times New Roman"/>
                <w:i/>
                <w:lang w:eastAsia="lt-LT"/>
              </w:rPr>
              <w:t xml:space="preserve"> alia</w:t>
            </w:r>
            <w:r w:rsidRPr="00E81374">
              <w:rPr>
                <w:rFonts w:ascii="Times New Roman" w:hAnsi="Times New Roman" w:cs="Times New Roman"/>
                <w:lang w:eastAsia="lt-LT"/>
              </w:rPr>
              <w:t xml:space="preserve">, kad dalis šių funkcijų bus viešojo administravimo funkcijos, pvz., teisės pažeidimų tyrimas, poveikio priemonių taikymas, teisės aktų projektų antikorupcinis vertinimas, korupcijos prevencijos veiksmų plano rengimas) ir veiklos bei organizacinį nepriklausomumą, kurį </w:t>
            </w:r>
            <w:r w:rsidRPr="00E81374">
              <w:rPr>
                <w:rFonts w:ascii="Times New Roman" w:hAnsi="Times New Roman" w:cs="Times New Roman"/>
                <w:lang w:eastAsia="lt-LT"/>
              </w:rPr>
              <w:lastRenderedPageBreak/>
              <w:t xml:space="preserve">turi užtikrinti viešojo sektoriaus subjekto vadovas, siūloma keisti Metodikos 13.1 papunktį, jame atsisakant bendrosios veiklos srities – </w:t>
            </w:r>
            <w:r w:rsidRPr="00E81374">
              <w:rPr>
                <w:rFonts w:ascii="Times New Roman" w:hAnsi="Times New Roman" w:cs="Times New Roman"/>
                <w:i/>
                <w:lang w:eastAsia="lt-LT"/>
              </w:rPr>
              <w:t>korupcijos prevencijos</w:t>
            </w:r>
            <w:r w:rsidRPr="00E81374">
              <w:rPr>
                <w:rFonts w:ascii="Times New Roman" w:hAnsi="Times New Roman" w:cs="Times New Roman"/>
                <w:lang w:eastAsia="lt-LT"/>
              </w:rPr>
              <w:t xml:space="preserve">, o rengiant už korupcijai atsparios aplinkos kūrimą atsakingų valstybės tarnautojų pareigybių aprašymus bus parenkama Metodikos 13.2 papunktyje nurodyta </w:t>
            </w:r>
            <w:r w:rsidRPr="00E81374">
              <w:rPr>
                <w:rFonts w:ascii="Times New Roman" w:hAnsi="Times New Roman" w:cs="Times New Roman"/>
                <w:i/>
                <w:lang w:eastAsia="lt-LT"/>
              </w:rPr>
              <w:t>kita specialioji veiklos sritis</w:t>
            </w:r>
            <w:r w:rsidRPr="00E81374">
              <w:rPr>
                <w:rFonts w:ascii="Times New Roman" w:hAnsi="Times New Roman" w:cs="Times New Roman"/>
                <w:lang w:eastAsia="lt-LT"/>
              </w:rPr>
              <w:t>, kuri nustatoma Metodikos 3 priede išvardytoms pareigybėms.</w:t>
            </w:r>
          </w:p>
        </w:tc>
        <w:tc>
          <w:tcPr>
            <w:tcW w:w="5699" w:type="dxa"/>
          </w:tcPr>
          <w:p w14:paraId="2FECA22D" w14:textId="617EB896" w:rsidR="00345EEC" w:rsidRDefault="00345EEC" w:rsidP="00133EEC">
            <w:pPr>
              <w:spacing w:after="0" w:line="240" w:lineRule="auto"/>
              <w:jc w:val="both"/>
              <w:rPr>
                <w:rFonts w:ascii="Times New Roman" w:hAnsi="Times New Roman" w:cs="Times New Roman"/>
              </w:rPr>
            </w:pPr>
            <w:r w:rsidRPr="00EE3010">
              <w:rPr>
                <w:rFonts w:ascii="Times New Roman" w:hAnsi="Times New Roman" w:cs="Times New Roman"/>
                <w:b/>
              </w:rPr>
              <w:lastRenderedPageBreak/>
              <w:t>Neatsižvelgta</w:t>
            </w:r>
            <w:r w:rsidR="00F203D3">
              <w:rPr>
                <w:rFonts w:ascii="Times New Roman" w:hAnsi="Times New Roman" w:cs="Times New Roman"/>
                <w:b/>
              </w:rPr>
              <w:t xml:space="preserve"> </w:t>
            </w:r>
            <w:r w:rsidR="00F203D3" w:rsidRPr="00F203D3">
              <w:rPr>
                <w:rFonts w:ascii="Times New Roman" w:hAnsi="Times New Roman" w:cs="Times New Roman"/>
              </w:rPr>
              <w:t xml:space="preserve">(žr. pateiktą komentarą prie </w:t>
            </w:r>
            <w:r w:rsidR="00F203D3">
              <w:rPr>
                <w:rFonts w:ascii="Times New Roman" w:hAnsi="Times New Roman" w:cs="Times New Roman"/>
              </w:rPr>
              <w:t xml:space="preserve">1 ir </w:t>
            </w:r>
            <w:r w:rsidR="00F203D3" w:rsidRPr="00F203D3">
              <w:rPr>
                <w:rFonts w:ascii="Times New Roman" w:hAnsi="Times New Roman" w:cs="Times New Roman"/>
              </w:rPr>
              <w:t>2 p.)</w:t>
            </w:r>
          </w:p>
          <w:p w14:paraId="72EA4088" w14:textId="2B7C54DF" w:rsidR="00A45318" w:rsidRDefault="00A45318" w:rsidP="00133EEC">
            <w:pPr>
              <w:spacing w:after="0" w:line="240" w:lineRule="auto"/>
              <w:jc w:val="both"/>
              <w:rPr>
                <w:rFonts w:ascii="Times New Roman" w:hAnsi="Times New Roman" w:cs="Times New Roman"/>
              </w:rPr>
            </w:pPr>
          </w:p>
          <w:p w14:paraId="1FBA916D" w14:textId="77777777" w:rsidR="00A45318" w:rsidRDefault="00A45318" w:rsidP="00133EEC">
            <w:pPr>
              <w:spacing w:after="0" w:line="240" w:lineRule="auto"/>
              <w:jc w:val="both"/>
              <w:rPr>
                <w:rFonts w:ascii="Times New Roman" w:hAnsi="Times New Roman" w:cs="Times New Roman"/>
              </w:rPr>
            </w:pPr>
          </w:p>
          <w:p w14:paraId="5369CB5A" w14:textId="77777777" w:rsidR="00A45318" w:rsidRDefault="00A45318" w:rsidP="00133EEC">
            <w:pPr>
              <w:spacing w:after="0" w:line="240" w:lineRule="auto"/>
              <w:jc w:val="both"/>
              <w:rPr>
                <w:rFonts w:ascii="Times New Roman" w:hAnsi="Times New Roman" w:cs="Times New Roman"/>
              </w:rPr>
            </w:pPr>
          </w:p>
          <w:p w14:paraId="474E9AD3" w14:textId="6DC0B81C" w:rsidR="0071349E" w:rsidRPr="002520F2" w:rsidRDefault="0071349E" w:rsidP="00133EEC">
            <w:pPr>
              <w:tabs>
                <w:tab w:val="left" w:pos="709"/>
              </w:tabs>
              <w:spacing w:after="0" w:line="240" w:lineRule="auto"/>
              <w:jc w:val="both"/>
              <w:rPr>
                <w:rFonts w:ascii="Times New Roman" w:hAnsi="Times New Roman" w:cs="Times New Roman"/>
                <w:b/>
              </w:rPr>
            </w:pPr>
          </w:p>
        </w:tc>
      </w:tr>
      <w:tr w:rsidR="00345EEC" w:rsidRPr="002E5568" w14:paraId="21384A62" w14:textId="77777777" w:rsidTr="00133EEC">
        <w:tc>
          <w:tcPr>
            <w:tcW w:w="562" w:type="dxa"/>
          </w:tcPr>
          <w:p w14:paraId="53A16A9D" w14:textId="1A39B0E2" w:rsidR="00345EEC" w:rsidRDefault="002A4E2F" w:rsidP="00133EEC">
            <w:pPr>
              <w:spacing w:after="0" w:line="240" w:lineRule="auto"/>
              <w:jc w:val="center"/>
              <w:rPr>
                <w:rFonts w:ascii="Times New Roman" w:eastAsia="Andale Sans UI" w:hAnsi="Times New Roman" w:cs="Times New Roman"/>
                <w:b/>
                <w:bCs/>
                <w:lang w:bidi="en-US"/>
              </w:rPr>
            </w:pPr>
            <w:r>
              <w:rPr>
                <w:rFonts w:ascii="Times New Roman" w:eastAsia="Andale Sans UI" w:hAnsi="Times New Roman" w:cs="Times New Roman"/>
                <w:b/>
                <w:bCs/>
                <w:lang w:bidi="en-US"/>
              </w:rPr>
              <w:t>4</w:t>
            </w:r>
            <w:r w:rsidR="00C31CA7">
              <w:rPr>
                <w:rFonts w:ascii="Times New Roman" w:eastAsia="Andale Sans UI" w:hAnsi="Times New Roman" w:cs="Times New Roman"/>
                <w:b/>
                <w:bCs/>
                <w:lang w:bidi="en-US"/>
              </w:rPr>
              <w:t>.</w:t>
            </w:r>
          </w:p>
        </w:tc>
        <w:tc>
          <w:tcPr>
            <w:tcW w:w="2159" w:type="dxa"/>
          </w:tcPr>
          <w:p w14:paraId="7283E305" w14:textId="356B579C" w:rsidR="00345EEC" w:rsidRPr="00E81374" w:rsidRDefault="00345EEC" w:rsidP="00133EEC">
            <w:pPr>
              <w:spacing w:after="0" w:line="240" w:lineRule="auto"/>
              <w:jc w:val="both"/>
              <w:rPr>
                <w:rFonts w:ascii="Times New Roman" w:hAnsi="Times New Roman" w:cs="Times New Roman"/>
                <w:b/>
                <w:bCs/>
              </w:rPr>
            </w:pPr>
          </w:p>
        </w:tc>
        <w:tc>
          <w:tcPr>
            <w:tcW w:w="6095" w:type="dxa"/>
          </w:tcPr>
          <w:p w14:paraId="59D539C3" w14:textId="77777777" w:rsidR="00345EEC" w:rsidRPr="00E81374" w:rsidRDefault="00345EEC" w:rsidP="00133EEC">
            <w:pPr>
              <w:spacing w:after="0" w:line="240" w:lineRule="auto"/>
              <w:jc w:val="both"/>
              <w:rPr>
                <w:rFonts w:ascii="Times New Roman" w:hAnsi="Times New Roman" w:cs="Times New Roman"/>
              </w:rPr>
            </w:pPr>
            <w:r w:rsidRPr="00E81374">
              <w:rPr>
                <w:rFonts w:ascii="Times New Roman" w:hAnsi="Times New Roman" w:cs="Times New Roman"/>
              </w:rPr>
              <w:t>2.10. Metodika kartu turėtų būti keičiama atsižvelgiant ir į 2022 m. sausio 1 d. įsigaliosiančio Lietuvos Respublikos valstybės tarnybos įstatymo Nr. VIII-1316 2, 10, 49 straipsnių ir 1 priedo pakeitimo įstatymo nuostatas, pagal kurias įtvirtinta nauja valstybės tarnautojo pareigybė – prekybos atstovo (būtina šią pareigybę priskirti Metodikos 1 priede nurodytam konkrečiam pareigybės lygmeniui, pagal kurį prekybos atstovui bus nustatomi tipiniai specialieji reikalavimai, kompetencijos ir jų pakankami lygiai).</w:t>
            </w:r>
          </w:p>
          <w:p w14:paraId="48A93CCA" w14:textId="6415D038" w:rsidR="00345EEC" w:rsidRPr="00E81374" w:rsidRDefault="00345EEC" w:rsidP="00133EEC">
            <w:pPr>
              <w:spacing w:after="0" w:line="240" w:lineRule="auto"/>
              <w:ind w:firstLine="720"/>
              <w:jc w:val="both"/>
              <w:rPr>
                <w:rFonts w:ascii="Times New Roman" w:hAnsi="Times New Roman" w:cs="Times New Roman"/>
              </w:rPr>
            </w:pPr>
            <w:r w:rsidRPr="00E81374">
              <w:rPr>
                <w:rFonts w:ascii="Times New Roman" w:hAnsi="Times New Roman" w:cs="Times New Roman"/>
                <w:lang w:eastAsia="ar-SA"/>
              </w:rPr>
              <w:t xml:space="preserve">PRIDEDAMA. Lietuvos Respublikos Vyriausybės nutarimo „Dėl </w:t>
            </w:r>
            <w:r w:rsidRPr="00E81374">
              <w:rPr>
                <w:rFonts w:ascii="Times New Roman" w:hAnsi="Times New Roman" w:cs="Times New Roman"/>
                <w:bCs/>
                <w:shd w:val="clear" w:color="auto" w:fill="FFFFFF"/>
              </w:rPr>
              <w:t>Lietuvos Respublikos Vyriausybės 2018 m. lapkričio 28 d.</w:t>
            </w:r>
            <w:r w:rsidRPr="00E81374">
              <w:rPr>
                <w:rFonts w:ascii="Times New Roman" w:hAnsi="Times New Roman" w:cs="Times New Roman"/>
                <w:b/>
                <w:bCs/>
                <w:caps/>
                <w:shd w:val="clear" w:color="auto" w:fill="FFFFFF"/>
              </w:rPr>
              <w:t xml:space="preserve"> </w:t>
            </w:r>
            <w:r w:rsidRPr="00E81374">
              <w:rPr>
                <w:rFonts w:ascii="Times New Roman" w:hAnsi="Times New Roman" w:cs="Times New Roman"/>
                <w:bCs/>
                <w:shd w:val="clear" w:color="auto" w:fill="FFFFFF"/>
              </w:rPr>
              <w:t>nutarimo Nr. 1176 „Dėl Lietuvos Respublikos valstybės tarnybos</w:t>
            </w:r>
            <w:r w:rsidRPr="00E81374">
              <w:rPr>
                <w:rFonts w:ascii="Times New Roman" w:hAnsi="Times New Roman" w:cs="Times New Roman"/>
                <w:b/>
                <w:bCs/>
                <w:caps/>
                <w:shd w:val="clear" w:color="auto" w:fill="FFFFFF"/>
              </w:rPr>
              <w:t xml:space="preserve"> </w:t>
            </w:r>
            <w:r w:rsidRPr="00E81374">
              <w:rPr>
                <w:rFonts w:ascii="Times New Roman" w:hAnsi="Times New Roman" w:cs="Times New Roman"/>
                <w:bCs/>
                <w:shd w:val="clear" w:color="auto" w:fill="FFFFFF"/>
              </w:rPr>
              <w:t>įstatymo įgyvendinimo“ pakeitimo</w:t>
            </w:r>
            <w:r w:rsidRPr="00E81374">
              <w:rPr>
                <w:rFonts w:ascii="Times New Roman" w:hAnsi="Times New Roman" w:cs="Times New Roman"/>
                <w:lang w:eastAsia="ar-SA"/>
              </w:rPr>
              <w:t>“, 2 lapai.</w:t>
            </w:r>
          </w:p>
        </w:tc>
        <w:tc>
          <w:tcPr>
            <w:tcW w:w="5699" w:type="dxa"/>
          </w:tcPr>
          <w:p w14:paraId="1F8DE288" w14:textId="15640CB3" w:rsidR="00345EEC" w:rsidRPr="00EE3010" w:rsidRDefault="00345EEC" w:rsidP="00133EEC">
            <w:pPr>
              <w:spacing w:after="0" w:line="240" w:lineRule="auto"/>
              <w:jc w:val="both"/>
              <w:rPr>
                <w:rFonts w:ascii="Times New Roman" w:hAnsi="Times New Roman" w:cs="Times New Roman"/>
                <w:b/>
              </w:rPr>
            </w:pPr>
            <w:r w:rsidRPr="003B161C">
              <w:rPr>
                <w:rFonts w:ascii="Times New Roman" w:hAnsi="Times New Roman" w:cs="Times New Roman"/>
                <w:b/>
              </w:rPr>
              <w:t>Neatsižvelgta.</w:t>
            </w:r>
            <w:r>
              <w:rPr>
                <w:rFonts w:ascii="Times New Roman" w:hAnsi="Times New Roman" w:cs="Times New Roman"/>
                <w:b/>
              </w:rPr>
              <w:t xml:space="preserve"> </w:t>
            </w:r>
            <w:r w:rsidRPr="003B161C">
              <w:rPr>
                <w:rFonts w:ascii="Times New Roman" w:hAnsi="Times New Roman" w:cs="Times New Roman"/>
              </w:rPr>
              <w:t>(žr.</w:t>
            </w:r>
            <w:r w:rsidR="00C31CA7">
              <w:rPr>
                <w:rFonts w:ascii="Times New Roman" w:hAnsi="Times New Roman" w:cs="Times New Roman"/>
              </w:rPr>
              <w:t xml:space="preserve"> </w:t>
            </w:r>
            <w:r w:rsidRPr="003B161C">
              <w:rPr>
                <w:rFonts w:ascii="Times New Roman" w:hAnsi="Times New Roman" w:cs="Times New Roman"/>
              </w:rPr>
              <w:t>komentarą</w:t>
            </w:r>
            <w:r w:rsidR="00C31CA7" w:rsidRPr="003B161C">
              <w:rPr>
                <w:rFonts w:ascii="Times New Roman" w:hAnsi="Times New Roman" w:cs="Times New Roman"/>
              </w:rPr>
              <w:t xml:space="preserve"> pateiktą</w:t>
            </w:r>
            <w:r w:rsidR="002520F2">
              <w:rPr>
                <w:rFonts w:ascii="Times New Roman" w:hAnsi="Times New Roman" w:cs="Times New Roman"/>
              </w:rPr>
              <w:t xml:space="preserve"> prie </w:t>
            </w:r>
            <w:r w:rsidR="00F203D3">
              <w:rPr>
                <w:rFonts w:ascii="Times New Roman" w:hAnsi="Times New Roman" w:cs="Times New Roman"/>
              </w:rPr>
              <w:t>2</w:t>
            </w:r>
            <w:r w:rsidR="00C31CA7">
              <w:rPr>
                <w:rFonts w:ascii="Times New Roman" w:hAnsi="Times New Roman" w:cs="Times New Roman"/>
              </w:rPr>
              <w:t xml:space="preserve"> p.</w:t>
            </w:r>
            <w:r w:rsidRPr="003B161C">
              <w:rPr>
                <w:rFonts w:ascii="Times New Roman" w:hAnsi="Times New Roman" w:cs="Times New Roman"/>
              </w:rPr>
              <w:t>)</w:t>
            </w:r>
          </w:p>
        </w:tc>
      </w:tr>
    </w:tbl>
    <w:p w14:paraId="22BDBC9F" w14:textId="77777777" w:rsidR="00E81374" w:rsidRPr="00E81374" w:rsidRDefault="00E81374" w:rsidP="00E81374">
      <w:pPr>
        <w:spacing w:after="0" w:line="240" w:lineRule="auto"/>
        <w:jc w:val="both"/>
        <w:rPr>
          <w:rFonts w:ascii="Times New Roman" w:hAnsi="Times New Roman" w:cs="Times New Roman"/>
        </w:rPr>
      </w:pPr>
    </w:p>
    <w:sectPr w:rsidR="00E81374" w:rsidRPr="00E81374" w:rsidSect="00133EEC">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EDAB" w14:textId="77777777" w:rsidR="00E02CB6" w:rsidRDefault="00E02CB6" w:rsidP="00EE04ED">
      <w:pPr>
        <w:spacing w:after="0" w:line="240" w:lineRule="auto"/>
      </w:pPr>
      <w:r>
        <w:separator/>
      </w:r>
    </w:p>
  </w:endnote>
  <w:endnote w:type="continuationSeparator" w:id="0">
    <w:p w14:paraId="48DE98E9" w14:textId="77777777" w:rsidR="00E02CB6" w:rsidRDefault="00E02CB6" w:rsidP="00EE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3818" w14:textId="77777777" w:rsidR="00E02CB6" w:rsidRDefault="00E02CB6" w:rsidP="00EE04ED">
      <w:pPr>
        <w:spacing w:after="0" w:line="240" w:lineRule="auto"/>
      </w:pPr>
      <w:r>
        <w:separator/>
      </w:r>
    </w:p>
  </w:footnote>
  <w:footnote w:type="continuationSeparator" w:id="0">
    <w:p w14:paraId="26D41800" w14:textId="77777777" w:rsidR="00E02CB6" w:rsidRDefault="00E02CB6" w:rsidP="00EE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74021800"/>
      <w:docPartObj>
        <w:docPartGallery w:val="Page Numbers (Top of Page)"/>
        <w:docPartUnique/>
      </w:docPartObj>
    </w:sdtPr>
    <w:sdtEndPr/>
    <w:sdtContent>
      <w:p w14:paraId="54C497D8" w14:textId="11CEF3D5" w:rsidR="00EE04ED" w:rsidRPr="00EE04ED" w:rsidRDefault="00EE04ED">
        <w:pPr>
          <w:pStyle w:val="Antrats"/>
          <w:jc w:val="center"/>
          <w:rPr>
            <w:rFonts w:ascii="Times New Roman" w:hAnsi="Times New Roman" w:cs="Times New Roman"/>
          </w:rPr>
        </w:pPr>
        <w:r w:rsidRPr="00EE04ED">
          <w:rPr>
            <w:rFonts w:ascii="Times New Roman" w:hAnsi="Times New Roman" w:cs="Times New Roman"/>
          </w:rPr>
          <w:fldChar w:fldCharType="begin"/>
        </w:r>
        <w:r w:rsidRPr="00EE04ED">
          <w:rPr>
            <w:rFonts w:ascii="Times New Roman" w:hAnsi="Times New Roman" w:cs="Times New Roman"/>
          </w:rPr>
          <w:instrText>PAGE   \* MERGEFORMAT</w:instrText>
        </w:r>
        <w:r w:rsidRPr="00EE04ED">
          <w:rPr>
            <w:rFonts w:ascii="Times New Roman" w:hAnsi="Times New Roman" w:cs="Times New Roman"/>
          </w:rPr>
          <w:fldChar w:fldCharType="separate"/>
        </w:r>
        <w:r w:rsidR="00103E5F">
          <w:rPr>
            <w:rFonts w:ascii="Times New Roman" w:hAnsi="Times New Roman" w:cs="Times New Roman"/>
            <w:noProof/>
          </w:rPr>
          <w:t>4</w:t>
        </w:r>
        <w:r w:rsidRPr="00EE04ED">
          <w:rPr>
            <w:rFonts w:ascii="Times New Roman" w:hAnsi="Times New Roman" w:cs="Times New Roman"/>
          </w:rPr>
          <w:fldChar w:fldCharType="end"/>
        </w:r>
      </w:p>
    </w:sdtContent>
  </w:sdt>
  <w:p w14:paraId="2B90B665" w14:textId="77777777" w:rsidR="00EE04ED" w:rsidRDefault="00EE04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34304"/>
    <w:multiLevelType w:val="hybridMultilevel"/>
    <w:tmpl w:val="FC166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930408"/>
    <w:multiLevelType w:val="multilevel"/>
    <w:tmpl w:val="DB04C586"/>
    <w:lvl w:ilvl="0">
      <w:start w:val="1"/>
      <w:numFmt w:val="decimal"/>
      <w:lvlText w:val="%1."/>
      <w:lvlJc w:val="left"/>
      <w:pPr>
        <w:ind w:left="720" w:hanging="360"/>
      </w:pPr>
      <w:rPr>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FB"/>
    <w:rsid w:val="00006CA6"/>
    <w:rsid w:val="00012057"/>
    <w:rsid w:val="00012C7E"/>
    <w:rsid w:val="00030FCF"/>
    <w:rsid w:val="000351A1"/>
    <w:rsid w:val="000359E1"/>
    <w:rsid w:val="000457ED"/>
    <w:rsid w:val="00045E32"/>
    <w:rsid w:val="00047005"/>
    <w:rsid w:val="000531A5"/>
    <w:rsid w:val="00056426"/>
    <w:rsid w:val="00063681"/>
    <w:rsid w:val="00063F78"/>
    <w:rsid w:val="00070D90"/>
    <w:rsid w:val="00072F24"/>
    <w:rsid w:val="00074DEE"/>
    <w:rsid w:val="0007547B"/>
    <w:rsid w:val="0007636D"/>
    <w:rsid w:val="00085754"/>
    <w:rsid w:val="000872BE"/>
    <w:rsid w:val="0008767F"/>
    <w:rsid w:val="000A3143"/>
    <w:rsid w:val="000A4648"/>
    <w:rsid w:val="000B04CF"/>
    <w:rsid w:val="000B1330"/>
    <w:rsid w:val="000B1448"/>
    <w:rsid w:val="000B70AC"/>
    <w:rsid w:val="000C06C4"/>
    <w:rsid w:val="000D2656"/>
    <w:rsid w:val="000D7AA0"/>
    <w:rsid w:val="000F0B83"/>
    <w:rsid w:val="000F4D5E"/>
    <w:rsid w:val="000F72CA"/>
    <w:rsid w:val="00103E5F"/>
    <w:rsid w:val="001146AE"/>
    <w:rsid w:val="00117550"/>
    <w:rsid w:val="001221A5"/>
    <w:rsid w:val="0012589C"/>
    <w:rsid w:val="001314F8"/>
    <w:rsid w:val="00132B0B"/>
    <w:rsid w:val="00133EEC"/>
    <w:rsid w:val="00135D24"/>
    <w:rsid w:val="00144754"/>
    <w:rsid w:val="001449D5"/>
    <w:rsid w:val="00146509"/>
    <w:rsid w:val="00147242"/>
    <w:rsid w:val="00150D77"/>
    <w:rsid w:val="0015152E"/>
    <w:rsid w:val="001577C4"/>
    <w:rsid w:val="00175ABA"/>
    <w:rsid w:val="001777F0"/>
    <w:rsid w:val="00185776"/>
    <w:rsid w:val="00192185"/>
    <w:rsid w:val="001932EA"/>
    <w:rsid w:val="00195155"/>
    <w:rsid w:val="001A0C99"/>
    <w:rsid w:val="001A3459"/>
    <w:rsid w:val="001A3D11"/>
    <w:rsid w:val="001A5F9C"/>
    <w:rsid w:val="001B4A88"/>
    <w:rsid w:val="001D021A"/>
    <w:rsid w:val="001E3098"/>
    <w:rsid w:val="001E7373"/>
    <w:rsid w:val="001F7FF4"/>
    <w:rsid w:val="002015A0"/>
    <w:rsid w:val="00203DD1"/>
    <w:rsid w:val="00203DEA"/>
    <w:rsid w:val="00206794"/>
    <w:rsid w:val="00210C5B"/>
    <w:rsid w:val="00211EEA"/>
    <w:rsid w:val="00214382"/>
    <w:rsid w:val="00214A99"/>
    <w:rsid w:val="00224534"/>
    <w:rsid w:val="00227450"/>
    <w:rsid w:val="002311E7"/>
    <w:rsid w:val="002352FD"/>
    <w:rsid w:val="00235968"/>
    <w:rsid w:val="00243ECA"/>
    <w:rsid w:val="00247C4C"/>
    <w:rsid w:val="002520F2"/>
    <w:rsid w:val="00253E2E"/>
    <w:rsid w:val="0025507C"/>
    <w:rsid w:val="00256AB2"/>
    <w:rsid w:val="0026705B"/>
    <w:rsid w:val="00267397"/>
    <w:rsid w:val="002759BC"/>
    <w:rsid w:val="00277536"/>
    <w:rsid w:val="00277789"/>
    <w:rsid w:val="002846D4"/>
    <w:rsid w:val="00290E43"/>
    <w:rsid w:val="00291366"/>
    <w:rsid w:val="0029402E"/>
    <w:rsid w:val="002946FA"/>
    <w:rsid w:val="002A0235"/>
    <w:rsid w:val="002A4E2F"/>
    <w:rsid w:val="002B624A"/>
    <w:rsid w:val="002B78CE"/>
    <w:rsid w:val="002C30B3"/>
    <w:rsid w:val="002D0288"/>
    <w:rsid w:val="002D0933"/>
    <w:rsid w:val="002E0D96"/>
    <w:rsid w:val="002E5550"/>
    <w:rsid w:val="002F0550"/>
    <w:rsid w:val="002F3457"/>
    <w:rsid w:val="002F755F"/>
    <w:rsid w:val="00301B76"/>
    <w:rsid w:val="0030348A"/>
    <w:rsid w:val="0030373F"/>
    <w:rsid w:val="0030519E"/>
    <w:rsid w:val="0031438F"/>
    <w:rsid w:val="00315E20"/>
    <w:rsid w:val="00315FFE"/>
    <w:rsid w:val="0032212F"/>
    <w:rsid w:val="00323881"/>
    <w:rsid w:val="003252B4"/>
    <w:rsid w:val="00326396"/>
    <w:rsid w:val="0033259B"/>
    <w:rsid w:val="00332656"/>
    <w:rsid w:val="00333687"/>
    <w:rsid w:val="00336785"/>
    <w:rsid w:val="00336ED1"/>
    <w:rsid w:val="00337525"/>
    <w:rsid w:val="00342E57"/>
    <w:rsid w:val="00345EEC"/>
    <w:rsid w:val="00351CF9"/>
    <w:rsid w:val="0035561A"/>
    <w:rsid w:val="00367224"/>
    <w:rsid w:val="00373C37"/>
    <w:rsid w:val="00373F9B"/>
    <w:rsid w:val="00377222"/>
    <w:rsid w:val="00384091"/>
    <w:rsid w:val="003937B8"/>
    <w:rsid w:val="00395969"/>
    <w:rsid w:val="003A5396"/>
    <w:rsid w:val="003B161C"/>
    <w:rsid w:val="003C05E8"/>
    <w:rsid w:val="003E064B"/>
    <w:rsid w:val="003E6273"/>
    <w:rsid w:val="00402751"/>
    <w:rsid w:val="00415999"/>
    <w:rsid w:val="0041662F"/>
    <w:rsid w:val="004321A9"/>
    <w:rsid w:val="00436E0D"/>
    <w:rsid w:val="004413F8"/>
    <w:rsid w:val="00442E46"/>
    <w:rsid w:val="0044564D"/>
    <w:rsid w:val="004456E6"/>
    <w:rsid w:val="00450438"/>
    <w:rsid w:val="00461247"/>
    <w:rsid w:val="00461D98"/>
    <w:rsid w:val="00462610"/>
    <w:rsid w:val="00466620"/>
    <w:rsid w:val="00473F66"/>
    <w:rsid w:val="004744B2"/>
    <w:rsid w:val="00490497"/>
    <w:rsid w:val="00496827"/>
    <w:rsid w:val="004A1768"/>
    <w:rsid w:val="004A2244"/>
    <w:rsid w:val="004A40BC"/>
    <w:rsid w:val="004B668C"/>
    <w:rsid w:val="004B7A46"/>
    <w:rsid w:val="004C6629"/>
    <w:rsid w:val="004D0B5A"/>
    <w:rsid w:val="004D1DE1"/>
    <w:rsid w:val="004D6BA8"/>
    <w:rsid w:val="004E00DD"/>
    <w:rsid w:val="004E2120"/>
    <w:rsid w:val="004E37AF"/>
    <w:rsid w:val="00500F1D"/>
    <w:rsid w:val="00505200"/>
    <w:rsid w:val="005069DF"/>
    <w:rsid w:val="00507933"/>
    <w:rsid w:val="005132EE"/>
    <w:rsid w:val="0051481F"/>
    <w:rsid w:val="00522B8F"/>
    <w:rsid w:val="0052479A"/>
    <w:rsid w:val="00527158"/>
    <w:rsid w:val="00530098"/>
    <w:rsid w:val="0053309F"/>
    <w:rsid w:val="0053449B"/>
    <w:rsid w:val="00543F46"/>
    <w:rsid w:val="00544C38"/>
    <w:rsid w:val="00545313"/>
    <w:rsid w:val="00546CA3"/>
    <w:rsid w:val="005537DD"/>
    <w:rsid w:val="00562094"/>
    <w:rsid w:val="00564B94"/>
    <w:rsid w:val="00565A86"/>
    <w:rsid w:val="00566C38"/>
    <w:rsid w:val="00567690"/>
    <w:rsid w:val="0057185A"/>
    <w:rsid w:val="0057673F"/>
    <w:rsid w:val="00582A07"/>
    <w:rsid w:val="005870B1"/>
    <w:rsid w:val="005931C3"/>
    <w:rsid w:val="005B582F"/>
    <w:rsid w:val="005B7155"/>
    <w:rsid w:val="005C5563"/>
    <w:rsid w:val="005D363E"/>
    <w:rsid w:val="005D6042"/>
    <w:rsid w:val="005D66D6"/>
    <w:rsid w:val="005E0B73"/>
    <w:rsid w:val="005E5089"/>
    <w:rsid w:val="005E5C09"/>
    <w:rsid w:val="005F0384"/>
    <w:rsid w:val="005F4D41"/>
    <w:rsid w:val="005F5306"/>
    <w:rsid w:val="005F736E"/>
    <w:rsid w:val="005F7665"/>
    <w:rsid w:val="00603834"/>
    <w:rsid w:val="00606BC5"/>
    <w:rsid w:val="00607E9C"/>
    <w:rsid w:val="0063025D"/>
    <w:rsid w:val="00632DB5"/>
    <w:rsid w:val="00634BE9"/>
    <w:rsid w:val="006446AF"/>
    <w:rsid w:val="006513DD"/>
    <w:rsid w:val="00653CAB"/>
    <w:rsid w:val="00655751"/>
    <w:rsid w:val="00657ADF"/>
    <w:rsid w:val="00663BB1"/>
    <w:rsid w:val="00665CF4"/>
    <w:rsid w:val="00665DE7"/>
    <w:rsid w:val="00666470"/>
    <w:rsid w:val="00671634"/>
    <w:rsid w:val="00671BD3"/>
    <w:rsid w:val="0067719E"/>
    <w:rsid w:val="0068070E"/>
    <w:rsid w:val="00680762"/>
    <w:rsid w:val="006835E2"/>
    <w:rsid w:val="006855DD"/>
    <w:rsid w:val="006876FA"/>
    <w:rsid w:val="006914F6"/>
    <w:rsid w:val="00691B4C"/>
    <w:rsid w:val="00697549"/>
    <w:rsid w:val="006A32D6"/>
    <w:rsid w:val="006B0832"/>
    <w:rsid w:val="006B0935"/>
    <w:rsid w:val="006B7B47"/>
    <w:rsid w:val="006C00FA"/>
    <w:rsid w:val="006C666B"/>
    <w:rsid w:val="006D3C7C"/>
    <w:rsid w:val="006E1027"/>
    <w:rsid w:val="006F031B"/>
    <w:rsid w:val="006F155F"/>
    <w:rsid w:val="00703052"/>
    <w:rsid w:val="0070457A"/>
    <w:rsid w:val="00704EAA"/>
    <w:rsid w:val="0071053A"/>
    <w:rsid w:val="00713045"/>
    <w:rsid w:val="0071349E"/>
    <w:rsid w:val="00720BC0"/>
    <w:rsid w:val="0072726A"/>
    <w:rsid w:val="00727280"/>
    <w:rsid w:val="007301D2"/>
    <w:rsid w:val="00730E20"/>
    <w:rsid w:val="0073437D"/>
    <w:rsid w:val="00737062"/>
    <w:rsid w:val="007466FC"/>
    <w:rsid w:val="00755C81"/>
    <w:rsid w:val="0075778C"/>
    <w:rsid w:val="007652FB"/>
    <w:rsid w:val="007661F1"/>
    <w:rsid w:val="007670BA"/>
    <w:rsid w:val="0076777E"/>
    <w:rsid w:val="00767F1E"/>
    <w:rsid w:val="00770779"/>
    <w:rsid w:val="00787DE7"/>
    <w:rsid w:val="007A2290"/>
    <w:rsid w:val="007A2F2D"/>
    <w:rsid w:val="007A5C01"/>
    <w:rsid w:val="007B1D16"/>
    <w:rsid w:val="007B28C4"/>
    <w:rsid w:val="007B3091"/>
    <w:rsid w:val="007C1ADD"/>
    <w:rsid w:val="007C1BAE"/>
    <w:rsid w:val="007C6D67"/>
    <w:rsid w:val="007D2CCF"/>
    <w:rsid w:val="007D2E12"/>
    <w:rsid w:val="007D6A22"/>
    <w:rsid w:val="007E1FCA"/>
    <w:rsid w:val="007E2562"/>
    <w:rsid w:val="007E4DA4"/>
    <w:rsid w:val="00804962"/>
    <w:rsid w:val="00805D65"/>
    <w:rsid w:val="0081123C"/>
    <w:rsid w:val="008114E9"/>
    <w:rsid w:val="00812F48"/>
    <w:rsid w:val="00816920"/>
    <w:rsid w:val="008271F6"/>
    <w:rsid w:val="008305D6"/>
    <w:rsid w:val="00830A71"/>
    <w:rsid w:val="00831ACE"/>
    <w:rsid w:val="00833D47"/>
    <w:rsid w:val="0083781F"/>
    <w:rsid w:val="00837FAF"/>
    <w:rsid w:val="00840F08"/>
    <w:rsid w:val="00846011"/>
    <w:rsid w:val="00856524"/>
    <w:rsid w:val="00865FC1"/>
    <w:rsid w:val="00867652"/>
    <w:rsid w:val="00872B17"/>
    <w:rsid w:val="00873848"/>
    <w:rsid w:val="00873A4F"/>
    <w:rsid w:val="00875B0D"/>
    <w:rsid w:val="00881C56"/>
    <w:rsid w:val="008855A2"/>
    <w:rsid w:val="00887A79"/>
    <w:rsid w:val="00894072"/>
    <w:rsid w:val="008952AC"/>
    <w:rsid w:val="008955D7"/>
    <w:rsid w:val="008A4CF2"/>
    <w:rsid w:val="008A4EDF"/>
    <w:rsid w:val="008B23F3"/>
    <w:rsid w:val="008B31AE"/>
    <w:rsid w:val="008B45D2"/>
    <w:rsid w:val="008B46EE"/>
    <w:rsid w:val="008E1C16"/>
    <w:rsid w:val="008E2B5F"/>
    <w:rsid w:val="008E7D06"/>
    <w:rsid w:val="008F2F2C"/>
    <w:rsid w:val="0090254D"/>
    <w:rsid w:val="009145D9"/>
    <w:rsid w:val="00917D02"/>
    <w:rsid w:val="009204AB"/>
    <w:rsid w:val="00931FB3"/>
    <w:rsid w:val="00934F77"/>
    <w:rsid w:val="009350FE"/>
    <w:rsid w:val="00941B2B"/>
    <w:rsid w:val="00945C00"/>
    <w:rsid w:val="0095557C"/>
    <w:rsid w:val="00966744"/>
    <w:rsid w:val="00966796"/>
    <w:rsid w:val="00973B40"/>
    <w:rsid w:val="00973C2D"/>
    <w:rsid w:val="009835FA"/>
    <w:rsid w:val="00985F16"/>
    <w:rsid w:val="00986835"/>
    <w:rsid w:val="0099629C"/>
    <w:rsid w:val="009A5F59"/>
    <w:rsid w:val="009B4AE4"/>
    <w:rsid w:val="009B5E94"/>
    <w:rsid w:val="009C1F53"/>
    <w:rsid w:val="009D0917"/>
    <w:rsid w:val="009D537B"/>
    <w:rsid w:val="009E3136"/>
    <w:rsid w:val="009E384E"/>
    <w:rsid w:val="009E3D89"/>
    <w:rsid w:val="009F0E91"/>
    <w:rsid w:val="009F4158"/>
    <w:rsid w:val="009F4510"/>
    <w:rsid w:val="00A0116B"/>
    <w:rsid w:val="00A103D3"/>
    <w:rsid w:val="00A12F55"/>
    <w:rsid w:val="00A1686E"/>
    <w:rsid w:val="00A17607"/>
    <w:rsid w:val="00A176D4"/>
    <w:rsid w:val="00A203E7"/>
    <w:rsid w:val="00A20E76"/>
    <w:rsid w:val="00A23614"/>
    <w:rsid w:val="00A30FC1"/>
    <w:rsid w:val="00A31960"/>
    <w:rsid w:val="00A32EE6"/>
    <w:rsid w:val="00A342B0"/>
    <w:rsid w:val="00A42D61"/>
    <w:rsid w:val="00A45318"/>
    <w:rsid w:val="00A503FD"/>
    <w:rsid w:val="00A56DB1"/>
    <w:rsid w:val="00A662A7"/>
    <w:rsid w:val="00A70F5B"/>
    <w:rsid w:val="00A746C2"/>
    <w:rsid w:val="00A8586D"/>
    <w:rsid w:val="00A87AA9"/>
    <w:rsid w:val="00A92EF4"/>
    <w:rsid w:val="00A938DB"/>
    <w:rsid w:val="00AB1277"/>
    <w:rsid w:val="00AC3D46"/>
    <w:rsid w:val="00AD76A5"/>
    <w:rsid w:val="00AF43F0"/>
    <w:rsid w:val="00B0081F"/>
    <w:rsid w:val="00B01F82"/>
    <w:rsid w:val="00B047FC"/>
    <w:rsid w:val="00B0795B"/>
    <w:rsid w:val="00B11819"/>
    <w:rsid w:val="00B22128"/>
    <w:rsid w:val="00B30343"/>
    <w:rsid w:val="00B314D7"/>
    <w:rsid w:val="00B3641D"/>
    <w:rsid w:val="00B41964"/>
    <w:rsid w:val="00B41A61"/>
    <w:rsid w:val="00B472BC"/>
    <w:rsid w:val="00B5071E"/>
    <w:rsid w:val="00B6333D"/>
    <w:rsid w:val="00B66180"/>
    <w:rsid w:val="00B6764D"/>
    <w:rsid w:val="00B7647F"/>
    <w:rsid w:val="00B77F96"/>
    <w:rsid w:val="00B8059D"/>
    <w:rsid w:val="00B848AF"/>
    <w:rsid w:val="00B85D32"/>
    <w:rsid w:val="00B92A40"/>
    <w:rsid w:val="00B93B65"/>
    <w:rsid w:val="00B951BE"/>
    <w:rsid w:val="00BA3C91"/>
    <w:rsid w:val="00BA3CCD"/>
    <w:rsid w:val="00BA6FB1"/>
    <w:rsid w:val="00BB433E"/>
    <w:rsid w:val="00BB5599"/>
    <w:rsid w:val="00BB6DB6"/>
    <w:rsid w:val="00BB6DDA"/>
    <w:rsid w:val="00BC0128"/>
    <w:rsid w:val="00BF31B4"/>
    <w:rsid w:val="00C1774B"/>
    <w:rsid w:val="00C25B8F"/>
    <w:rsid w:val="00C31CA7"/>
    <w:rsid w:val="00C32566"/>
    <w:rsid w:val="00C33B47"/>
    <w:rsid w:val="00C368FF"/>
    <w:rsid w:val="00C40455"/>
    <w:rsid w:val="00C415F8"/>
    <w:rsid w:val="00C53486"/>
    <w:rsid w:val="00C54BA9"/>
    <w:rsid w:val="00C60F62"/>
    <w:rsid w:val="00C654CE"/>
    <w:rsid w:val="00C7084E"/>
    <w:rsid w:val="00C70B7E"/>
    <w:rsid w:val="00C74321"/>
    <w:rsid w:val="00C75F4B"/>
    <w:rsid w:val="00C814A4"/>
    <w:rsid w:val="00C835E5"/>
    <w:rsid w:val="00C853DA"/>
    <w:rsid w:val="00C87436"/>
    <w:rsid w:val="00C9241C"/>
    <w:rsid w:val="00C92AB4"/>
    <w:rsid w:val="00CA545F"/>
    <w:rsid w:val="00CC25BC"/>
    <w:rsid w:val="00CD3AA5"/>
    <w:rsid w:val="00CD5788"/>
    <w:rsid w:val="00CD714A"/>
    <w:rsid w:val="00CD76AF"/>
    <w:rsid w:val="00CE26EC"/>
    <w:rsid w:val="00CE4867"/>
    <w:rsid w:val="00CE5BDF"/>
    <w:rsid w:val="00CE6B8C"/>
    <w:rsid w:val="00CE75D1"/>
    <w:rsid w:val="00CE7CD7"/>
    <w:rsid w:val="00CF0AD0"/>
    <w:rsid w:val="00CF5BC5"/>
    <w:rsid w:val="00D01B58"/>
    <w:rsid w:val="00D0321D"/>
    <w:rsid w:val="00D16313"/>
    <w:rsid w:val="00D23963"/>
    <w:rsid w:val="00D3507E"/>
    <w:rsid w:val="00D469C7"/>
    <w:rsid w:val="00D553C7"/>
    <w:rsid w:val="00D7031F"/>
    <w:rsid w:val="00D71947"/>
    <w:rsid w:val="00D724EC"/>
    <w:rsid w:val="00D807CB"/>
    <w:rsid w:val="00D850B7"/>
    <w:rsid w:val="00D97D11"/>
    <w:rsid w:val="00DA18F5"/>
    <w:rsid w:val="00DA4352"/>
    <w:rsid w:val="00DA7EB2"/>
    <w:rsid w:val="00DB13E2"/>
    <w:rsid w:val="00DC0496"/>
    <w:rsid w:val="00DC1180"/>
    <w:rsid w:val="00DD1BB8"/>
    <w:rsid w:val="00DD206F"/>
    <w:rsid w:val="00DD3863"/>
    <w:rsid w:val="00DE18D1"/>
    <w:rsid w:val="00DE1BF7"/>
    <w:rsid w:val="00DF07B5"/>
    <w:rsid w:val="00DF24A2"/>
    <w:rsid w:val="00DF33A7"/>
    <w:rsid w:val="00DF7E70"/>
    <w:rsid w:val="00E02CB6"/>
    <w:rsid w:val="00E127A0"/>
    <w:rsid w:val="00E13F5D"/>
    <w:rsid w:val="00E1567C"/>
    <w:rsid w:val="00E20128"/>
    <w:rsid w:val="00E334AE"/>
    <w:rsid w:val="00E36F31"/>
    <w:rsid w:val="00E3787A"/>
    <w:rsid w:val="00E46080"/>
    <w:rsid w:val="00E53301"/>
    <w:rsid w:val="00E57E47"/>
    <w:rsid w:val="00E63D8E"/>
    <w:rsid w:val="00E711C7"/>
    <w:rsid w:val="00E741DA"/>
    <w:rsid w:val="00E773C8"/>
    <w:rsid w:val="00E80F7D"/>
    <w:rsid w:val="00E81374"/>
    <w:rsid w:val="00E9149F"/>
    <w:rsid w:val="00E96D4A"/>
    <w:rsid w:val="00EA2B2A"/>
    <w:rsid w:val="00EA7F90"/>
    <w:rsid w:val="00EB0111"/>
    <w:rsid w:val="00EB6255"/>
    <w:rsid w:val="00EC0E6C"/>
    <w:rsid w:val="00EC2ACE"/>
    <w:rsid w:val="00EC64D3"/>
    <w:rsid w:val="00ED3384"/>
    <w:rsid w:val="00ED7C97"/>
    <w:rsid w:val="00EE000A"/>
    <w:rsid w:val="00EE04ED"/>
    <w:rsid w:val="00EE3010"/>
    <w:rsid w:val="00EE43B4"/>
    <w:rsid w:val="00EE4AB2"/>
    <w:rsid w:val="00EE4D0F"/>
    <w:rsid w:val="00EF2C21"/>
    <w:rsid w:val="00EF3DA8"/>
    <w:rsid w:val="00EF64CA"/>
    <w:rsid w:val="00F035DA"/>
    <w:rsid w:val="00F0585F"/>
    <w:rsid w:val="00F144C9"/>
    <w:rsid w:val="00F16051"/>
    <w:rsid w:val="00F203D3"/>
    <w:rsid w:val="00F209E0"/>
    <w:rsid w:val="00F24594"/>
    <w:rsid w:val="00F274F3"/>
    <w:rsid w:val="00F334E1"/>
    <w:rsid w:val="00F37874"/>
    <w:rsid w:val="00F41018"/>
    <w:rsid w:val="00F462B5"/>
    <w:rsid w:val="00F6590D"/>
    <w:rsid w:val="00F66AB9"/>
    <w:rsid w:val="00F704C2"/>
    <w:rsid w:val="00F83E25"/>
    <w:rsid w:val="00F91A48"/>
    <w:rsid w:val="00F92748"/>
    <w:rsid w:val="00F951D0"/>
    <w:rsid w:val="00F95687"/>
    <w:rsid w:val="00F9799E"/>
    <w:rsid w:val="00FA72DC"/>
    <w:rsid w:val="00FB2F7E"/>
    <w:rsid w:val="00FC31F5"/>
    <w:rsid w:val="00FC4C18"/>
    <w:rsid w:val="00FD1852"/>
    <w:rsid w:val="00FD29FB"/>
    <w:rsid w:val="00FD52EA"/>
    <w:rsid w:val="00FF1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6528"/>
  <w15:chartTrackingRefBased/>
  <w15:docId w15:val="{BF4DACD2-2CAB-4139-B824-2A0169D6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nhideWhenUsed/>
    <w:qFormat/>
    <w:rsid w:val="00846011"/>
    <w:pPr>
      <w:keepNext/>
      <w:spacing w:after="0" w:line="240" w:lineRule="auto"/>
      <w:jc w:val="center"/>
      <w:outlineLvl w:val="1"/>
    </w:pPr>
    <w:rPr>
      <w:rFonts w:ascii="Times New Roman" w:eastAsia="Times New Roman" w:hAnsi="Times New Roman" w:cs="Times New Roman"/>
      <w:b/>
      <w:caps/>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2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FD29FB"/>
    <w:pPr>
      <w:widowControl w:val="0"/>
      <w:suppressLineNumbers/>
      <w:suppressAutoHyphens/>
      <w:spacing w:after="0" w:line="240" w:lineRule="auto"/>
    </w:pPr>
    <w:rPr>
      <w:rFonts w:ascii="Times New Roman" w:eastAsia="Andale Sans UI" w:hAnsi="Times New Roman" w:cs="Tahoma"/>
      <w:sz w:val="24"/>
      <w:szCs w:val="24"/>
      <w:lang w:bidi="en-US"/>
    </w:rPr>
  </w:style>
  <w:style w:type="character" w:styleId="Hipersaitas">
    <w:name w:val="Hyperlink"/>
    <w:basedOn w:val="Numatytasispastraiposriftas"/>
    <w:rsid w:val="00FD29FB"/>
    <w:rPr>
      <w:color w:val="0000FF"/>
      <w:u w:val="single"/>
    </w:rPr>
  </w:style>
  <w:style w:type="paragraph" w:styleId="Sraopastraipa">
    <w:name w:val="List Paragraph"/>
    <w:basedOn w:val="prastasis"/>
    <w:qFormat/>
    <w:rsid w:val="00FD29FB"/>
    <w:pPr>
      <w:spacing w:after="0" w:line="240" w:lineRule="auto"/>
      <w:ind w:left="720"/>
      <w:contextualSpacing/>
    </w:pPr>
    <w:rPr>
      <w:rFonts w:ascii="Times New Roman" w:eastAsia="Times New Roman" w:hAnsi="Times New Roman" w:cs="Times New Roman"/>
      <w:sz w:val="24"/>
      <w:szCs w:val="20"/>
      <w:lang w:val="en-GB"/>
    </w:rPr>
  </w:style>
  <w:style w:type="character" w:customStyle="1" w:styleId="Antrat2Diagrama">
    <w:name w:val="Antraštė 2 Diagrama"/>
    <w:basedOn w:val="Numatytasispastraiposriftas"/>
    <w:link w:val="Antrat2"/>
    <w:rsid w:val="00846011"/>
    <w:rPr>
      <w:rFonts w:ascii="Times New Roman" w:eastAsia="Times New Roman" w:hAnsi="Times New Roman" w:cs="Times New Roman"/>
      <w:b/>
      <w:caps/>
      <w:sz w:val="24"/>
      <w:szCs w:val="20"/>
      <w:lang w:eastAsia="lt-LT"/>
    </w:rPr>
  </w:style>
  <w:style w:type="paragraph" w:styleId="Komentarotekstas">
    <w:name w:val="annotation text"/>
    <w:basedOn w:val="prastasis"/>
    <w:link w:val="KomentarotekstasDiagrama"/>
    <w:uiPriority w:val="99"/>
    <w:unhideWhenUsed/>
    <w:rsid w:val="00135D24"/>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135D24"/>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E81374"/>
    <w:rPr>
      <w:sz w:val="16"/>
      <w:szCs w:val="16"/>
    </w:rPr>
  </w:style>
  <w:style w:type="paragraph" w:styleId="Komentarotema">
    <w:name w:val="annotation subject"/>
    <w:basedOn w:val="Komentarotekstas"/>
    <w:next w:val="Komentarotekstas"/>
    <w:link w:val="KomentarotemaDiagrama"/>
    <w:uiPriority w:val="99"/>
    <w:semiHidden/>
    <w:unhideWhenUsed/>
    <w:rsid w:val="00E81374"/>
    <w:pPr>
      <w:spacing w:after="16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E81374"/>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EE04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4ED"/>
  </w:style>
  <w:style w:type="paragraph" w:styleId="Porat">
    <w:name w:val="footer"/>
    <w:basedOn w:val="prastasis"/>
    <w:link w:val="PoratDiagrama"/>
    <w:uiPriority w:val="99"/>
    <w:unhideWhenUsed/>
    <w:rsid w:val="00EE0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4ED"/>
  </w:style>
  <w:style w:type="paragraph" w:styleId="Debesliotekstas">
    <w:name w:val="Balloon Text"/>
    <w:basedOn w:val="prastasis"/>
    <w:link w:val="DebesliotekstasDiagrama"/>
    <w:uiPriority w:val="99"/>
    <w:semiHidden/>
    <w:unhideWhenUsed/>
    <w:rsid w:val="00F462B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6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89510">
      <w:bodyDiv w:val="1"/>
      <w:marLeft w:val="0"/>
      <w:marRight w:val="0"/>
      <w:marTop w:val="0"/>
      <w:marBottom w:val="0"/>
      <w:divBdr>
        <w:top w:val="none" w:sz="0" w:space="0" w:color="auto"/>
        <w:left w:val="none" w:sz="0" w:space="0" w:color="auto"/>
        <w:bottom w:val="none" w:sz="0" w:space="0" w:color="auto"/>
        <w:right w:val="none" w:sz="0" w:space="0" w:color="auto"/>
      </w:divBdr>
    </w:div>
    <w:div w:id="51334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21E11-B976-4DB4-85EA-798465AA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6909</Words>
  <Characters>3939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2021-12-01T09:47:00Z</dcterms:created>
  <dc:creator>Dovilė Baroli</dc:creator>
  <cp:lastModifiedBy>Šarūnė Jatulytė</cp:lastModifiedBy>
  <cp:lastPrinted>2021-11-16T07:43:00Z</cp:lastPrinted>
  <dcterms:modified xsi:type="dcterms:W3CDTF">2021-12-01T09:47:00Z</dcterms:modified>
  <cp:revision>2</cp:revision>
</cp:coreProperties>
</file>