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C2644" w14:textId="77777777" w:rsidR="005F43FA" w:rsidRPr="005F43FA" w:rsidRDefault="003B579F" w:rsidP="005F43FA">
      <w:pPr>
        <w:spacing w:after="0" w:line="240" w:lineRule="auto"/>
        <w:jc w:val="center"/>
        <w:outlineLvl w:val="0"/>
        <w:rPr>
          <w:rFonts w:eastAsia="Calibri" w:cs="Times New Roman"/>
          <w:b/>
          <w:caps/>
          <w:szCs w:val="24"/>
        </w:rPr>
      </w:pPr>
      <w:r w:rsidRPr="005F43FA">
        <w:rPr>
          <w:rFonts w:eastAsia="Calibri" w:cs="Times New Roman"/>
          <w:b/>
          <w:caps/>
          <w:szCs w:val="24"/>
        </w:rPr>
        <w:t>Derinimo pažyma</w:t>
      </w:r>
      <w:r w:rsidR="00DC7AFD" w:rsidRPr="005F43FA">
        <w:rPr>
          <w:rFonts w:eastAsia="Calibri" w:cs="Times New Roman"/>
          <w:b/>
          <w:caps/>
          <w:szCs w:val="24"/>
        </w:rPr>
        <w:t xml:space="preserve"> </w:t>
      </w:r>
    </w:p>
    <w:p w14:paraId="6584B95F" w14:textId="6C59A5B4" w:rsidR="005F43FA" w:rsidRPr="005F43FA" w:rsidRDefault="005F43FA" w:rsidP="005F43FA">
      <w:pPr>
        <w:spacing w:after="0" w:line="240" w:lineRule="auto"/>
        <w:jc w:val="center"/>
        <w:outlineLvl w:val="0"/>
        <w:rPr>
          <w:rFonts w:eastAsia="Calibri" w:cs="Times New Roman"/>
          <w:b/>
          <w:caps/>
          <w:szCs w:val="24"/>
        </w:rPr>
      </w:pPr>
      <w:r w:rsidRPr="005F43FA">
        <w:rPr>
          <w:rFonts w:eastAsia="Calibri" w:cs="Times New Roman"/>
          <w:b/>
          <w:caps/>
          <w:szCs w:val="24"/>
        </w:rPr>
        <w:t xml:space="preserve">DĖL LIETUVOS RESPUBLIKOS BAUDŽIAMOJO KODEKSO </w:t>
      </w:r>
      <w:r w:rsidR="006011C8">
        <w:rPr>
          <w:rFonts w:eastAsia="Calibri" w:cs="Times New Roman"/>
          <w:b/>
          <w:caps/>
          <w:szCs w:val="24"/>
        </w:rPr>
        <w:t>29, 135, 138, 139, 140, 250 IR 281</w:t>
      </w:r>
      <w:r w:rsidRPr="005F43FA">
        <w:rPr>
          <w:rFonts w:eastAsia="Calibri" w:cs="Times New Roman"/>
          <w:b/>
          <w:caps/>
          <w:szCs w:val="24"/>
        </w:rPr>
        <w:t xml:space="preserve"> STRAIPSNIŲ </w:t>
      </w:r>
      <w:r w:rsidR="006011C8">
        <w:rPr>
          <w:rFonts w:eastAsia="Calibri" w:cs="Times New Roman"/>
          <w:b/>
          <w:caps/>
          <w:szCs w:val="24"/>
        </w:rPr>
        <w:t>PAKEITIMO ĮSTATYMO PROJEKTO</w:t>
      </w:r>
      <w:r w:rsidRPr="005F43FA">
        <w:rPr>
          <w:rFonts w:eastAsia="Calibri" w:cs="Times New Roman"/>
          <w:b/>
          <w:caps/>
          <w:szCs w:val="24"/>
        </w:rPr>
        <w:t xml:space="preserve"> </w:t>
      </w:r>
    </w:p>
    <w:tbl>
      <w:tblPr>
        <w:tblStyle w:val="Lentelstinklelis"/>
        <w:tblW w:w="15593" w:type="dxa"/>
        <w:tblInd w:w="-1139" w:type="dxa"/>
        <w:tblLook w:val="04A0" w:firstRow="1" w:lastRow="0" w:firstColumn="1" w:lastColumn="0" w:noHBand="0" w:noVBand="1"/>
      </w:tblPr>
      <w:tblGrid>
        <w:gridCol w:w="2127"/>
        <w:gridCol w:w="5670"/>
        <w:gridCol w:w="7796"/>
      </w:tblGrid>
      <w:tr w:rsidR="006959FE" w:rsidRPr="005F43FA" w14:paraId="0E6B0BAE" w14:textId="77777777" w:rsidTr="005F43FA">
        <w:tc>
          <w:tcPr>
            <w:tcW w:w="2127" w:type="dxa"/>
            <w:tcBorders>
              <w:top w:val="single" w:sz="4" w:space="0" w:color="auto"/>
              <w:left w:val="single" w:sz="4" w:space="0" w:color="auto"/>
              <w:bottom w:val="single" w:sz="4" w:space="0" w:color="auto"/>
              <w:right w:val="single" w:sz="4" w:space="0" w:color="auto"/>
            </w:tcBorders>
          </w:tcPr>
          <w:p w14:paraId="2FC853F8" w14:textId="72A804AD" w:rsidR="005D4147" w:rsidRPr="005F43FA" w:rsidRDefault="00502EF6" w:rsidP="00F3370E">
            <w:pPr>
              <w:jc w:val="center"/>
              <w:rPr>
                <w:rFonts w:cs="Times New Roman"/>
                <w:szCs w:val="24"/>
              </w:rPr>
            </w:pPr>
            <w:r w:rsidRPr="005F43FA">
              <w:rPr>
                <w:rFonts w:cs="Times New Roman"/>
                <w:szCs w:val="24"/>
              </w:rPr>
              <w:t>Institucija</w:t>
            </w:r>
          </w:p>
        </w:tc>
        <w:tc>
          <w:tcPr>
            <w:tcW w:w="5670" w:type="dxa"/>
            <w:tcBorders>
              <w:top w:val="single" w:sz="4" w:space="0" w:color="auto"/>
              <w:left w:val="single" w:sz="4" w:space="0" w:color="auto"/>
              <w:bottom w:val="single" w:sz="4" w:space="0" w:color="auto"/>
              <w:right w:val="single" w:sz="4" w:space="0" w:color="auto"/>
            </w:tcBorders>
          </w:tcPr>
          <w:p w14:paraId="334A1E7F" w14:textId="77777777" w:rsidR="005D4147" w:rsidRPr="005F43FA" w:rsidRDefault="005D4147" w:rsidP="00F3370E">
            <w:pPr>
              <w:pStyle w:val="Preformatted"/>
              <w:tabs>
                <w:tab w:val="clear" w:pos="959"/>
                <w:tab w:val="clear" w:pos="1918"/>
                <w:tab w:val="left" w:pos="1276"/>
              </w:tabs>
              <w:jc w:val="center"/>
              <w:rPr>
                <w:rFonts w:ascii="Times New Roman" w:hAnsi="Times New Roman"/>
                <w:sz w:val="24"/>
                <w:szCs w:val="24"/>
              </w:rPr>
            </w:pPr>
            <w:r w:rsidRPr="005F43FA">
              <w:rPr>
                <w:rFonts w:ascii="Times New Roman" w:hAnsi="Times New Roman"/>
                <w:sz w:val="24"/>
                <w:szCs w:val="24"/>
              </w:rPr>
              <w:t>Pastabos</w:t>
            </w:r>
          </w:p>
        </w:tc>
        <w:tc>
          <w:tcPr>
            <w:tcW w:w="7796" w:type="dxa"/>
            <w:tcBorders>
              <w:top w:val="single" w:sz="4" w:space="0" w:color="auto"/>
              <w:left w:val="single" w:sz="4" w:space="0" w:color="auto"/>
              <w:bottom w:val="single" w:sz="4" w:space="0" w:color="auto"/>
              <w:right w:val="single" w:sz="4" w:space="0" w:color="auto"/>
            </w:tcBorders>
          </w:tcPr>
          <w:p w14:paraId="3D80B9F7" w14:textId="77777777" w:rsidR="005D4147" w:rsidRPr="005F43FA" w:rsidRDefault="005D4147" w:rsidP="00F3370E">
            <w:pPr>
              <w:jc w:val="center"/>
              <w:rPr>
                <w:rFonts w:cs="Times New Roman"/>
                <w:szCs w:val="24"/>
              </w:rPr>
            </w:pPr>
            <w:r w:rsidRPr="005F43FA">
              <w:rPr>
                <w:rFonts w:cs="Times New Roman"/>
                <w:szCs w:val="24"/>
              </w:rPr>
              <w:t>Įvertinimas</w:t>
            </w:r>
          </w:p>
        </w:tc>
      </w:tr>
      <w:tr w:rsidR="006011C8" w:rsidRPr="005F43FA" w14:paraId="0F27175F" w14:textId="77777777" w:rsidTr="005F43FA">
        <w:tc>
          <w:tcPr>
            <w:tcW w:w="2127" w:type="dxa"/>
            <w:tcBorders>
              <w:top w:val="single" w:sz="4" w:space="0" w:color="auto"/>
              <w:left w:val="single" w:sz="4" w:space="0" w:color="auto"/>
              <w:bottom w:val="single" w:sz="4" w:space="0" w:color="auto"/>
              <w:right w:val="single" w:sz="4" w:space="0" w:color="auto"/>
            </w:tcBorders>
          </w:tcPr>
          <w:p w14:paraId="0EA068BA" w14:textId="10B65EEB" w:rsidR="006011C8" w:rsidRDefault="006011C8" w:rsidP="00F3370E">
            <w:pPr>
              <w:jc w:val="center"/>
              <w:rPr>
                <w:rFonts w:cs="Times New Roman"/>
                <w:szCs w:val="24"/>
              </w:rPr>
            </w:pPr>
            <w:r>
              <w:rPr>
                <w:rFonts w:cs="Times New Roman"/>
                <w:szCs w:val="24"/>
              </w:rPr>
              <w:t>Lietuvos Respublikos sveikatos apsaugos ministerijos 2020-09-22 raštas Nr. 10-6081</w:t>
            </w:r>
          </w:p>
        </w:tc>
        <w:tc>
          <w:tcPr>
            <w:tcW w:w="5670" w:type="dxa"/>
            <w:tcBorders>
              <w:top w:val="single" w:sz="4" w:space="0" w:color="auto"/>
              <w:left w:val="single" w:sz="4" w:space="0" w:color="auto"/>
              <w:bottom w:val="single" w:sz="4" w:space="0" w:color="auto"/>
              <w:right w:val="single" w:sz="4" w:space="0" w:color="auto"/>
            </w:tcBorders>
          </w:tcPr>
          <w:p w14:paraId="3ADE5008" w14:textId="3D649C1D" w:rsidR="006011C8" w:rsidRDefault="006011C8" w:rsidP="001427A4">
            <w:pPr>
              <w:pStyle w:val="Standard"/>
              <w:tabs>
                <w:tab w:val="left" w:pos="8245"/>
              </w:tabs>
              <w:overflowPunct w:val="0"/>
              <w:autoSpaceDE w:val="0"/>
              <w:jc w:val="both"/>
              <w:rPr>
                <w:rFonts w:ascii="Times New Roman" w:hAnsi="Times New Roman"/>
                <w:sz w:val="24"/>
                <w:szCs w:val="24"/>
              </w:rPr>
            </w:pPr>
            <w:r w:rsidRPr="006011C8">
              <w:rPr>
                <w:rFonts w:ascii="Times New Roman" w:hAnsi="Times New Roman"/>
                <w:sz w:val="24"/>
                <w:szCs w:val="24"/>
              </w:rPr>
              <w:t>1. Lietuvos Respublikos neįgaliųjų socialinės integracijos įstatyme numatytas darbingumo lygio nustatymas, todėl Įstatymo projekto keičiamo Baudžiamojo kodekso 135 straipsnio 1 dalyje, 138 straipsnio 1 dalyje, 139 straipsnio 1 dalyje brauktinas žodis „bendro“.</w:t>
            </w:r>
          </w:p>
        </w:tc>
        <w:tc>
          <w:tcPr>
            <w:tcW w:w="7796" w:type="dxa"/>
            <w:tcBorders>
              <w:top w:val="single" w:sz="4" w:space="0" w:color="auto"/>
              <w:left w:val="single" w:sz="4" w:space="0" w:color="auto"/>
              <w:bottom w:val="single" w:sz="4" w:space="0" w:color="auto"/>
              <w:right w:val="single" w:sz="4" w:space="0" w:color="auto"/>
            </w:tcBorders>
          </w:tcPr>
          <w:p w14:paraId="60531BE6" w14:textId="77777777" w:rsidR="006011C8" w:rsidRDefault="006011C8" w:rsidP="005F43FA">
            <w:pPr>
              <w:jc w:val="both"/>
              <w:rPr>
                <w:rFonts w:cs="Times New Roman"/>
                <w:szCs w:val="24"/>
              </w:rPr>
            </w:pPr>
            <w:r>
              <w:rPr>
                <w:rFonts w:cs="Times New Roman"/>
                <w:b/>
                <w:szCs w:val="24"/>
              </w:rPr>
              <w:t>Neatsižvelgta</w:t>
            </w:r>
            <w:r w:rsidRPr="006011C8">
              <w:rPr>
                <w:rFonts w:cs="Times New Roman"/>
                <w:szCs w:val="24"/>
              </w:rPr>
              <w:t>.</w:t>
            </w:r>
          </w:p>
          <w:p w14:paraId="7DB1200A" w14:textId="0509E917" w:rsidR="000B3662" w:rsidRPr="0074691C" w:rsidRDefault="009A673F" w:rsidP="00B15964">
            <w:pPr>
              <w:jc w:val="both"/>
              <w:rPr>
                <w:rFonts w:cs="Times New Roman"/>
                <w:szCs w:val="24"/>
              </w:rPr>
            </w:pPr>
            <w:r>
              <w:rPr>
                <w:rFonts w:cs="Times New Roman"/>
                <w:szCs w:val="24"/>
              </w:rPr>
              <w:t xml:space="preserve">Šiam baudžiamojo įstatymo pakeitimui vieningai pritarė </w:t>
            </w:r>
            <w:r w:rsidRPr="009A673F">
              <w:rPr>
                <w:rFonts w:cs="Times New Roman"/>
                <w:szCs w:val="24"/>
              </w:rPr>
              <w:t>2020 m. liepos 28 d. Lietuvos Respublikos teisingumo ministro įsakymu Nr. 1R-233 „Dėl darbo grupės sudarymo sveikatos sutrikdymo masto nustatymo taisyklėms peržiūrėti“ sudaryta darbo grupė</w:t>
            </w:r>
            <w:r>
              <w:rPr>
                <w:rFonts w:cs="Times New Roman"/>
                <w:szCs w:val="24"/>
              </w:rPr>
              <w:t>, kurioje dalyvavo ir Sveikatos apsaugos ministerijos atstovai.</w:t>
            </w:r>
            <w:r w:rsidR="0074691C">
              <w:rPr>
                <w:rFonts w:cs="Times New Roman"/>
                <w:szCs w:val="24"/>
              </w:rPr>
              <w:t xml:space="preserve"> </w:t>
            </w:r>
            <w:r>
              <w:rPr>
                <w:rFonts w:cs="Times New Roman"/>
                <w:szCs w:val="24"/>
              </w:rPr>
              <w:t>Pažymėtina, kad darbingumo lygio sąvoka, minima Neįgaliųjų socialinės integracijos įstatyme, ir bendro darbingumo sąvoka, įtvirtinta baudžiamajame įstatyme, nėra tapačios sąvokos. Darbingumo lygis, kaip numato Neįgaliųjų socialinės integracijos įstatymas, tai „</w:t>
            </w:r>
            <w:r>
              <w:rPr>
                <w:rFonts w:cs="Times New Roman"/>
                <w:color w:val="000000"/>
                <w:szCs w:val="24"/>
              </w:rPr>
              <w:t xml:space="preserve">asmens pajėgumas įgyvendinti anksčiau įgytą profesinę kompetenciją ar įgyti naują profesinę kompetenciją arba atlikti mažesnės profesinės kompetencijos reikalaujančius darbus“, kuris </w:t>
            </w:r>
            <w:r w:rsidR="00B15964">
              <w:rPr>
                <w:rFonts w:cs="Times New Roman"/>
                <w:color w:val="000000"/>
                <w:szCs w:val="24"/>
              </w:rPr>
              <w:t xml:space="preserve">Neįgalumo ir darbingumo nustatymo tarnyba prie Lietuvos Respublikos socialinės apsaugos ir darbo ministerijos </w:t>
            </w:r>
            <w:r>
              <w:rPr>
                <w:rFonts w:cs="Times New Roman"/>
                <w:color w:val="000000"/>
                <w:szCs w:val="24"/>
              </w:rPr>
              <w:t>nustatomas „įvertinus asmens sveikatos būklę ir galimybes atlikti turimos kvalifikacijos darbus, įgyti naują kvalifikaciją ar dirbti darbus, nereikalaujančius profesinės kvalifikacijos po to, kai yra panaudotos visos galimos medicininės ir profesinės reabilitacijos bei specialiosios pagalbos priemonės“. D</w:t>
            </w:r>
            <w:r>
              <w:rPr>
                <w:rFonts w:cs="Times New Roman"/>
                <w:szCs w:val="24"/>
              </w:rPr>
              <w:t xml:space="preserve">arbingumo lygis vertinamas išnaudojus visas gydymo galimybes, t. y. praėjus ne mažai laiko po patirtos traumos, sužalojimo, pritaikius aktyvias gydymo, reabilitacines priemones, be to atsižvelgiama į psichosocialinį faktorių, kurį iš tiesų įtakoja ne tik konkreti trauma ar sužalojimas, bet visos asmens ligos ir funkciniai sutrikimai, kurie galimai egzistavo ir prieš sužalojimą ar atsirado vėliau, tačiau nėra susiję su įvykdyta nusikalstama veika. Tuo tarpu baudžiamajame įstatyme bendrą darbingumą nustato teismo medicinos ekspertai ir jis siejamas su konkrečiu sveikatos </w:t>
            </w:r>
            <w:r w:rsidR="00B15964">
              <w:rPr>
                <w:rFonts w:cs="Times New Roman"/>
                <w:szCs w:val="24"/>
              </w:rPr>
              <w:t>sužalojim</w:t>
            </w:r>
            <w:r>
              <w:rPr>
                <w:rFonts w:cs="Times New Roman"/>
                <w:szCs w:val="24"/>
              </w:rPr>
              <w:t>u. Taigi darbingumo sąvoka yra platesnė nei bendro darbingumo</w:t>
            </w:r>
            <w:r w:rsidR="00B15964">
              <w:rPr>
                <w:rFonts w:cs="Times New Roman"/>
                <w:szCs w:val="24"/>
              </w:rPr>
              <w:t xml:space="preserve"> ir</w:t>
            </w:r>
            <w:r>
              <w:rPr>
                <w:rFonts w:cs="Times New Roman"/>
                <w:szCs w:val="24"/>
              </w:rPr>
              <w:t xml:space="preserve"> todėl </w:t>
            </w:r>
            <w:r w:rsidR="00B15964">
              <w:rPr>
                <w:rFonts w:cs="Times New Roman"/>
                <w:szCs w:val="24"/>
              </w:rPr>
              <w:t>šios sąvokos</w:t>
            </w:r>
            <w:r>
              <w:rPr>
                <w:rFonts w:cs="Times New Roman"/>
                <w:szCs w:val="24"/>
              </w:rPr>
              <w:t xml:space="preserve"> negali būti suvi</w:t>
            </w:r>
            <w:r w:rsidR="00B15964">
              <w:rPr>
                <w:rFonts w:cs="Times New Roman"/>
                <w:szCs w:val="24"/>
              </w:rPr>
              <w:t>enodintos.</w:t>
            </w:r>
          </w:p>
        </w:tc>
      </w:tr>
      <w:tr w:rsidR="001D6C11" w:rsidRPr="005F43FA" w14:paraId="594398CD" w14:textId="77777777" w:rsidTr="005F43FA">
        <w:tc>
          <w:tcPr>
            <w:tcW w:w="2127" w:type="dxa"/>
            <w:tcBorders>
              <w:top w:val="single" w:sz="4" w:space="0" w:color="auto"/>
              <w:left w:val="single" w:sz="4" w:space="0" w:color="auto"/>
              <w:bottom w:val="single" w:sz="4" w:space="0" w:color="auto"/>
              <w:right w:val="single" w:sz="4" w:space="0" w:color="auto"/>
            </w:tcBorders>
          </w:tcPr>
          <w:p w14:paraId="4529A729" w14:textId="77777777" w:rsidR="001D6C11" w:rsidRDefault="001D6C11" w:rsidP="00F3370E">
            <w:pPr>
              <w:jc w:val="center"/>
              <w:rPr>
                <w:rFonts w:cs="Times New Roman"/>
                <w:szCs w:val="24"/>
              </w:rPr>
            </w:pPr>
          </w:p>
        </w:tc>
        <w:tc>
          <w:tcPr>
            <w:tcW w:w="5670" w:type="dxa"/>
            <w:tcBorders>
              <w:top w:val="single" w:sz="4" w:space="0" w:color="auto"/>
              <w:left w:val="single" w:sz="4" w:space="0" w:color="auto"/>
              <w:bottom w:val="single" w:sz="4" w:space="0" w:color="auto"/>
              <w:right w:val="single" w:sz="4" w:space="0" w:color="auto"/>
            </w:tcBorders>
          </w:tcPr>
          <w:p w14:paraId="4B81892A" w14:textId="77777777" w:rsidR="001D6C11" w:rsidRDefault="001D6C11" w:rsidP="001D6C11">
            <w:pPr>
              <w:tabs>
                <w:tab w:val="left" w:pos="816"/>
              </w:tabs>
              <w:autoSpaceDE w:val="0"/>
              <w:autoSpaceDN w:val="0"/>
              <w:adjustRightInd w:val="0"/>
              <w:jc w:val="both"/>
            </w:pPr>
            <w:r>
              <w:t xml:space="preserve">2. Siekiant Įstatymo projekte siūlomus pakeitimus inkorporuoti į teisinę sistemą, reikės pakeisti Lietuvos </w:t>
            </w:r>
            <w:r w:rsidRPr="001942D7">
              <w:rPr>
                <w:bCs/>
                <w:lang w:eastAsia="lt-LT"/>
              </w:rPr>
              <w:t xml:space="preserve">Respublikos sveikatos apsaugos ministro, Lietuvos Respublikos teisingumo ministro ir Lietuvos Respublikos socialinės apsaugos ir darbo ministro 2003 m. gegužės 23 d. įsakymu Nr. V-298/158/A1-86 patvirtintas Sveikatos </w:t>
            </w:r>
            <w:r w:rsidRPr="001942D7">
              <w:rPr>
                <w:bCs/>
                <w:lang w:eastAsia="lt-LT"/>
              </w:rPr>
              <w:lastRenderedPageBreak/>
              <w:t>sutrikdymo masto nustatymo taisykles</w:t>
            </w:r>
            <w:r>
              <w:rPr>
                <w:bCs/>
                <w:lang w:eastAsia="lt-LT"/>
              </w:rPr>
              <w:t xml:space="preserve"> (toliau – Taisyklės)</w:t>
            </w:r>
            <w:r w:rsidRPr="001942D7">
              <w:rPr>
                <w:bCs/>
                <w:lang w:eastAsia="lt-LT"/>
              </w:rPr>
              <w:t xml:space="preserve">. </w:t>
            </w:r>
            <w:r>
              <w:rPr>
                <w:bCs/>
                <w:lang w:eastAsia="lt-LT"/>
              </w:rPr>
              <w:t xml:space="preserve">Asmens sveikatos sutrikdymas yra kompleksinis procesas, kurio metu yra pažeidžiamas asmens fizinio kūno vientisumas, sutrikdoma psichikos sveikata ir galiausiai keičiasi </w:t>
            </w:r>
            <w:proofErr w:type="spellStart"/>
            <w:r>
              <w:rPr>
                <w:bCs/>
                <w:lang w:eastAsia="lt-LT"/>
              </w:rPr>
              <w:t>savirūpos</w:t>
            </w:r>
            <w:proofErr w:type="spellEnd"/>
            <w:r>
              <w:rPr>
                <w:bCs/>
                <w:lang w:eastAsia="lt-LT"/>
              </w:rPr>
              <w:t xml:space="preserve"> ir darbingumo galimybės. Todėl, atsižvelgiant į šiandieninius reikalavimus, peržiūrint ir patikslinant Taisykles ir jų priedą, reikės peržiūrėti medicininius terminus, kreiptis į Lietuvos universitetus, atitinkamas gydytojų profesinių kvalifikacijų draugijas (asociacijas). Tai laiko reikalaujantis procesas. </w:t>
            </w:r>
            <w:r w:rsidRPr="0031066C">
              <w:t>Apibendrinant tai kas išdėstyta</w:t>
            </w:r>
            <w:r>
              <w:t>, siūlome Įstatymo projekto 8 straipsnyje nurodyti, kad:</w:t>
            </w:r>
          </w:p>
          <w:p w14:paraId="4377E6BA" w14:textId="77777777" w:rsidR="001D6C11" w:rsidRDefault="001D6C11" w:rsidP="001D6C11">
            <w:pPr>
              <w:jc w:val="both"/>
            </w:pPr>
            <w:r>
              <w:t>„1. Šis įstatymas, išskyrus šio straipsnio 2 dalį, įsigalioja 2021 m. liepos 1 d.</w:t>
            </w:r>
          </w:p>
          <w:p w14:paraId="69FEB26C" w14:textId="1A16326D" w:rsidR="001D6C11" w:rsidRPr="001D6C11" w:rsidRDefault="001D6C11" w:rsidP="001D6C11">
            <w:pPr>
              <w:jc w:val="both"/>
            </w:pPr>
            <w:r>
              <w:t>2. Lietuvos Respublikos Vyriausybė ar jos įgaliotos institucijos iki 2021 m. birželio 30 d. priima šio įstatymo įgyvendinamuosius teisės aktus.“</w:t>
            </w:r>
          </w:p>
        </w:tc>
        <w:tc>
          <w:tcPr>
            <w:tcW w:w="7796" w:type="dxa"/>
            <w:tcBorders>
              <w:top w:val="single" w:sz="4" w:space="0" w:color="auto"/>
              <w:left w:val="single" w:sz="4" w:space="0" w:color="auto"/>
              <w:bottom w:val="single" w:sz="4" w:space="0" w:color="auto"/>
              <w:right w:val="single" w:sz="4" w:space="0" w:color="auto"/>
            </w:tcBorders>
          </w:tcPr>
          <w:p w14:paraId="71C4A080" w14:textId="7E1CB504" w:rsidR="001D6C11" w:rsidRDefault="00C22936" w:rsidP="005F43FA">
            <w:pPr>
              <w:jc w:val="both"/>
              <w:rPr>
                <w:rFonts w:cs="Times New Roman"/>
                <w:b/>
                <w:szCs w:val="24"/>
              </w:rPr>
            </w:pPr>
            <w:r>
              <w:rPr>
                <w:rFonts w:cs="Times New Roman"/>
                <w:b/>
                <w:szCs w:val="24"/>
              </w:rPr>
              <w:lastRenderedPageBreak/>
              <w:t>Atsižvelgta iš dalies</w:t>
            </w:r>
            <w:r w:rsidR="001D6C11" w:rsidRPr="001D6C11">
              <w:rPr>
                <w:rFonts w:cs="Times New Roman"/>
                <w:szCs w:val="24"/>
              </w:rPr>
              <w:t>.</w:t>
            </w:r>
          </w:p>
          <w:p w14:paraId="6B0FD3F7" w14:textId="327A243D" w:rsidR="001D6C11" w:rsidRPr="001D6C11" w:rsidRDefault="001D6C11" w:rsidP="00C22936">
            <w:pPr>
              <w:jc w:val="both"/>
              <w:rPr>
                <w:rFonts w:cs="Times New Roman"/>
                <w:szCs w:val="24"/>
              </w:rPr>
            </w:pPr>
            <w:r>
              <w:rPr>
                <w:rFonts w:cs="Times New Roman"/>
                <w:szCs w:val="24"/>
              </w:rPr>
              <w:t xml:space="preserve">Teikiamu BK projektu siūloma papildyti BK 135 straipsnio dispoziciją nauju objektyviosios pusės požymiu – „labai ilgai sirgo“. Būtent šio požymio turinys turės būti apibrėžtas Taisyklėse. Be šio požymio apibrėžties, Taisyklėse papildomai reikės atlikti ir techninio pobūdžio pakeitimus, t. y. „nesunkaus sveikatos sutrikdymo“ sąvoką pakeisti „apysunkiu sveikatos sutrikdymu“, o </w:t>
            </w:r>
            <w:r>
              <w:rPr>
                <w:rFonts w:cs="Times New Roman"/>
                <w:szCs w:val="24"/>
              </w:rPr>
              <w:lastRenderedPageBreak/>
              <w:t>„nežymaus sveikatos sutrikdymo“ sąvoką – „nesunkiu sveikatos sutrikdymu“</w:t>
            </w:r>
            <w:r w:rsidR="009136E1">
              <w:rPr>
                <w:rFonts w:cs="Times New Roman"/>
                <w:szCs w:val="24"/>
              </w:rPr>
              <w:t xml:space="preserve">, taip pat atsisakyti </w:t>
            </w:r>
            <w:r w:rsidR="009136E1">
              <w:t>neaktualios „profesinio darbingumo“ sąvokos, a</w:t>
            </w:r>
            <w:r w:rsidR="009136E1" w:rsidRPr="000624B7">
              <w:rPr>
                <w:bCs/>
                <w:lang w:eastAsia="lt-LT"/>
              </w:rPr>
              <w:t xml:space="preserve">tsižvelgiant į tai, kad nuo 2005 m. </w:t>
            </w:r>
            <w:r w:rsidR="009136E1">
              <w:rPr>
                <w:bCs/>
                <w:lang w:eastAsia="lt-LT"/>
              </w:rPr>
              <w:t xml:space="preserve">profesinis darbingumas </w:t>
            </w:r>
            <w:r w:rsidR="009136E1" w:rsidRPr="000624B7">
              <w:rPr>
                <w:bCs/>
                <w:lang w:eastAsia="lt-LT"/>
              </w:rPr>
              <w:t>nėra nustatinėjamas</w:t>
            </w:r>
            <w:r>
              <w:rPr>
                <w:rFonts w:cs="Times New Roman"/>
                <w:szCs w:val="24"/>
              </w:rPr>
              <w:t xml:space="preserve">. Taigi tinkamas BK projektu siūlomų pakeitimų įgyvendinimas tiesiogiai pareikalaus Taisyklių pataisų tik dėl šių paminėtų aspektų. Atsižvelgiant į tai, manytina, kad </w:t>
            </w:r>
            <w:r w:rsidR="00C22936">
              <w:rPr>
                <w:rFonts w:cs="Times New Roman"/>
                <w:szCs w:val="24"/>
              </w:rPr>
              <w:t>2021</w:t>
            </w:r>
            <w:r w:rsidR="007B23DB">
              <w:rPr>
                <w:rFonts w:cs="Times New Roman"/>
                <w:szCs w:val="24"/>
              </w:rPr>
              <w:t xml:space="preserve"> m. </w:t>
            </w:r>
            <w:r w:rsidR="00C22936">
              <w:rPr>
                <w:rFonts w:cs="Times New Roman"/>
                <w:szCs w:val="24"/>
              </w:rPr>
              <w:t xml:space="preserve">balandžio </w:t>
            </w:r>
            <w:r w:rsidR="007B23DB">
              <w:rPr>
                <w:rFonts w:cs="Times New Roman"/>
                <w:szCs w:val="24"/>
              </w:rPr>
              <w:t xml:space="preserve">1 d. yra optimali </w:t>
            </w:r>
            <w:r w:rsidR="0074691C">
              <w:rPr>
                <w:rFonts w:cs="Times New Roman"/>
                <w:szCs w:val="24"/>
              </w:rPr>
              <w:t xml:space="preserve">data </w:t>
            </w:r>
            <w:r w:rsidR="007B23DB">
              <w:rPr>
                <w:rFonts w:cs="Times New Roman"/>
                <w:szCs w:val="24"/>
              </w:rPr>
              <w:t>reikalingiems Taisyklių pakeitima</w:t>
            </w:r>
            <w:r w:rsidR="009136E1">
              <w:rPr>
                <w:rFonts w:cs="Times New Roman"/>
                <w:szCs w:val="24"/>
              </w:rPr>
              <w:t>m</w:t>
            </w:r>
            <w:r w:rsidR="007B23DB">
              <w:rPr>
                <w:rFonts w:cs="Times New Roman"/>
                <w:szCs w:val="24"/>
              </w:rPr>
              <w:t>s parengti, todėl nėra porei</w:t>
            </w:r>
            <w:r w:rsidR="0074691C">
              <w:rPr>
                <w:rFonts w:cs="Times New Roman"/>
                <w:szCs w:val="24"/>
              </w:rPr>
              <w:t>kio BK projektu teikiamų pakeitimų</w:t>
            </w:r>
            <w:r w:rsidR="007B23DB">
              <w:rPr>
                <w:rFonts w:cs="Times New Roman"/>
                <w:szCs w:val="24"/>
              </w:rPr>
              <w:t xml:space="preserve"> įgyvendinimą n</w:t>
            </w:r>
            <w:r w:rsidR="0074691C">
              <w:rPr>
                <w:rFonts w:cs="Times New Roman"/>
                <w:szCs w:val="24"/>
              </w:rPr>
              <w:t>ukelti</w:t>
            </w:r>
            <w:r w:rsidR="007B23DB">
              <w:rPr>
                <w:rFonts w:cs="Times New Roman"/>
                <w:szCs w:val="24"/>
              </w:rPr>
              <w:t xml:space="preserve"> iki 2021 m. liepos 1 d. </w:t>
            </w:r>
          </w:p>
        </w:tc>
      </w:tr>
      <w:tr w:rsidR="00F3370E" w:rsidRPr="005F43FA" w14:paraId="70462FD0" w14:textId="77777777" w:rsidTr="005F43FA">
        <w:tc>
          <w:tcPr>
            <w:tcW w:w="2127" w:type="dxa"/>
            <w:tcBorders>
              <w:top w:val="single" w:sz="4" w:space="0" w:color="auto"/>
              <w:left w:val="single" w:sz="4" w:space="0" w:color="auto"/>
              <w:bottom w:val="single" w:sz="4" w:space="0" w:color="auto"/>
              <w:right w:val="single" w:sz="4" w:space="0" w:color="auto"/>
            </w:tcBorders>
          </w:tcPr>
          <w:p w14:paraId="27AB6EE6" w14:textId="1F4E475D" w:rsidR="00F3370E" w:rsidRDefault="00F3370E" w:rsidP="00F3370E">
            <w:pPr>
              <w:jc w:val="center"/>
              <w:rPr>
                <w:rFonts w:cs="Times New Roman"/>
                <w:szCs w:val="24"/>
              </w:rPr>
            </w:pPr>
            <w:r>
              <w:rPr>
                <w:rFonts w:cs="Times New Roman"/>
                <w:szCs w:val="24"/>
              </w:rPr>
              <w:lastRenderedPageBreak/>
              <w:t xml:space="preserve">Teisėjų tarybos 2020-10-13 raštas Nr. </w:t>
            </w:r>
            <w:r w:rsidRPr="00F3370E">
              <w:rPr>
                <w:rFonts w:cs="Times New Roman"/>
                <w:szCs w:val="24"/>
              </w:rPr>
              <w:t>36P-154-(7.1.10)</w:t>
            </w:r>
          </w:p>
        </w:tc>
        <w:tc>
          <w:tcPr>
            <w:tcW w:w="5670" w:type="dxa"/>
            <w:tcBorders>
              <w:top w:val="single" w:sz="4" w:space="0" w:color="auto"/>
              <w:left w:val="single" w:sz="4" w:space="0" w:color="auto"/>
              <w:bottom w:val="single" w:sz="4" w:space="0" w:color="auto"/>
              <w:right w:val="single" w:sz="4" w:space="0" w:color="auto"/>
            </w:tcBorders>
          </w:tcPr>
          <w:p w14:paraId="76CA3063" w14:textId="6CD90D67" w:rsidR="00F3370E" w:rsidRPr="00F3370E" w:rsidRDefault="00F3370E" w:rsidP="00F3370E">
            <w:pPr>
              <w:tabs>
                <w:tab w:val="left" w:pos="993"/>
              </w:tabs>
              <w:jc w:val="both"/>
              <w:rPr>
                <w:rFonts w:eastAsia="Times New Roman" w:cs="Times New Roman"/>
                <w:szCs w:val="24"/>
              </w:rPr>
            </w:pPr>
            <w:r>
              <w:rPr>
                <w:szCs w:val="24"/>
              </w:rPr>
              <w:t xml:space="preserve">1. </w:t>
            </w:r>
            <w:r>
              <w:rPr>
                <w:rFonts w:eastAsia="Times New Roman" w:cs="Times New Roman"/>
                <w:szCs w:val="24"/>
              </w:rPr>
              <w:t xml:space="preserve">Atkreiptinas dėmesys į tai, kad Įstatymo projektu siūlomais pakeitimais būtų </w:t>
            </w:r>
            <w:proofErr w:type="spellStart"/>
            <w:r>
              <w:rPr>
                <w:rFonts w:eastAsia="Times New Roman" w:cs="Times New Roman"/>
                <w:szCs w:val="24"/>
              </w:rPr>
              <w:t>dekriminalizuotas</w:t>
            </w:r>
            <w:proofErr w:type="spellEnd"/>
            <w:r>
              <w:rPr>
                <w:rFonts w:eastAsia="Times New Roman" w:cs="Times New Roman"/>
                <w:szCs w:val="24"/>
              </w:rPr>
              <w:t xml:space="preserve"> nesunkus sveikatos </w:t>
            </w:r>
            <w:r w:rsidRPr="00F3370E">
              <w:rPr>
                <w:rFonts w:eastAsia="Times New Roman" w:cs="Times New Roman"/>
                <w:szCs w:val="24"/>
              </w:rPr>
              <w:t xml:space="preserve">sutrikdymas </w:t>
            </w:r>
            <w:r w:rsidRPr="00F3370E">
              <w:rPr>
                <w:rFonts w:eastAsia="Times New Roman" w:cs="Times New Roman"/>
                <w:bCs/>
                <w:szCs w:val="24"/>
              </w:rPr>
              <w:t>dėl neatsargumo</w:t>
            </w:r>
            <w:r w:rsidRPr="00F3370E">
              <w:rPr>
                <w:rFonts w:eastAsia="Times New Roman" w:cs="Times New Roman"/>
                <w:szCs w:val="24"/>
              </w:rPr>
              <w:t>. Pažymėtina, kad dėl šio aspekto Įstatymo projekto autoriai</w:t>
            </w:r>
            <w:r>
              <w:rPr>
                <w:rFonts w:eastAsia="Times New Roman" w:cs="Times New Roman"/>
                <w:szCs w:val="24"/>
              </w:rPr>
              <w:t xml:space="preserve"> nepateikė jokių motyvų, todėl pateiktas pasiūlymas iš baudžiamojo įstatymo eliminuoti nesunkų sveikatos sutrikdymą dėl neatsargumo kelia abejonių. </w:t>
            </w:r>
          </w:p>
        </w:tc>
        <w:tc>
          <w:tcPr>
            <w:tcW w:w="7796" w:type="dxa"/>
            <w:tcBorders>
              <w:top w:val="single" w:sz="4" w:space="0" w:color="auto"/>
              <w:left w:val="single" w:sz="4" w:space="0" w:color="auto"/>
              <w:bottom w:val="single" w:sz="4" w:space="0" w:color="auto"/>
              <w:right w:val="single" w:sz="4" w:space="0" w:color="auto"/>
            </w:tcBorders>
          </w:tcPr>
          <w:p w14:paraId="751464F2" w14:textId="77777777" w:rsidR="00F3370E" w:rsidRDefault="00F3370E" w:rsidP="005F43FA">
            <w:pPr>
              <w:jc w:val="both"/>
              <w:rPr>
                <w:rFonts w:cs="Times New Roman"/>
                <w:szCs w:val="24"/>
              </w:rPr>
            </w:pPr>
            <w:r>
              <w:rPr>
                <w:rFonts w:cs="Times New Roman"/>
                <w:b/>
                <w:szCs w:val="24"/>
              </w:rPr>
              <w:t>Neatsižvelgta</w:t>
            </w:r>
            <w:r w:rsidRPr="00F3370E">
              <w:rPr>
                <w:rFonts w:cs="Times New Roman"/>
                <w:szCs w:val="24"/>
              </w:rPr>
              <w:t>.</w:t>
            </w:r>
          </w:p>
          <w:p w14:paraId="45AF4711" w14:textId="51D8F765" w:rsidR="005A0F4F" w:rsidRDefault="005A0F4F" w:rsidP="0074691C">
            <w:pPr>
              <w:jc w:val="both"/>
              <w:rPr>
                <w:rFonts w:cs="Times New Roman"/>
                <w:b/>
                <w:szCs w:val="24"/>
              </w:rPr>
            </w:pPr>
            <w:r w:rsidRPr="009B7E6B">
              <w:rPr>
                <w:rFonts w:cs="Times New Roman"/>
                <w:szCs w:val="24"/>
              </w:rPr>
              <w:t>Siūlomu projektu nesunkus sveikatos sutrikdymas nė</w:t>
            </w:r>
            <w:r w:rsidR="0074691C" w:rsidRPr="009B7E6B">
              <w:rPr>
                <w:rFonts w:cs="Times New Roman"/>
                <w:szCs w:val="24"/>
              </w:rPr>
              <w:t xml:space="preserve">ra </w:t>
            </w:r>
            <w:proofErr w:type="spellStart"/>
            <w:r w:rsidR="0074691C" w:rsidRPr="009B7E6B">
              <w:rPr>
                <w:rFonts w:cs="Times New Roman"/>
                <w:szCs w:val="24"/>
              </w:rPr>
              <w:t>dekriminalizuojamas</w:t>
            </w:r>
            <w:proofErr w:type="spellEnd"/>
            <w:r w:rsidR="0074691C" w:rsidRPr="009B7E6B">
              <w:rPr>
                <w:rFonts w:cs="Times New Roman"/>
                <w:szCs w:val="24"/>
              </w:rPr>
              <w:t>. BK</w:t>
            </w:r>
            <w:r w:rsidRPr="009B7E6B">
              <w:rPr>
                <w:rFonts w:cs="Times New Roman"/>
                <w:szCs w:val="24"/>
              </w:rPr>
              <w:t xml:space="preserve"> projektu „nesunkus sveikatos sutrikdymo“ sąvoką siūloma pervadinti „apysunkiu sveikatos sutrikdymu“, t. y. tik techniškai </w:t>
            </w:r>
            <w:r w:rsidR="0074691C" w:rsidRPr="009B7E6B">
              <w:rPr>
                <w:rFonts w:cs="Times New Roman"/>
                <w:szCs w:val="24"/>
              </w:rPr>
              <w:t>pakeisti patį terminą</w:t>
            </w:r>
            <w:r w:rsidRPr="009B7E6B">
              <w:rPr>
                <w:rFonts w:cs="Times New Roman"/>
                <w:szCs w:val="24"/>
              </w:rPr>
              <w:t>, bet ne nusika</w:t>
            </w:r>
            <w:r w:rsidR="0074691C" w:rsidRPr="009B7E6B">
              <w:rPr>
                <w:rFonts w:cs="Times New Roman"/>
                <w:szCs w:val="24"/>
              </w:rPr>
              <w:t>lstamos veikos sudėties požymius (pastarieji nėra kaip nors koreguojami – nei griežtinami, nei švelninami)</w:t>
            </w:r>
            <w:r w:rsidRPr="009B7E6B">
              <w:rPr>
                <w:rFonts w:cs="Times New Roman"/>
                <w:szCs w:val="24"/>
              </w:rPr>
              <w:t xml:space="preserve">. Motyvai dėl nesunkaus sveikatos sutrikdymo laikymo apysunkiu </w:t>
            </w:r>
            <w:r w:rsidR="0074691C" w:rsidRPr="009B7E6B">
              <w:rPr>
                <w:rFonts w:cs="Times New Roman"/>
                <w:szCs w:val="24"/>
              </w:rPr>
              <w:t xml:space="preserve">yra pateikti </w:t>
            </w:r>
            <w:r w:rsidRPr="009B7E6B">
              <w:rPr>
                <w:rFonts w:cs="Times New Roman"/>
                <w:szCs w:val="24"/>
              </w:rPr>
              <w:t>aiškinamajame rašte</w:t>
            </w:r>
            <w:r w:rsidR="0074691C" w:rsidRPr="009B7E6B">
              <w:rPr>
                <w:rFonts w:cs="Times New Roman"/>
                <w:szCs w:val="24"/>
              </w:rPr>
              <w:t xml:space="preserve"> (4 punkto 4 pastraipa)</w:t>
            </w:r>
            <w:r w:rsidRPr="009B7E6B">
              <w:rPr>
                <w:rFonts w:cs="Times New Roman"/>
                <w:szCs w:val="24"/>
              </w:rPr>
              <w:t xml:space="preserve">. </w:t>
            </w:r>
            <w:r w:rsidR="0074691C" w:rsidRPr="009B7E6B">
              <w:rPr>
                <w:rFonts w:cs="Times New Roman"/>
                <w:szCs w:val="24"/>
              </w:rPr>
              <w:t>Papildomai a</w:t>
            </w:r>
            <w:r w:rsidRPr="009B7E6B">
              <w:rPr>
                <w:rFonts w:cs="Times New Roman"/>
                <w:szCs w:val="24"/>
              </w:rPr>
              <w:t>tkreiptinas dėmesys</w:t>
            </w:r>
            <w:r w:rsidR="0074691C" w:rsidRPr="009B7E6B">
              <w:rPr>
                <w:rFonts w:cs="Times New Roman"/>
                <w:szCs w:val="24"/>
              </w:rPr>
              <w:t xml:space="preserve"> ir</w:t>
            </w:r>
            <w:r w:rsidRPr="009B7E6B">
              <w:rPr>
                <w:rFonts w:cs="Times New Roman"/>
                <w:szCs w:val="24"/>
              </w:rPr>
              <w:t xml:space="preserve"> į tai, kad nežymus svei</w:t>
            </w:r>
            <w:r w:rsidR="0074691C" w:rsidRPr="009B7E6B">
              <w:rPr>
                <w:rFonts w:cs="Times New Roman"/>
                <w:szCs w:val="24"/>
              </w:rPr>
              <w:t>katos sutrikdymo sąvoka BK projektu keičiama</w:t>
            </w:r>
            <w:r w:rsidRPr="009B7E6B">
              <w:rPr>
                <w:rFonts w:cs="Times New Roman"/>
                <w:szCs w:val="24"/>
              </w:rPr>
              <w:t xml:space="preserve"> į nesunkų sveikatos sutrikdymą</w:t>
            </w:r>
            <w:r w:rsidR="0074691C" w:rsidRPr="009B7E6B">
              <w:rPr>
                <w:rFonts w:cs="Times New Roman"/>
                <w:szCs w:val="24"/>
              </w:rPr>
              <w:t xml:space="preserve"> (vėl gi tik techniškai, nekeičiant nusikalstamos veikos sudėties požymių)</w:t>
            </w:r>
            <w:r w:rsidRPr="009B7E6B">
              <w:rPr>
                <w:rFonts w:cs="Times New Roman"/>
                <w:szCs w:val="24"/>
              </w:rPr>
              <w:t xml:space="preserve">, bet </w:t>
            </w:r>
            <w:r w:rsidR="0074691C" w:rsidRPr="009B7E6B">
              <w:rPr>
                <w:rFonts w:cs="Times New Roman"/>
                <w:szCs w:val="24"/>
              </w:rPr>
              <w:t xml:space="preserve">dėl </w:t>
            </w:r>
            <w:r w:rsidRPr="009B7E6B">
              <w:rPr>
                <w:rFonts w:cs="Times New Roman"/>
                <w:szCs w:val="24"/>
              </w:rPr>
              <w:t>nežymaus sveikatos sutrikd</w:t>
            </w:r>
            <w:r w:rsidR="0074691C" w:rsidRPr="009B7E6B">
              <w:rPr>
                <w:rFonts w:cs="Times New Roman"/>
                <w:szCs w:val="24"/>
              </w:rPr>
              <w:t xml:space="preserve">ymo </w:t>
            </w:r>
            <w:proofErr w:type="spellStart"/>
            <w:r w:rsidR="0074691C" w:rsidRPr="009B7E6B">
              <w:rPr>
                <w:rFonts w:cs="Times New Roman"/>
                <w:szCs w:val="24"/>
              </w:rPr>
              <w:t>dekriminalizavimo</w:t>
            </w:r>
            <w:proofErr w:type="spellEnd"/>
            <w:r w:rsidR="0074691C" w:rsidRPr="009B7E6B">
              <w:rPr>
                <w:rFonts w:cs="Times New Roman"/>
                <w:szCs w:val="24"/>
              </w:rPr>
              <w:t xml:space="preserve"> </w:t>
            </w:r>
            <w:r w:rsidRPr="009B7E6B">
              <w:rPr>
                <w:rFonts w:cs="Times New Roman"/>
                <w:szCs w:val="24"/>
              </w:rPr>
              <w:t>pasta</w:t>
            </w:r>
            <w:r w:rsidR="0074691C" w:rsidRPr="009B7E6B">
              <w:rPr>
                <w:rFonts w:cs="Times New Roman"/>
                <w:szCs w:val="24"/>
              </w:rPr>
              <w:t>bų autoriai</w:t>
            </w:r>
            <w:r w:rsidRPr="009B7E6B">
              <w:rPr>
                <w:rFonts w:cs="Times New Roman"/>
                <w:szCs w:val="24"/>
              </w:rPr>
              <w:t xml:space="preserve"> </w:t>
            </w:r>
            <w:r w:rsidR="0074691C" w:rsidRPr="009B7E6B">
              <w:rPr>
                <w:rFonts w:cs="Times New Roman"/>
                <w:szCs w:val="24"/>
              </w:rPr>
              <w:t>klausimo nekelia</w:t>
            </w:r>
            <w:r w:rsidRPr="009B7E6B">
              <w:rPr>
                <w:rFonts w:cs="Times New Roman"/>
                <w:szCs w:val="24"/>
              </w:rPr>
              <w:t>.</w:t>
            </w:r>
          </w:p>
        </w:tc>
      </w:tr>
      <w:tr w:rsidR="00F3370E" w:rsidRPr="005F43FA" w14:paraId="0ADBB43A" w14:textId="77777777" w:rsidTr="005F43FA">
        <w:tc>
          <w:tcPr>
            <w:tcW w:w="2127" w:type="dxa"/>
            <w:tcBorders>
              <w:top w:val="single" w:sz="4" w:space="0" w:color="auto"/>
              <w:left w:val="single" w:sz="4" w:space="0" w:color="auto"/>
              <w:bottom w:val="single" w:sz="4" w:space="0" w:color="auto"/>
              <w:right w:val="single" w:sz="4" w:space="0" w:color="auto"/>
            </w:tcBorders>
          </w:tcPr>
          <w:p w14:paraId="23227D6B" w14:textId="77777777" w:rsidR="00F3370E" w:rsidRDefault="00F3370E" w:rsidP="00F3370E">
            <w:pPr>
              <w:jc w:val="center"/>
              <w:rPr>
                <w:rFonts w:cs="Times New Roman"/>
                <w:szCs w:val="24"/>
              </w:rPr>
            </w:pPr>
          </w:p>
        </w:tc>
        <w:tc>
          <w:tcPr>
            <w:tcW w:w="5670" w:type="dxa"/>
            <w:tcBorders>
              <w:top w:val="single" w:sz="4" w:space="0" w:color="auto"/>
              <w:left w:val="single" w:sz="4" w:space="0" w:color="auto"/>
              <w:bottom w:val="single" w:sz="4" w:space="0" w:color="auto"/>
              <w:right w:val="single" w:sz="4" w:space="0" w:color="auto"/>
            </w:tcBorders>
          </w:tcPr>
          <w:p w14:paraId="7D322C9D" w14:textId="1F7D0916" w:rsidR="00F3370E" w:rsidRDefault="00F3370E" w:rsidP="00F3370E">
            <w:pPr>
              <w:tabs>
                <w:tab w:val="left" w:pos="993"/>
              </w:tabs>
              <w:jc w:val="both"/>
              <w:rPr>
                <w:szCs w:val="24"/>
              </w:rPr>
            </w:pPr>
            <w:r>
              <w:rPr>
                <w:szCs w:val="24"/>
              </w:rPr>
              <w:t xml:space="preserve">2. </w:t>
            </w:r>
            <w:r w:rsidRPr="00F3370E">
              <w:rPr>
                <w:szCs w:val="24"/>
              </w:rPr>
              <w:t xml:space="preserve">Atkreiptinas dėmesys į tai, kad, BK 138 straipsnyje numatant atsakomybę už apysunkį sveikatos sutrikdymą, o BK 140 straipsnyje – už nesunkų sveikatos sutrikdymą, pagal nurodytų straipsnių pirmųjų dalių sankcijas abu nusikaltimai būtų laikomi nesunkiais (BK 11 straipsnio 3 dalis). Tuo tarpu pats BK 138 straipsnio pavadinimas ,,Apysunkis sveikatos sutrikdymas“ suponuoja manymą, </w:t>
            </w:r>
            <w:r w:rsidRPr="00F3370E">
              <w:rPr>
                <w:szCs w:val="24"/>
              </w:rPr>
              <w:lastRenderedPageBreak/>
              <w:t xml:space="preserve">kad šiame straipsnyje aprašyta veika priskiriama apysunkių nusikaltimų kategorijai, t. y. BK 11 straipsnio 4 dalyje numatyto sunkumo nusikaltimui. Todėl, sistemiškai vertinant siūlomus pakeitimus, kad jie atitiktų ir BK bendrosios dalies nuostatas, kad nesusidarytų prielaidų interpretacijoms aiškinant ir taikant baudžiamąjį įstatymą dėl to, kokio sunkumo kategorijai yra priskiriamas nusikaltimas, galimai turėtų būti peržiūrimos ir koreguojamos BK 138 ir 140 straipsnių sankcijos, kad minėti BK straipsniai, kuriuose įtvirtinta atsakomybė už atitinkamus sveikatos </w:t>
            </w:r>
            <w:proofErr w:type="spellStart"/>
            <w:r w:rsidRPr="00F3370E">
              <w:rPr>
                <w:szCs w:val="24"/>
              </w:rPr>
              <w:t>sutrikdymus</w:t>
            </w:r>
            <w:proofErr w:type="spellEnd"/>
            <w:r w:rsidRPr="00F3370E">
              <w:rPr>
                <w:szCs w:val="24"/>
              </w:rPr>
              <w:t xml:space="preserve"> pagal sukeltas pasekmes, kurios nurodomos pačiame straipsnio pavadinime, atitiktų BK 11 straipsnyje numatytą nusikaltimų skirstymą pagal sunkumą.</w:t>
            </w:r>
          </w:p>
        </w:tc>
        <w:tc>
          <w:tcPr>
            <w:tcW w:w="7796" w:type="dxa"/>
            <w:tcBorders>
              <w:top w:val="single" w:sz="4" w:space="0" w:color="auto"/>
              <w:left w:val="single" w:sz="4" w:space="0" w:color="auto"/>
              <w:bottom w:val="single" w:sz="4" w:space="0" w:color="auto"/>
              <w:right w:val="single" w:sz="4" w:space="0" w:color="auto"/>
            </w:tcBorders>
          </w:tcPr>
          <w:p w14:paraId="0B78FCBD" w14:textId="77777777" w:rsidR="00F3370E" w:rsidRDefault="00F3370E" w:rsidP="005F43FA">
            <w:pPr>
              <w:jc w:val="both"/>
              <w:rPr>
                <w:rFonts w:cs="Times New Roman"/>
                <w:szCs w:val="24"/>
              </w:rPr>
            </w:pPr>
            <w:r>
              <w:rPr>
                <w:rFonts w:cs="Times New Roman"/>
                <w:b/>
                <w:szCs w:val="24"/>
              </w:rPr>
              <w:lastRenderedPageBreak/>
              <w:t>Neatsižvelgta</w:t>
            </w:r>
            <w:r w:rsidRPr="00F3370E">
              <w:rPr>
                <w:rFonts w:cs="Times New Roman"/>
                <w:szCs w:val="24"/>
              </w:rPr>
              <w:t>.</w:t>
            </w:r>
          </w:p>
          <w:p w14:paraId="1461D4CE" w14:textId="344F87D1" w:rsidR="009B7E6B" w:rsidRDefault="009B7E6B" w:rsidP="005F43FA">
            <w:pPr>
              <w:jc w:val="both"/>
              <w:rPr>
                <w:rFonts w:cs="Times New Roman"/>
                <w:szCs w:val="24"/>
              </w:rPr>
            </w:pPr>
            <w:r>
              <w:rPr>
                <w:rFonts w:cs="Times New Roman"/>
                <w:szCs w:val="24"/>
              </w:rPr>
              <w:t xml:space="preserve">Sveikatos sutrikdymų gradavimo pagal sveikatos sutrikdymo mastą negalima </w:t>
            </w:r>
            <w:r w:rsidR="00147839">
              <w:rPr>
                <w:rFonts w:cs="Times New Roman"/>
                <w:szCs w:val="24"/>
              </w:rPr>
              <w:t xml:space="preserve">tapatinti su nusikalstamų veikų gradavimu, t. y. pavyzdžiui, </w:t>
            </w:r>
            <w:r>
              <w:rPr>
                <w:rFonts w:cs="Times New Roman"/>
                <w:szCs w:val="24"/>
              </w:rPr>
              <w:t>apysunkis sveikatos sutrikdymas nereiškia, kad automatiškai toks sveikatos sutrikdymas turėtų būti priskirtas apysunkių nusikaltimų kategorijai.</w:t>
            </w:r>
            <w:r w:rsidR="00147839">
              <w:rPr>
                <w:rFonts w:cs="Times New Roman"/>
                <w:szCs w:val="24"/>
              </w:rPr>
              <w:t xml:space="preserve"> Pažymė</w:t>
            </w:r>
            <w:r w:rsidR="00BA6F12">
              <w:rPr>
                <w:rFonts w:cs="Times New Roman"/>
                <w:szCs w:val="24"/>
              </w:rPr>
              <w:t>tina, kad toks principas (sveikatos sutrikdymo ma</w:t>
            </w:r>
            <w:r w:rsidR="00FD5346">
              <w:rPr>
                <w:rFonts w:cs="Times New Roman"/>
                <w:szCs w:val="24"/>
              </w:rPr>
              <w:t>sto netapatinimas su nusikaltimų kategorijomis</w:t>
            </w:r>
            <w:r w:rsidR="00BA6F12">
              <w:rPr>
                <w:rFonts w:cs="Times New Roman"/>
                <w:szCs w:val="24"/>
              </w:rPr>
              <w:t>)  įtvirtintas</w:t>
            </w:r>
            <w:r w:rsidR="00147839">
              <w:rPr>
                <w:rFonts w:cs="Times New Roman"/>
                <w:szCs w:val="24"/>
              </w:rPr>
              <w:t xml:space="preserve"> ir </w:t>
            </w:r>
            <w:r w:rsidR="00BA6F12">
              <w:rPr>
                <w:rFonts w:cs="Times New Roman"/>
                <w:szCs w:val="24"/>
              </w:rPr>
              <w:t xml:space="preserve">galiojančiose BK normose. Pavyzdžiui, sunkus sveikatos </w:t>
            </w:r>
            <w:r w:rsidR="00BA6F12">
              <w:rPr>
                <w:rFonts w:cs="Times New Roman"/>
                <w:szCs w:val="24"/>
              </w:rPr>
              <w:lastRenderedPageBreak/>
              <w:t>sutrikdymas (kvalifikuota jo sudėtis) (BK 135 str. 2 d.) yra priskirtinas labai sunkiam nusikaltimui, tačiau tai nekeičia šio sveikatos sutrikdymo masto į labai sunkų (tokio net nėra),</w:t>
            </w:r>
            <w:r w:rsidR="00FD5346">
              <w:rPr>
                <w:rFonts w:cs="Times New Roman"/>
                <w:szCs w:val="24"/>
              </w:rPr>
              <w:t xml:space="preserve"> ar atvirkščiai, t. y. labai sunkaus nusikaltimo „priderinimo“ prie sunkaus sveikatos sutrikdymo masto. Toks sveikatos sutrikdymas</w:t>
            </w:r>
            <w:r w:rsidR="00BA6F12">
              <w:rPr>
                <w:rFonts w:cs="Times New Roman"/>
                <w:szCs w:val="24"/>
              </w:rPr>
              <w:t xml:space="preserve"> vis tiek laikomas sunkiu, nepaisant pačios nusikalstamos veikos priskyrimo labai sunkių nusikaltimų kategorijai. Tas pats pasakytina ir, pavyzdžiui, apie sunkų sveikatos sutrikdymą labai susijaudinus (BK 136 str.), kuris priskirtinas ne sunkių, bet apysunkių nusikaltimų kategorijai, taip pat apie nesunkaus sveikatos sutrikdymo kvalifikuotą </w:t>
            </w:r>
            <w:r w:rsidR="00FD5346">
              <w:rPr>
                <w:rFonts w:cs="Times New Roman"/>
                <w:szCs w:val="24"/>
              </w:rPr>
              <w:t>sudėtį (BK 138 str. 2 d.), kurioje įtvirtinta nusikalstama veika priskirtina</w:t>
            </w:r>
            <w:r w:rsidR="00BA6F12">
              <w:rPr>
                <w:rFonts w:cs="Times New Roman"/>
                <w:szCs w:val="24"/>
              </w:rPr>
              <w:t xml:space="preserve"> apysunkių nusikaltimų kategorijai, ir pan. </w:t>
            </w:r>
            <w:r w:rsidR="00147839">
              <w:rPr>
                <w:rFonts w:cs="Times New Roman"/>
                <w:szCs w:val="24"/>
              </w:rPr>
              <w:t xml:space="preserve"> </w:t>
            </w:r>
          </w:p>
          <w:p w14:paraId="08E66C77" w14:textId="13ACF253" w:rsidR="005A0F4F" w:rsidRDefault="005A0F4F" w:rsidP="005F43FA">
            <w:pPr>
              <w:jc w:val="both"/>
              <w:rPr>
                <w:rFonts w:cs="Times New Roman"/>
                <w:b/>
                <w:szCs w:val="24"/>
              </w:rPr>
            </w:pPr>
          </w:p>
        </w:tc>
      </w:tr>
      <w:tr w:rsidR="00C22936" w:rsidRPr="005F43FA" w14:paraId="708AA668" w14:textId="77777777" w:rsidTr="005F43FA">
        <w:tc>
          <w:tcPr>
            <w:tcW w:w="2127" w:type="dxa"/>
            <w:tcBorders>
              <w:top w:val="single" w:sz="4" w:space="0" w:color="auto"/>
              <w:left w:val="single" w:sz="4" w:space="0" w:color="auto"/>
              <w:bottom w:val="single" w:sz="4" w:space="0" w:color="auto"/>
              <w:right w:val="single" w:sz="4" w:space="0" w:color="auto"/>
            </w:tcBorders>
          </w:tcPr>
          <w:p w14:paraId="711710BB" w14:textId="1252575F" w:rsidR="00C22936" w:rsidRDefault="00C22936" w:rsidP="00C22936">
            <w:pPr>
              <w:jc w:val="center"/>
              <w:rPr>
                <w:rFonts w:cs="Times New Roman"/>
                <w:szCs w:val="24"/>
              </w:rPr>
            </w:pPr>
            <w:r>
              <w:rPr>
                <w:rFonts w:cs="Times New Roman"/>
                <w:szCs w:val="24"/>
              </w:rPr>
              <w:lastRenderedPageBreak/>
              <w:t>LRV kanceliarijos Viešojo valdymo grupės 2020-11-23 pažyma</w:t>
            </w:r>
            <w:r>
              <w:rPr>
                <w:rFonts w:cs="Times New Roman"/>
                <w:szCs w:val="24"/>
              </w:rPr>
              <w:t xml:space="preserve"> Nr. </w:t>
            </w:r>
            <w:r>
              <w:rPr>
                <w:rFonts w:cs="Times New Roman"/>
                <w:szCs w:val="24"/>
              </w:rPr>
              <w:t>NV-3165</w:t>
            </w:r>
          </w:p>
        </w:tc>
        <w:tc>
          <w:tcPr>
            <w:tcW w:w="5670" w:type="dxa"/>
            <w:tcBorders>
              <w:top w:val="single" w:sz="4" w:space="0" w:color="auto"/>
              <w:left w:val="single" w:sz="4" w:space="0" w:color="auto"/>
              <w:bottom w:val="single" w:sz="4" w:space="0" w:color="auto"/>
              <w:right w:val="single" w:sz="4" w:space="0" w:color="auto"/>
            </w:tcBorders>
          </w:tcPr>
          <w:p w14:paraId="1CE9CFD8" w14:textId="7603FE52" w:rsidR="00C22936" w:rsidRDefault="00C22936" w:rsidP="00F3370E">
            <w:pPr>
              <w:tabs>
                <w:tab w:val="left" w:pos="993"/>
              </w:tabs>
              <w:jc w:val="both"/>
              <w:rPr>
                <w:szCs w:val="24"/>
              </w:rPr>
            </w:pPr>
            <w:r w:rsidRPr="00C22936">
              <w:rPr>
                <w:szCs w:val="24"/>
              </w:rPr>
              <w:t>Turint omenyje ypatingą aptariamų santykių poveikį asmenų teisėms, siūlome Sveikatos sutrikdymo masto nustatymo taisykles tvirtinti ne ministrų įsakymu, bet aukštesnio lygmens teisės aktu – Vyriausybės nutarimu. Atitinkamai siūlytina atsisakyti baudžiamajame įstatyme nustatytos galimybės Vyriausybei įgalioti tai padaryti sau pavaldžius subjektus.</w:t>
            </w:r>
          </w:p>
        </w:tc>
        <w:tc>
          <w:tcPr>
            <w:tcW w:w="7796" w:type="dxa"/>
            <w:tcBorders>
              <w:top w:val="single" w:sz="4" w:space="0" w:color="auto"/>
              <w:left w:val="single" w:sz="4" w:space="0" w:color="auto"/>
              <w:bottom w:val="single" w:sz="4" w:space="0" w:color="auto"/>
              <w:right w:val="single" w:sz="4" w:space="0" w:color="auto"/>
            </w:tcBorders>
          </w:tcPr>
          <w:p w14:paraId="1A301183" w14:textId="77777777" w:rsidR="00C22936" w:rsidRDefault="00C22936" w:rsidP="005F43FA">
            <w:pPr>
              <w:jc w:val="both"/>
              <w:rPr>
                <w:rFonts w:cs="Times New Roman"/>
                <w:szCs w:val="24"/>
              </w:rPr>
            </w:pPr>
            <w:r>
              <w:rPr>
                <w:rFonts w:cs="Times New Roman"/>
                <w:b/>
                <w:szCs w:val="24"/>
              </w:rPr>
              <w:t>Neatsižvelgta</w:t>
            </w:r>
            <w:r w:rsidRPr="00C22936">
              <w:rPr>
                <w:rFonts w:cs="Times New Roman"/>
                <w:szCs w:val="24"/>
              </w:rPr>
              <w:t>.</w:t>
            </w:r>
          </w:p>
          <w:p w14:paraId="50D75953" w14:textId="113FB98C" w:rsidR="00C22936" w:rsidRPr="00A21B48" w:rsidRDefault="00C22936" w:rsidP="005422CD">
            <w:pPr>
              <w:jc w:val="both"/>
              <w:rPr>
                <w:rFonts w:cs="Times New Roman"/>
                <w:szCs w:val="24"/>
              </w:rPr>
            </w:pPr>
            <w:r w:rsidRPr="00A21B48">
              <w:rPr>
                <w:rFonts w:cs="Times New Roman"/>
                <w:szCs w:val="24"/>
              </w:rPr>
              <w:t xml:space="preserve">Pirma, teikiama pastaba nėra susijusi su pagrindiniu Įstatymų projektų tikslu – papildyti sunkaus sveikatos sutrikdymo sudėtį alternatyviu požymiu „labai ilgo sirgo“. Antra, pati Vyriausybė dar </w:t>
            </w:r>
            <w:r w:rsidRPr="00A21B48">
              <w:rPr>
                <w:rFonts w:cs="Times New Roman"/>
                <w:szCs w:val="24"/>
              </w:rPr>
              <w:t xml:space="preserve">2002 m. įgaliojo SAM kartu su TM ir SADM parengti Taisykles ir iki pat šiol nekilo klausimų dėl </w:t>
            </w:r>
            <w:r w:rsidR="005422CD">
              <w:rPr>
                <w:rFonts w:cs="Times New Roman"/>
                <w:szCs w:val="24"/>
              </w:rPr>
              <w:t xml:space="preserve">neigiamo poveikio asmenų teisėms </w:t>
            </w:r>
            <w:r w:rsidRPr="00A21B48">
              <w:rPr>
                <w:rFonts w:cs="Times New Roman"/>
                <w:szCs w:val="24"/>
              </w:rPr>
              <w:t xml:space="preserve">vien todėl, kad Taisyklės tvirtinamos </w:t>
            </w:r>
            <w:r w:rsidR="005422CD">
              <w:rPr>
                <w:rFonts w:cs="Times New Roman"/>
                <w:szCs w:val="24"/>
              </w:rPr>
              <w:t xml:space="preserve">ministrų </w:t>
            </w:r>
            <w:r w:rsidRPr="00A21B48">
              <w:rPr>
                <w:rFonts w:cs="Times New Roman"/>
                <w:szCs w:val="24"/>
              </w:rPr>
              <w:t>įsakym</w:t>
            </w:r>
            <w:r w:rsidRPr="00A21B48">
              <w:rPr>
                <w:rFonts w:cs="Times New Roman"/>
                <w:szCs w:val="24"/>
              </w:rPr>
              <w:t>u, o ne Vyriausybės</w:t>
            </w:r>
            <w:r w:rsidRPr="00A21B48">
              <w:rPr>
                <w:rFonts w:cs="Times New Roman"/>
                <w:szCs w:val="24"/>
              </w:rPr>
              <w:t xml:space="preserve"> nutarimu.</w:t>
            </w:r>
            <w:r w:rsidR="00A21B48" w:rsidRPr="00A21B48">
              <w:rPr>
                <w:rFonts w:cs="Times New Roman"/>
                <w:szCs w:val="24"/>
              </w:rPr>
              <w:t xml:space="preserve"> </w:t>
            </w:r>
            <w:r w:rsidR="005422CD">
              <w:rPr>
                <w:rFonts w:cs="Times New Roman"/>
                <w:szCs w:val="24"/>
              </w:rPr>
              <w:t>Trečia, visus sprendimus dėl detalaus įvairių</w:t>
            </w:r>
            <w:r w:rsidR="00A21B48" w:rsidRPr="00A21B48">
              <w:rPr>
                <w:rFonts w:cs="Times New Roman"/>
                <w:szCs w:val="24"/>
              </w:rPr>
              <w:t xml:space="preserve"> ligų požymių</w:t>
            </w:r>
            <w:r w:rsidR="005422CD">
              <w:rPr>
                <w:rFonts w:cs="Times New Roman"/>
                <w:szCs w:val="24"/>
              </w:rPr>
              <w:t xml:space="preserve"> vardinimo</w:t>
            </w:r>
            <w:r w:rsidR="00A21B48" w:rsidRPr="00A21B48">
              <w:rPr>
                <w:rFonts w:cs="Times New Roman"/>
                <w:szCs w:val="24"/>
              </w:rPr>
              <w:t xml:space="preserve">, darbingumo netekimo procentų </w:t>
            </w:r>
            <w:r w:rsidR="005422CD">
              <w:rPr>
                <w:rFonts w:cs="Times New Roman"/>
                <w:szCs w:val="24"/>
              </w:rPr>
              <w:t xml:space="preserve">gradavimo </w:t>
            </w:r>
            <w:r w:rsidR="00A21B48" w:rsidRPr="00A21B48">
              <w:rPr>
                <w:rFonts w:cs="Times New Roman"/>
                <w:szCs w:val="24"/>
              </w:rPr>
              <w:t xml:space="preserve">ir pan. priima gydytojai profesionalai, savo sričių ekspertai, todėl nėra </w:t>
            </w:r>
            <w:r w:rsidR="005422CD">
              <w:rPr>
                <w:rFonts w:cs="Times New Roman"/>
                <w:szCs w:val="24"/>
              </w:rPr>
              <w:t>jokio pagrindo teigti, jog tai gali turėti neigiamą poveikį asmenų teisėms</w:t>
            </w:r>
            <w:r w:rsidR="00A21B48" w:rsidRPr="00A21B48">
              <w:rPr>
                <w:rFonts w:cs="Times New Roman"/>
                <w:szCs w:val="24"/>
              </w:rPr>
              <w:t xml:space="preserve">. </w:t>
            </w:r>
            <w:r w:rsidR="005422CD">
              <w:rPr>
                <w:rFonts w:cs="Times New Roman"/>
                <w:szCs w:val="24"/>
              </w:rPr>
              <w:t>Ketvirta</w:t>
            </w:r>
            <w:r w:rsidR="00A21B48" w:rsidRPr="00A21B48">
              <w:rPr>
                <w:rFonts w:cs="Times New Roman"/>
                <w:szCs w:val="24"/>
              </w:rPr>
              <w:t>, T</w:t>
            </w:r>
            <w:r w:rsidRPr="00A21B48">
              <w:rPr>
                <w:rFonts w:cs="Times New Roman"/>
                <w:szCs w:val="24"/>
              </w:rPr>
              <w:t xml:space="preserve">aisyklės yra labai detalus, techninis, medicininio-ekspertinio pobūdžio teisės aktas, kuriame vardijami, pvz., darbingumo netekimo procentai esant įvairiems kaulų lūžiams, pateikiamos sąnarių </w:t>
            </w:r>
            <w:proofErr w:type="spellStart"/>
            <w:r w:rsidRPr="00A21B48">
              <w:rPr>
                <w:rFonts w:cs="Times New Roman"/>
                <w:szCs w:val="24"/>
              </w:rPr>
              <w:t>nejudrumo</w:t>
            </w:r>
            <w:proofErr w:type="spellEnd"/>
            <w:r w:rsidRPr="00A21B48">
              <w:rPr>
                <w:rFonts w:cs="Times New Roman"/>
                <w:szCs w:val="24"/>
              </w:rPr>
              <w:t xml:space="preserve"> išraiškos laipsniais ir pan. Tokioms nuostatoms reguliuoti pilnai pakanka įsakymo. </w:t>
            </w:r>
            <w:r w:rsidR="005422CD">
              <w:rPr>
                <w:rFonts w:cs="Times New Roman"/>
                <w:szCs w:val="24"/>
              </w:rPr>
              <w:t>Penkt</w:t>
            </w:r>
            <w:r w:rsidR="00A21B48" w:rsidRPr="00A21B48">
              <w:rPr>
                <w:rFonts w:cs="Times New Roman"/>
                <w:szCs w:val="24"/>
              </w:rPr>
              <w:t xml:space="preserve">a, </w:t>
            </w:r>
            <w:r w:rsidRPr="00A21B48">
              <w:rPr>
                <w:rFonts w:cs="Times New Roman"/>
                <w:szCs w:val="24"/>
              </w:rPr>
              <w:t>šiuo metu Taisyklės nėra revizu</w:t>
            </w:r>
            <w:bookmarkStart w:id="0" w:name="_GoBack"/>
            <w:bookmarkEnd w:id="0"/>
            <w:r w:rsidRPr="00A21B48">
              <w:rPr>
                <w:rFonts w:cs="Times New Roman"/>
                <w:szCs w:val="24"/>
              </w:rPr>
              <w:t xml:space="preserve">ojamos iš esmės (t. y. nedėstomos nauja redakcija), keičiami tik pavieniai punktai, susiję su </w:t>
            </w:r>
            <w:r w:rsidR="00A21B48" w:rsidRPr="00A21B48">
              <w:rPr>
                <w:rFonts w:cs="Times New Roman"/>
                <w:szCs w:val="24"/>
              </w:rPr>
              <w:t xml:space="preserve">konkrečiais </w:t>
            </w:r>
            <w:r w:rsidRPr="00A21B48">
              <w:rPr>
                <w:rFonts w:cs="Times New Roman"/>
                <w:szCs w:val="24"/>
              </w:rPr>
              <w:t xml:space="preserve">BK pakeitimais, todėl </w:t>
            </w:r>
            <w:r w:rsidR="00A21B48" w:rsidRPr="00A21B48">
              <w:rPr>
                <w:rFonts w:cs="Times New Roman"/>
                <w:szCs w:val="24"/>
              </w:rPr>
              <w:t xml:space="preserve">šiuo metu </w:t>
            </w:r>
            <w:r w:rsidRPr="00A21B48">
              <w:rPr>
                <w:rFonts w:cs="Times New Roman"/>
                <w:szCs w:val="24"/>
              </w:rPr>
              <w:t>nėra tikslinga keisti jų tvirtinimo formą.</w:t>
            </w:r>
          </w:p>
        </w:tc>
      </w:tr>
    </w:tbl>
    <w:p w14:paraId="4772808B" w14:textId="411C9FBD" w:rsidR="00415F87" w:rsidRPr="005F43FA" w:rsidRDefault="00415F87" w:rsidP="00CF2553">
      <w:pPr>
        <w:spacing w:line="240" w:lineRule="auto"/>
        <w:rPr>
          <w:rFonts w:cs="Times New Roman"/>
          <w:szCs w:val="24"/>
        </w:rPr>
      </w:pPr>
    </w:p>
    <w:sectPr w:rsidR="00415F87" w:rsidRPr="005F43FA" w:rsidSect="00B34F32">
      <w:headerReference w:type="default" r:id="rId8"/>
      <w:pgSz w:w="16838" w:h="11906" w:orient="landscape"/>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06B094" w14:textId="77777777" w:rsidR="00964788" w:rsidRDefault="00964788" w:rsidP="001A74E1">
      <w:pPr>
        <w:spacing w:after="0" w:line="240" w:lineRule="auto"/>
      </w:pPr>
      <w:r>
        <w:separator/>
      </w:r>
    </w:p>
  </w:endnote>
  <w:endnote w:type="continuationSeparator" w:id="0">
    <w:p w14:paraId="6969486B" w14:textId="77777777" w:rsidR="00964788" w:rsidRDefault="00964788" w:rsidP="001A74E1">
      <w:pPr>
        <w:spacing w:after="0" w:line="240" w:lineRule="auto"/>
      </w:pPr>
      <w:r>
        <w:continuationSeparator/>
      </w:r>
    </w:p>
  </w:endnote>
  <w:endnote w:type="continuationNotice" w:id="1">
    <w:p w14:paraId="7808CB7D" w14:textId="77777777" w:rsidR="00964788" w:rsidRDefault="009647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211EF" w14:textId="77777777" w:rsidR="00964788" w:rsidRDefault="00964788" w:rsidP="001A74E1">
      <w:pPr>
        <w:spacing w:after="0" w:line="240" w:lineRule="auto"/>
      </w:pPr>
      <w:r>
        <w:separator/>
      </w:r>
    </w:p>
  </w:footnote>
  <w:footnote w:type="continuationSeparator" w:id="0">
    <w:p w14:paraId="2339CB34" w14:textId="77777777" w:rsidR="00964788" w:rsidRDefault="00964788" w:rsidP="001A74E1">
      <w:pPr>
        <w:spacing w:after="0" w:line="240" w:lineRule="auto"/>
      </w:pPr>
      <w:r>
        <w:continuationSeparator/>
      </w:r>
    </w:p>
  </w:footnote>
  <w:footnote w:type="continuationNotice" w:id="1">
    <w:p w14:paraId="4665DAF7" w14:textId="77777777" w:rsidR="00964788" w:rsidRDefault="0096478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0502967"/>
      <w:docPartObj>
        <w:docPartGallery w:val="Page Numbers (Top of Page)"/>
        <w:docPartUnique/>
      </w:docPartObj>
    </w:sdtPr>
    <w:sdtEndPr/>
    <w:sdtContent>
      <w:p w14:paraId="2FF43E3E" w14:textId="77777777" w:rsidR="00991676" w:rsidRDefault="00991676">
        <w:pPr>
          <w:pStyle w:val="Antrats"/>
          <w:jc w:val="center"/>
        </w:pPr>
        <w:r>
          <w:fldChar w:fldCharType="begin"/>
        </w:r>
        <w:r>
          <w:instrText>PAGE   \* MERGEFORMAT</w:instrText>
        </w:r>
        <w:r>
          <w:fldChar w:fldCharType="separate"/>
        </w:r>
        <w:r w:rsidR="005422CD">
          <w:rPr>
            <w:noProof/>
          </w:rPr>
          <w:t>3</w:t>
        </w:r>
        <w:r>
          <w:fldChar w:fldCharType="end"/>
        </w:r>
      </w:p>
    </w:sdtContent>
  </w:sdt>
  <w:p w14:paraId="480493F5" w14:textId="77777777" w:rsidR="00991676" w:rsidRDefault="0099167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D38"/>
    <w:multiLevelType w:val="hybridMultilevel"/>
    <w:tmpl w:val="F5CC25B0"/>
    <w:lvl w:ilvl="0" w:tplc="BD68C338">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6B76A0"/>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F06B53"/>
    <w:multiLevelType w:val="hybridMultilevel"/>
    <w:tmpl w:val="C7245F5E"/>
    <w:lvl w:ilvl="0" w:tplc="AD2AA808">
      <w:start w:val="9"/>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5371091"/>
    <w:multiLevelType w:val="hybridMultilevel"/>
    <w:tmpl w:val="5C5C91F4"/>
    <w:lvl w:ilvl="0" w:tplc="AE8A6680">
      <w:start w:val="1"/>
      <w:numFmt w:val="decimal"/>
      <w:lvlText w:val="%1."/>
      <w:lvlJc w:val="left"/>
      <w:pPr>
        <w:ind w:left="1800" w:hanging="360"/>
      </w:pPr>
      <w:rPr>
        <w:rFonts w:ascii="Times New Roman" w:eastAsia="Times New Roman" w:hAnsi="Times New Roman" w:cs="Times New Roman"/>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4" w15:restartNumberingAfterBreak="0">
    <w:nsid w:val="21CA780E"/>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DE620C"/>
    <w:multiLevelType w:val="hybridMultilevel"/>
    <w:tmpl w:val="A7AE542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2D0D7D05"/>
    <w:multiLevelType w:val="hybridMultilevel"/>
    <w:tmpl w:val="4D820992"/>
    <w:lvl w:ilvl="0" w:tplc="B6F459A4">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7" w15:restartNumberingAfterBreak="0">
    <w:nsid w:val="367D0D51"/>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A215FD"/>
    <w:multiLevelType w:val="multilevel"/>
    <w:tmpl w:val="A07C5880"/>
    <w:lvl w:ilvl="0">
      <w:start w:val="1"/>
      <w:numFmt w:val="decimal"/>
      <w:lvlText w:val="%1."/>
      <w:lvlJc w:val="left"/>
      <w:pPr>
        <w:ind w:left="720" w:hanging="360"/>
      </w:pPr>
      <w:rPr>
        <w:rFonts w:ascii="Times New Roman" w:hAnsi="Times New Roman"/>
        <w:sz w:val="24"/>
        <w:szCs w:val="24"/>
      </w:rPr>
    </w:lvl>
    <w:lvl w:ilvl="1">
      <w:start w:val="1"/>
      <w:numFmt w:val="decimal"/>
      <w:lvlText w:val="%2."/>
      <w:lvlJc w:val="left"/>
      <w:pPr>
        <w:ind w:left="1080" w:hanging="360"/>
      </w:pPr>
      <w:rPr>
        <w:rFonts w:ascii="Times New Roman" w:hAnsi="Times New Roman"/>
        <w:sz w:val="24"/>
        <w:szCs w:val="24"/>
      </w:rPr>
    </w:lvl>
    <w:lvl w:ilvl="2">
      <w:start w:val="1"/>
      <w:numFmt w:val="decimal"/>
      <w:lvlText w:val="%3."/>
      <w:lvlJc w:val="left"/>
      <w:pPr>
        <w:ind w:left="1440" w:hanging="360"/>
      </w:pPr>
      <w:rPr>
        <w:rFonts w:ascii="Times New Roman" w:hAnsi="Times New Roman"/>
        <w:sz w:val="24"/>
        <w:szCs w:val="24"/>
      </w:rPr>
    </w:lvl>
    <w:lvl w:ilvl="3">
      <w:start w:val="1"/>
      <w:numFmt w:val="decimal"/>
      <w:lvlText w:val="%4."/>
      <w:lvlJc w:val="left"/>
      <w:pPr>
        <w:ind w:left="1800" w:hanging="360"/>
      </w:pPr>
      <w:rPr>
        <w:rFonts w:ascii="Times New Roman" w:hAnsi="Times New Roman"/>
        <w:sz w:val="24"/>
        <w:szCs w:val="24"/>
      </w:rPr>
    </w:lvl>
    <w:lvl w:ilvl="4">
      <w:start w:val="1"/>
      <w:numFmt w:val="decimal"/>
      <w:lvlText w:val="%5."/>
      <w:lvlJc w:val="left"/>
      <w:pPr>
        <w:ind w:left="2160" w:hanging="360"/>
      </w:pPr>
      <w:rPr>
        <w:rFonts w:ascii="Times New Roman" w:hAnsi="Times New Roman"/>
        <w:sz w:val="24"/>
        <w:szCs w:val="24"/>
      </w:rPr>
    </w:lvl>
    <w:lvl w:ilvl="5">
      <w:start w:val="1"/>
      <w:numFmt w:val="decimal"/>
      <w:lvlText w:val="%6."/>
      <w:lvlJc w:val="left"/>
      <w:pPr>
        <w:ind w:left="2520" w:hanging="360"/>
      </w:pPr>
      <w:rPr>
        <w:rFonts w:ascii="Times New Roman" w:hAnsi="Times New Roman"/>
        <w:sz w:val="24"/>
        <w:szCs w:val="24"/>
      </w:rPr>
    </w:lvl>
    <w:lvl w:ilvl="6">
      <w:start w:val="1"/>
      <w:numFmt w:val="decimal"/>
      <w:lvlText w:val="%7."/>
      <w:lvlJc w:val="left"/>
      <w:pPr>
        <w:ind w:left="2880" w:hanging="360"/>
      </w:pPr>
      <w:rPr>
        <w:rFonts w:ascii="Times New Roman" w:hAnsi="Times New Roman"/>
        <w:sz w:val="24"/>
        <w:szCs w:val="24"/>
      </w:rPr>
    </w:lvl>
    <w:lvl w:ilvl="7">
      <w:start w:val="1"/>
      <w:numFmt w:val="decimal"/>
      <w:lvlText w:val="%8."/>
      <w:lvlJc w:val="left"/>
      <w:pPr>
        <w:ind w:left="3240" w:hanging="360"/>
      </w:pPr>
      <w:rPr>
        <w:rFonts w:ascii="Times New Roman" w:hAnsi="Times New Roman"/>
        <w:sz w:val="24"/>
        <w:szCs w:val="24"/>
      </w:rPr>
    </w:lvl>
    <w:lvl w:ilvl="8">
      <w:start w:val="1"/>
      <w:numFmt w:val="decimal"/>
      <w:lvlText w:val="%9."/>
      <w:lvlJc w:val="left"/>
      <w:pPr>
        <w:ind w:left="3600" w:hanging="360"/>
      </w:pPr>
      <w:rPr>
        <w:rFonts w:ascii="Times New Roman" w:hAnsi="Times New Roman"/>
        <w:sz w:val="24"/>
        <w:szCs w:val="24"/>
      </w:rPr>
    </w:lvl>
  </w:abstractNum>
  <w:abstractNum w:abstractNumId="9" w15:restartNumberingAfterBreak="0">
    <w:nsid w:val="3EC71F77"/>
    <w:multiLevelType w:val="hybridMultilevel"/>
    <w:tmpl w:val="1DE2D8C6"/>
    <w:lvl w:ilvl="0" w:tplc="0FC8F1C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AC23B63"/>
    <w:multiLevelType w:val="hybridMultilevel"/>
    <w:tmpl w:val="87FE9B08"/>
    <w:lvl w:ilvl="0" w:tplc="19F656AC">
      <w:start w:val="1"/>
      <w:numFmt w:val="decimal"/>
      <w:lvlText w:val="%1."/>
      <w:lvlJc w:val="left"/>
      <w:pPr>
        <w:ind w:left="412" w:hanging="360"/>
      </w:pPr>
      <w:rPr>
        <w:rFonts w:hint="default"/>
      </w:rPr>
    </w:lvl>
    <w:lvl w:ilvl="1" w:tplc="04270019" w:tentative="1">
      <w:start w:val="1"/>
      <w:numFmt w:val="lowerLetter"/>
      <w:lvlText w:val="%2."/>
      <w:lvlJc w:val="left"/>
      <w:pPr>
        <w:ind w:left="1132" w:hanging="360"/>
      </w:pPr>
    </w:lvl>
    <w:lvl w:ilvl="2" w:tplc="0427001B" w:tentative="1">
      <w:start w:val="1"/>
      <w:numFmt w:val="lowerRoman"/>
      <w:lvlText w:val="%3."/>
      <w:lvlJc w:val="right"/>
      <w:pPr>
        <w:ind w:left="1852" w:hanging="180"/>
      </w:pPr>
    </w:lvl>
    <w:lvl w:ilvl="3" w:tplc="0427000F" w:tentative="1">
      <w:start w:val="1"/>
      <w:numFmt w:val="decimal"/>
      <w:lvlText w:val="%4."/>
      <w:lvlJc w:val="left"/>
      <w:pPr>
        <w:ind w:left="2572" w:hanging="360"/>
      </w:pPr>
    </w:lvl>
    <w:lvl w:ilvl="4" w:tplc="04270019" w:tentative="1">
      <w:start w:val="1"/>
      <w:numFmt w:val="lowerLetter"/>
      <w:lvlText w:val="%5."/>
      <w:lvlJc w:val="left"/>
      <w:pPr>
        <w:ind w:left="3292" w:hanging="360"/>
      </w:pPr>
    </w:lvl>
    <w:lvl w:ilvl="5" w:tplc="0427001B" w:tentative="1">
      <w:start w:val="1"/>
      <w:numFmt w:val="lowerRoman"/>
      <w:lvlText w:val="%6."/>
      <w:lvlJc w:val="right"/>
      <w:pPr>
        <w:ind w:left="4012" w:hanging="180"/>
      </w:pPr>
    </w:lvl>
    <w:lvl w:ilvl="6" w:tplc="0427000F" w:tentative="1">
      <w:start w:val="1"/>
      <w:numFmt w:val="decimal"/>
      <w:lvlText w:val="%7."/>
      <w:lvlJc w:val="left"/>
      <w:pPr>
        <w:ind w:left="4732" w:hanging="360"/>
      </w:pPr>
    </w:lvl>
    <w:lvl w:ilvl="7" w:tplc="04270019" w:tentative="1">
      <w:start w:val="1"/>
      <w:numFmt w:val="lowerLetter"/>
      <w:lvlText w:val="%8."/>
      <w:lvlJc w:val="left"/>
      <w:pPr>
        <w:ind w:left="5452" w:hanging="360"/>
      </w:pPr>
    </w:lvl>
    <w:lvl w:ilvl="8" w:tplc="0427001B" w:tentative="1">
      <w:start w:val="1"/>
      <w:numFmt w:val="lowerRoman"/>
      <w:lvlText w:val="%9."/>
      <w:lvlJc w:val="right"/>
      <w:pPr>
        <w:ind w:left="6172" w:hanging="180"/>
      </w:pPr>
    </w:lvl>
  </w:abstractNum>
  <w:abstractNum w:abstractNumId="11" w15:restartNumberingAfterBreak="0">
    <w:nsid w:val="4D3A7C59"/>
    <w:multiLevelType w:val="hybridMultilevel"/>
    <w:tmpl w:val="D04C6C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2B5884"/>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1357DAF"/>
    <w:multiLevelType w:val="hybridMultilevel"/>
    <w:tmpl w:val="6F5A45B8"/>
    <w:lvl w:ilvl="0" w:tplc="20CEF250">
      <w:start w:val="1"/>
      <w:numFmt w:val="decimal"/>
      <w:lvlText w:val="%1."/>
      <w:lvlJc w:val="left"/>
      <w:pPr>
        <w:ind w:left="927"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C3063E"/>
    <w:multiLevelType w:val="hybridMultilevel"/>
    <w:tmpl w:val="EDC2EA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F77A2A"/>
    <w:multiLevelType w:val="hybridMultilevel"/>
    <w:tmpl w:val="6F5A45B8"/>
    <w:lvl w:ilvl="0" w:tplc="20CEF250">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12"/>
  </w:num>
  <w:num w:numId="3">
    <w:abstractNumId w:val="14"/>
  </w:num>
  <w:num w:numId="4">
    <w:abstractNumId w:val="2"/>
  </w:num>
  <w:num w:numId="5">
    <w:abstractNumId w:val="8"/>
  </w:num>
  <w:num w:numId="6">
    <w:abstractNumId w:val="15"/>
  </w:num>
  <w:num w:numId="7">
    <w:abstractNumId w:val="7"/>
  </w:num>
  <w:num w:numId="8">
    <w:abstractNumId w:val="1"/>
  </w:num>
  <w:num w:numId="9">
    <w:abstractNumId w:val="11"/>
  </w:num>
  <w:num w:numId="10">
    <w:abstractNumId w:val="4"/>
  </w:num>
  <w:num w:numId="11">
    <w:abstractNumId w:val="3"/>
  </w:num>
  <w:num w:numId="12">
    <w:abstractNumId w:val="9"/>
  </w:num>
  <w:num w:numId="13">
    <w:abstractNumId w:val="10"/>
  </w:num>
  <w:num w:numId="14">
    <w:abstractNumId w:val="6"/>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A80"/>
    <w:rsid w:val="00006D83"/>
    <w:rsid w:val="000105C5"/>
    <w:rsid w:val="00011F89"/>
    <w:rsid w:val="0001325B"/>
    <w:rsid w:val="00017BA5"/>
    <w:rsid w:val="00023C51"/>
    <w:rsid w:val="00027F2B"/>
    <w:rsid w:val="00030121"/>
    <w:rsid w:val="00032FAB"/>
    <w:rsid w:val="00032FF1"/>
    <w:rsid w:val="0004761D"/>
    <w:rsid w:val="00051B37"/>
    <w:rsid w:val="00051D09"/>
    <w:rsid w:val="00052516"/>
    <w:rsid w:val="00057760"/>
    <w:rsid w:val="000668CD"/>
    <w:rsid w:val="000722D5"/>
    <w:rsid w:val="00073E80"/>
    <w:rsid w:val="0007787E"/>
    <w:rsid w:val="00090973"/>
    <w:rsid w:val="00093DD7"/>
    <w:rsid w:val="000958A7"/>
    <w:rsid w:val="000A11A2"/>
    <w:rsid w:val="000A2BD4"/>
    <w:rsid w:val="000A36D8"/>
    <w:rsid w:val="000A43FB"/>
    <w:rsid w:val="000B028B"/>
    <w:rsid w:val="000B0371"/>
    <w:rsid w:val="000B22FE"/>
    <w:rsid w:val="000B2845"/>
    <w:rsid w:val="000B363E"/>
    <w:rsid w:val="000B3662"/>
    <w:rsid w:val="000B77AB"/>
    <w:rsid w:val="000B7CCA"/>
    <w:rsid w:val="000D0F2E"/>
    <w:rsid w:val="000E0A46"/>
    <w:rsid w:val="000E210B"/>
    <w:rsid w:val="000E2BB0"/>
    <w:rsid w:val="000E4DC0"/>
    <w:rsid w:val="000E72BC"/>
    <w:rsid w:val="000F0F3C"/>
    <w:rsid w:val="000F75D9"/>
    <w:rsid w:val="00110461"/>
    <w:rsid w:val="00113D18"/>
    <w:rsid w:val="001215A5"/>
    <w:rsid w:val="00126745"/>
    <w:rsid w:val="0012778F"/>
    <w:rsid w:val="0013472B"/>
    <w:rsid w:val="001371A4"/>
    <w:rsid w:val="001427A4"/>
    <w:rsid w:val="00142C80"/>
    <w:rsid w:val="0014586D"/>
    <w:rsid w:val="00147839"/>
    <w:rsid w:val="001554FD"/>
    <w:rsid w:val="00157879"/>
    <w:rsid w:val="001638BA"/>
    <w:rsid w:val="00167151"/>
    <w:rsid w:val="00167C61"/>
    <w:rsid w:val="0017041C"/>
    <w:rsid w:val="00171058"/>
    <w:rsid w:val="00173333"/>
    <w:rsid w:val="001740BA"/>
    <w:rsid w:val="00183DD9"/>
    <w:rsid w:val="00183FB2"/>
    <w:rsid w:val="00184AAE"/>
    <w:rsid w:val="00185664"/>
    <w:rsid w:val="00193676"/>
    <w:rsid w:val="00194266"/>
    <w:rsid w:val="00195D57"/>
    <w:rsid w:val="001A353B"/>
    <w:rsid w:val="001A4D70"/>
    <w:rsid w:val="001A617C"/>
    <w:rsid w:val="001A6C8B"/>
    <w:rsid w:val="001A74E1"/>
    <w:rsid w:val="001D2DD0"/>
    <w:rsid w:val="001D35C4"/>
    <w:rsid w:val="001D4560"/>
    <w:rsid w:val="001D6C11"/>
    <w:rsid w:val="001E14C1"/>
    <w:rsid w:val="001E1DAC"/>
    <w:rsid w:val="001E2FB6"/>
    <w:rsid w:val="001E5AEB"/>
    <w:rsid w:val="001E7F07"/>
    <w:rsid w:val="001F0BA8"/>
    <w:rsid w:val="001F6612"/>
    <w:rsid w:val="001F6E6F"/>
    <w:rsid w:val="001F71A0"/>
    <w:rsid w:val="001F778B"/>
    <w:rsid w:val="00200687"/>
    <w:rsid w:val="0020288F"/>
    <w:rsid w:val="00205F8A"/>
    <w:rsid w:val="002119D5"/>
    <w:rsid w:val="00214BFC"/>
    <w:rsid w:val="0022091E"/>
    <w:rsid w:val="0022363D"/>
    <w:rsid w:val="00224081"/>
    <w:rsid w:val="00225B5E"/>
    <w:rsid w:val="0022668A"/>
    <w:rsid w:val="00236FB0"/>
    <w:rsid w:val="00246288"/>
    <w:rsid w:val="00254B49"/>
    <w:rsid w:val="002624B7"/>
    <w:rsid w:val="002631FF"/>
    <w:rsid w:val="00263D59"/>
    <w:rsid w:val="00265E39"/>
    <w:rsid w:val="00277CC6"/>
    <w:rsid w:val="00281153"/>
    <w:rsid w:val="0028210F"/>
    <w:rsid w:val="00283AAE"/>
    <w:rsid w:val="00284ACC"/>
    <w:rsid w:val="00285928"/>
    <w:rsid w:val="002919A4"/>
    <w:rsid w:val="0029303A"/>
    <w:rsid w:val="00293EBB"/>
    <w:rsid w:val="00296A94"/>
    <w:rsid w:val="0029778E"/>
    <w:rsid w:val="002A29E9"/>
    <w:rsid w:val="002A2B6C"/>
    <w:rsid w:val="002B0257"/>
    <w:rsid w:val="002B2907"/>
    <w:rsid w:val="002C0530"/>
    <w:rsid w:val="002C207F"/>
    <w:rsid w:val="002C6F16"/>
    <w:rsid w:val="002D0FCC"/>
    <w:rsid w:val="002D4903"/>
    <w:rsid w:val="002D73F5"/>
    <w:rsid w:val="002E25C3"/>
    <w:rsid w:val="002F17B1"/>
    <w:rsid w:val="002F2214"/>
    <w:rsid w:val="002F3DC2"/>
    <w:rsid w:val="002F7932"/>
    <w:rsid w:val="002F7F81"/>
    <w:rsid w:val="003039D3"/>
    <w:rsid w:val="00305EBB"/>
    <w:rsid w:val="00305ECB"/>
    <w:rsid w:val="00315E70"/>
    <w:rsid w:val="00321ED9"/>
    <w:rsid w:val="00323D6E"/>
    <w:rsid w:val="003361D6"/>
    <w:rsid w:val="00342A94"/>
    <w:rsid w:val="00343D2A"/>
    <w:rsid w:val="003462FF"/>
    <w:rsid w:val="00347E98"/>
    <w:rsid w:val="003502CE"/>
    <w:rsid w:val="0035188F"/>
    <w:rsid w:val="0035250D"/>
    <w:rsid w:val="0036253A"/>
    <w:rsid w:val="003702A9"/>
    <w:rsid w:val="00372EF5"/>
    <w:rsid w:val="003762B4"/>
    <w:rsid w:val="003771A4"/>
    <w:rsid w:val="0038082F"/>
    <w:rsid w:val="00386C65"/>
    <w:rsid w:val="0038771C"/>
    <w:rsid w:val="0039198C"/>
    <w:rsid w:val="00394D75"/>
    <w:rsid w:val="003A07C7"/>
    <w:rsid w:val="003A1D62"/>
    <w:rsid w:val="003A5259"/>
    <w:rsid w:val="003B0F36"/>
    <w:rsid w:val="003B510B"/>
    <w:rsid w:val="003B579F"/>
    <w:rsid w:val="003C014A"/>
    <w:rsid w:val="003C3524"/>
    <w:rsid w:val="003C744D"/>
    <w:rsid w:val="003D228D"/>
    <w:rsid w:val="003E0AE9"/>
    <w:rsid w:val="003E297F"/>
    <w:rsid w:val="003F1A58"/>
    <w:rsid w:val="003F5015"/>
    <w:rsid w:val="003F5C06"/>
    <w:rsid w:val="003F5DD9"/>
    <w:rsid w:val="003F6EBC"/>
    <w:rsid w:val="00415F87"/>
    <w:rsid w:val="004223AE"/>
    <w:rsid w:val="00424471"/>
    <w:rsid w:val="004245E2"/>
    <w:rsid w:val="004315DD"/>
    <w:rsid w:val="00432375"/>
    <w:rsid w:val="004418C5"/>
    <w:rsid w:val="0044766B"/>
    <w:rsid w:val="00450C04"/>
    <w:rsid w:val="004514C5"/>
    <w:rsid w:val="004569A7"/>
    <w:rsid w:val="00465171"/>
    <w:rsid w:val="00465845"/>
    <w:rsid w:val="004678DD"/>
    <w:rsid w:val="00467DB0"/>
    <w:rsid w:val="00472335"/>
    <w:rsid w:val="00475450"/>
    <w:rsid w:val="00475C34"/>
    <w:rsid w:val="004830CE"/>
    <w:rsid w:val="0048369F"/>
    <w:rsid w:val="004848A2"/>
    <w:rsid w:val="0048580D"/>
    <w:rsid w:val="00485D4A"/>
    <w:rsid w:val="00487CAE"/>
    <w:rsid w:val="004A21A2"/>
    <w:rsid w:val="004A2827"/>
    <w:rsid w:val="004B1773"/>
    <w:rsid w:val="004B4169"/>
    <w:rsid w:val="004B6F82"/>
    <w:rsid w:val="004C0AAF"/>
    <w:rsid w:val="004C15D1"/>
    <w:rsid w:val="004C20A2"/>
    <w:rsid w:val="004E04BF"/>
    <w:rsid w:val="004E4314"/>
    <w:rsid w:val="004E7E18"/>
    <w:rsid w:val="00500D1F"/>
    <w:rsid w:val="00502D19"/>
    <w:rsid w:val="00502EF6"/>
    <w:rsid w:val="00503E7F"/>
    <w:rsid w:val="0050418F"/>
    <w:rsid w:val="005046A5"/>
    <w:rsid w:val="005066C9"/>
    <w:rsid w:val="005144AA"/>
    <w:rsid w:val="005209CC"/>
    <w:rsid w:val="00526545"/>
    <w:rsid w:val="00527807"/>
    <w:rsid w:val="005341DB"/>
    <w:rsid w:val="00534CB6"/>
    <w:rsid w:val="005403AC"/>
    <w:rsid w:val="005409AE"/>
    <w:rsid w:val="00540D33"/>
    <w:rsid w:val="00540F3C"/>
    <w:rsid w:val="005422CD"/>
    <w:rsid w:val="00544C0C"/>
    <w:rsid w:val="00545038"/>
    <w:rsid w:val="00546C48"/>
    <w:rsid w:val="00554089"/>
    <w:rsid w:val="00557F5F"/>
    <w:rsid w:val="00564B20"/>
    <w:rsid w:val="00565A80"/>
    <w:rsid w:val="005727C3"/>
    <w:rsid w:val="00580044"/>
    <w:rsid w:val="005817D1"/>
    <w:rsid w:val="005864BA"/>
    <w:rsid w:val="0058714C"/>
    <w:rsid w:val="00594633"/>
    <w:rsid w:val="00596F76"/>
    <w:rsid w:val="005978F9"/>
    <w:rsid w:val="005A0133"/>
    <w:rsid w:val="005A0F4F"/>
    <w:rsid w:val="005A157A"/>
    <w:rsid w:val="005A16AF"/>
    <w:rsid w:val="005A18F8"/>
    <w:rsid w:val="005A3B54"/>
    <w:rsid w:val="005A3F6F"/>
    <w:rsid w:val="005B28C2"/>
    <w:rsid w:val="005B2D1A"/>
    <w:rsid w:val="005B5D51"/>
    <w:rsid w:val="005C135C"/>
    <w:rsid w:val="005C1E60"/>
    <w:rsid w:val="005C1FA6"/>
    <w:rsid w:val="005C32D3"/>
    <w:rsid w:val="005D2896"/>
    <w:rsid w:val="005D4147"/>
    <w:rsid w:val="005E1CE3"/>
    <w:rsid w:val="005E26F2"/>
    <w:rsid w:val="005E2C7E"/>
    <w:rsid w:val="005E32A0"/>
    <w:rsid w:val="005E3E09"/>
    <w:rsid w:val="005F1948"/>
    <w:rsid w:val="005F43FA"/>
    <w:rsid w:val="006011C8"/>
    <w:rsid w:val="0060124B"/>
    <w:rsid w:val="0060180E"/>
    <w:rsid w:val="00603612"/>
    <w:rsid w:val="00606C03"/>
    <w:rsid w:val="00611AF4"/>
    <w:rsid w:val="00616125"/>
    <w:rsid w:val="006170C6"/>
    <w:rsid w:val="006310E3"/>
    <w:rsid w:val="006413E3"/>
    <w:rsid w:val="006524B2"/>
    <w:rsid w:val="0065644C"/>
    <w:rsid w:val="00660946"/>
    <w:rsid w:val="00663DEF"/>
    <w:rsid w:val="00664061"/>
    <w:rsid w:val="006647C4"/>
    <w:rsid w:val="006820D1"/>
    <w:rsid w:val="00682617"/>
    <w:rsid w:val="006840AE"/>
    <w:rsid w:val="006856B9"/>
    <w:rsid w:val="006873EF"/>
    <w:rsid w:val="00690382"/>
    <w:rsid w:val="0069127D"/>
    <w:rsid w:val="00695516"/>
    <w:rsid w:val="006959FE"/>
    <w:rsid w:val="006A149D"/>
    <w:rsid w:val="006A2E6E"/>
    <w:rsid w:val="006A4D02"/>
    <w:rsid w:val="006B24AB"/>
    <w:rsid w:val="006B490C"/>
    <w:rsid w:val="006B5E89"/>
    <w:rsid w:val="006B69B3"/>
    <w:rsid w:val="006B77C9"/>
    <w:rsid w:val="006D0FDD"/>
    <w:rsid w:val="006D502A"/>
    <w:rsid w:val="006D6029"/>
    <w:rsid w:val="006E006D"/>
    <w:rsid w:val="006E3884"/>
    <w:rsid w:val="006E79EB"/>
    <w:rsid w:val="006F2138"/>
    <w:rsid w:val="006F62D6"/>
    <w:rsid w:val="006F6385"/>
    <w:rsid w:val="006F68BD"/>
    <w:rsid w:val="00720BA1"/>
    <w:rsid w:val="00723C27"/>
    <w:rsid w:val="00725F5D"/>
    <w:rsid w:val="00726020"/>
    <w:rsid w:val="00726899"/>
    <w:rsid w:val="007335D4"/>
    <w:rsid w:val="007408F8"/>
    <w:rsid w:val="0074312A"/>
    <w:rsid w:val="007445EE"/>
    <w:rsid w:val="0074631F"/>
    <w:rsid w:val="0074691C"/>
    <w:rsid w:val="00754BCF"/>
    <w:rsid w:val="00755E2A"/>
    <w:rsid w:val="00762159"/>
    <w:rsid w:val="00765D32"/>
    <w:rsid w:val="00770554"/>
    <w:rsid w:val="00771E6A"/>
    <w:rsid w:val="007738DA"/>
    <w:rsid w:val="007777DA"/>
    <w:rsid w:val="00784FCE"/>
    <w:rsid w:val="00790F32"/>
    <w:rsid w:val="007952DD"/>
    <w:rsid w:val="007B23DB"/>
    <w:rsid w:val="007C0600"/>
    <w:rsid w:val="007D0685"/>
    <w:rsid w:val="007D104B"/>
    <w:rsid w:val="007D3929"/>
    <w:rsid w:val="007D3B2B"/>
    <w:rsid w:val="007D4D8F"/>
    <w:rsid w:val="007E557A"/>
    <w:rsid w:val="007E6A58"/>
    <w:rsid w:val="007F1063"/>
    <w:rsid w:val="007F2C38"/>
    <w:rsid w:val="00801012"/>
    <w:rsid w:val="00803F6D"/>
    <w:rsid w:val="00813CB8"/>
    <w:rsid w:val="0081420F"/>
    <w:rsid w:val="00815438"/>
    <w:rsid w:val="00821186"/>
    <w:rsid w:val="008218C0"/>
    <w:rsid w:val="0082582E"/>
    <w:rsid w:val="00826DA7"/>
    <w:rsid w:val="008310F8"/>
    <w:rsid w:val="00835A5F"/>
    <w:rsid w:val="008469E9"/>
    <w:rsid w:val="00850C3F"/>
    <w:rsid w:val="00852655"/>
    <w:rsid w:val="00855382"/>
    <w:rsid w:val="00855CF3"/>
    <w:rsid w:val="0085798D"/>
    <w:rsid w:val="00864415"/>
    <w:rsid w:val="008668F2"/>
    <w:rsid w:val="00867271"/>
    <w:rsid w:val="008814BE"/>
    <w:rsid w:val="00886649"/>
    <w:rsid w:val="008A044C"/>
    <w:rsid w:val="008A157A"/>
    <w:rsid w:val="008A2142"/>
    <w:rsid w:val="008B1782"/>
    <w:rsid w:val="008B73E3"/>
    <w:rsid w:val="008C0E91"/>
    <w:rsid w:val="008C1127"/>
    <w:rsid w:val="008C1388"/>
    <w:rsid w:val="008D0DDC"/>
    <w:rsid w:val="008D1268"/>
    <w:rsid w:val="008D4895"/>
    <w:rsid w:val="008E024B"/>
    <w:rsid w:val="008E31C9"/>
    <w:rsid w:val="008F6F21"/>
    <w:rsid w:val="00902171"/>
    <w:rsid w:val="00902CFB"/>
    <w:rsid w:val="00906CCC"/>
    <w:rsid w:val="009071CC"/>
    <w:rsid w:val="00911B39"/>
    <w:rsid w:val="00912AA7"/>
    <w:rsid w:val="009136E1"/>
    <w:rsid w:val="00913A29"/>
    <w:rsid w:val="0091433E"/>
    <w:rsid w:val="00917022"/>
    <w:rsid w:val="00923F33"/>
    <w:rsid w:val="0093046F"/>
    <w:rsid w:val="009422AC"/>
    <w:rsid w:val="0094236C"/>
    <w:rsid w:val="009457A7"/>
    <w:rsid w:val="00946409"/>
    <w:rsid w:val="009466A0"/>
    <w:rsid w:val="00951C1A"/>
    <w:rsid w:val="00952BEA"/>
    <w:rsid w:val="00953259"/>
    <w:rsid w:val="00956061"/>
    <w:rsid w:val="00964788"/>
    <w:rsid w:val="009651A8"/>
    <w:rsid w:val="009653EB"/>
    <w:rsid w:val="00966B58"/>
    <w:rsid w:val="00973D0C"/>
    <w:rsid w:val="00977A1F"/>
    <w:rsid w:val="00980296"/>
    <w:rsid w:val="00982399"/>
    <w:rsid w:val="00991676"/>
    <w:rsid w:val="00991FA1"/>
    <w:rsid w:val="00993425"/>
    <w:rsid w:val="00993B6E"/>
    <w:rsid w:val="00994D28"/>
    <w:rsid w:val="00995443"/>
    <w:rsid w:val="009A1005"/>
    <w:rsid w:val="009A673F"/>
    <w:rsid w:val="009A6788"/>
    <w:rsid w:val="009B0744"/>
    <w:rsid w:val="009B1261"/>
    <w:rsid w:val="009B231D"/>
    <w:rsid w:val="009B5580"/>
    <w:rsid w:val="009B7E6B"/>
    <w:rsid w:val="009C0BBA"/>
    <w:rsid w:val="009C1D86"/>
    <w:rsid w:val="009C35C0"/>
    <w:rsid w:val="009C5F86"/>
    <w:rsid w:val="009D6985"/>
    <w:rsid w:val="009E009E"/>
    <w:rsid w:val="009E19C1"/>
    <w:rsid w:val="009E635F"/>
    <w:rsid w:val="009F385C"/>
    <w:rsid w:val="00A05FDA"/>
    <w:rsid w:val="00A07FB1"/>
    <w:rsid w:val="00A10A05"/>
    <w:rsid w:val="00A118AE"/>
    <w:rsid w:val="00A12215"/>
    <w:rsid w:val="00A123C2"/>
    <w:rsid w:val="00A2150A"/>
    <w:rsid w:val="00A21B48"/>
    <w:rsid w:val="00A24232"/>
    <w:rsid w:val="00A25966"/>
    <w:rsid w:val="00A316E8"/>
    <w:rsid w:val="00A31BE9"/>
    <w:rsid w:val="00A3349B"/>
    <w:rsid w:val="00A42182"/>
    <w:rsid w:val="00A507E5"/>
    <w:rsid w:val="00A6392A"/>
    <w:rsid w:val="00A70843"/>
    <w:rsid w:val="00A71B8B"/>
    <w:rsid w:val="00A75550"/>
    <w:rsid w:val="00A77384"/>
    <w:rsid w:val="00A91F16"/>
    <w:rsid w:val="00A93B20"/>
    <w:rsid w:val="00A944D3"/>
    <w:rsid w:val="00A96432"/>
    <w:rsid w:val="00A9772A"/>
    <w:rsid w:val="00AA3556"/>
    <w:rsid w:val="00AA4C8A"/>
    <w:rsid w:val="00AA7736"/>
    <w:rsid w:val="00AB06D1"/>
    <w:rsid w:val="00AB1525"/>
    <w:rsid w:val="00AB4F7D"/>
    <w:rsid w:val="00AB6AE9"/>
    <w:rsid w:val="00AD0F49"/>
    <w:rsid w:val="00AD2C91"/>
    <w:rsid w:val="00AD2DB7"/>
    <w:rsid w:val="00AD6A50"/>
    <w:rsid w:val="00AE0995"/>
    <w:rsid w:val="00AE44A2"/>
    <w:rsid w:val="00AE4530"/>
    <w:rsid w:val="00AE50AE"/>
    <w:rsid w:val="00AF195A"/>
    <w:rsid w:val="00AF2744"/>
    <w:rsid w:val="00AF4FF3"/>
    <w:rsid w:val="00AF5B67"/>
    <w:rsid w:val="00AF77AD"/>
    <w:rsid w:val="00AF7FB4"/>
    <w:rsid w:val="00B01443"/>
    <w:rsid w:val="00B075C4"/>
    <w:rsid w:val="00B15964"/>
    <w:rsid w:val="00B16CE3"/>
    <w:rsid w:val="00B178B2"/>
    <w:rsid w:val="00B2004A"/>
    <w:rsid w:val="00B2009F"/>
    <w:rsid w:val="00B26615"/>
    <w:rsid w:val="00B306C8"/>
    <w:rsid w:val="00B3072D"/>
    <w:rsid w:val="00B34F32"/>
    <w:rsid w:val="00B3735E"/>
    <w:rsid w:val="00B418E1"/>
    <w:rsid w:val="00B46BDA"/>
    <w:rsid w:val="00B544F6"/>
    <w:rsid w:val="00B566BF"/>
    <w:rsid w:val="00B60A02"/>
    <w:rsid w:val="00B77D1A"/>
    <w:rsid w:val="00B82153"/>
    <w:rsid w:val="00B82E77"/>
    <w:rsid w:val="00B850BE"/>
    <w:rsid w:val="00B85312"/>
    <w:rsid w:val="00B85949"/>
    <w:rsid w:val="00B86100"/>
    <w:rsid w:val="00B9174F"/>
    <w:rsid w:val="00B92D18"/>
    <w:rsid w:val="00BA4A2A"/>
    <w:rsid w:val="00BA6F12"/>
    <w:rsid w:val="00BB0456"/>
    <w:rsid w:val="00BB5ECF"/>
    <w:rsid w:val="00BC062D"/>
    <w:rsid w:val="00BC0996"/>
    <w:rsid w:val="00BC12F9"/>
    <w:rsid w:val="00BC1366"/>
    <w:rsid w:val="00BC3FF8"/>
    <w:rsid w:val="00BC46A4"/>
    <w:rsid w:val="00BD0E85"/>
    <w:rsid w:val="00BD236E"/>
    <w:rsid w:val="00BD3DEA"/>
    <w:rsid w:val="00BD74DA"/>
    <w:rsid w:val="00BE2040"/>
    <w:rsid w:val="00BE39B7"/>
    <w:rsid w:val="00BF0E28"/>
    <w:rsid w:val="00BF1FFC"/>
    <w:rsid w:val="00BF4091"/>
    <w:rsid w:val="00BF48AA"/>
    <w:rsid w:val="00BF7827"/>
    <w:rsid w:val="00C033D6"/>
    <w:rsid w:val="00C068F1"/>
    <w:rsid w:val="00C13260"/>
    <w:rsid w:val="00C166CB"/>
    <w:rsid w:val="00C22936"/>
    <w:rsid w:val="00C2670F"/>
    <w:rsid w:val="00C31CCD"/>
    <w:rsid w:val="00C322A6"/>
    <w:rsid w:val="00C3560F"/>
    <w:rsid w:val="00C43F92"/>
    <w:rsid w:val="00C46820"/>
    <w:rsid w:val="00C53F8C"/>
    <w:rsid w:val="00C544FD"/>
    <w:rsid w:val="00C54764"/>
    <w:rsid w:val="00C54BE8"/>
    <w:rsid w:val="00C56F94"/>
    <w:rsid w:val="00C66F54"/>
    <w:rsid w:val="00C7315D"/>
    <w:rsid w:val="00C77144"/>
    <w:rsid w:val="00C83BA5"/>
    <w:rsid w:val="00C866C0"/>
    <w:rsid w:val="00C97074"/>
    <w:rsid w:val="00CA058C"/>
    <w:rsid w:val="00CA2DBB"/>
    <w:rsid w:val="00CA3C23"/>
    <w:rsid w:val="00CB116C"/>
    <w:rsid w:val="00CB21A4"/>
    <w:rsid w:val="00CB383F"/>
    <w:rsid w:val="00CB6CBF"/>
    <w:rsid w:val="00CB793C"/>
    <w:rsid w:val="00CC4B98"/>
    <w:rsid w:val="00CC4D08"/>
    <w:rsid w:val="00CD1376"/>
    <w:rsid w:val="00CE2213"/>
    <w:rsid w:val="00CE5AB2"/>
    <w:rsid w:val="00CF2553"/>
    <w:rsid w:val="00CF2E99"/>
    <w:rsid w:val="00D00B0B"/>
    <w:rsid w:val="00D01541"/>
    <w:rsid w:val="00D02223"/>
    <w:rsid w:val="00D0449A"/>
    <w:rsid w:val="00D1683C"/>
    <w:rsid w:val="00D208C9"/>
    <w:rsid w:val="00D20B2D"/>
    <w:rsid w:val="00D26169"/>
    <w:rsid w:val="00D41389"/>
    <w:rsid w:val="00D43E3B"/>
    <w:rsid w:val="00D4424F"/>
    <w:rsid w:val="00D46783"/>
    <w:rsid w:val="00D50909"/>
    <w:rsid w:val="00D561BD"/>
    <w:rsid w:val="00D61EE7"/>
    <w:rsid w:val="00D677CC"/>
    <w:rsid w:val="00D74576"/>
    <w:rsid w:val="00D76E1B"/>
    <w:rsid w:val="00D8283E"/>
    <w:rsid w:val="00D87A33"/>
    <w:rsid w:val="00D91E25"/>
    <w:rsid w:val="00D97B72"/>
    <w:rsid w:val="00DA4B43"/>
    <w:rsid w:val="00DA75F3"/>
    <w:rsid w:val="00DB3C1B"/>
    <w:rsid w:val="00DB522C"/>
    <w:rsid w:val="00DB5ABD"/>
    <w:rsid w:val="00DB76BD"/>
    <w:rsid w:val="00DC5961"/>
    <w:rsid w:val="00DC7AFD"/>
    <w:rsid w:val="00DD0288"/>
    <w:rsid w:val="00DD11C8"/>
    <w:rsid w:val="00DD1E48"/>
    <w:rsid w:val="00DD5105"/>
    <w:rsid w:val="00DD6376"/>
    <w:rsid w:val="00DE2D29"/>
    <w:rsid w:val="00DE2D8E"/>
    <w:rsid w:val="00DE3519"/>
    <w:rsid w:val="00DF2E0E"/>
    <w:rsid w:val="00DF3D22"/>
    <w:rsid w:val="00DF7E14"/>
    <w:rsid w:val="00E01ADA"/>
    <w:rsid w:val="00E06B5A"/>
    <w:rsid w:val="00E103DC"/>
    <w:rsid w:val="00E1069D"/>
    <w:rsid w:val="00E211B9"/>
    <w:rsid w:val="00E2712E"/>
    <w:rsid w:val="00E3338D"/>
    <w:rsid w:val="00E33891"/>
    <w:rsid w:val="00E35C93"/>
    <w:rsid w:val="00E4005E"/>
    <w:rsid w:val="00E42DAD"/>
    <w:rsid w:val="00E43484"/>
    <w:rsid w:val="00E462F3"/>
    <w:rsid w:val="00E548F8"/>
    <w:rsid w:val="00E57042"/>
    <w:rsid w:val="00E61906"/>
    <w:rsid w:val="00E8329A"/>
    <w:rsid w:val="00E902BA"/>
    <w:rsid w:val="00E96008"/>
    <w:rsid w:val="00EA32F3"/>
    <w:rsid w:val="00EA36CD"/>
    <w:rsid w:val="00EA6FA6"/>
    <w:rsid w:val="00EA72B7"/>
    <w:rsid w:val="00EB0966"/>
    <w:rsid w:val="00EB1862"/>
    <w:rsid w:val="00EB49CA"/>
    <w:rsid w:val="00EB4C67"/>
    <w:rsid w:val="00EB6DD3"/>
    <w:rsid w:val="00EB732B"/>
    <w:rsid w:val="00EB7719"/>
    <w:rsid w:val="00EC26B7"/>
    <w:rsid w:val="00EC60B5"/>
    <w:rsid w:val="00EC6986"/>
    <w:rsid w:val="00ED194E"/>
    <w:rsid w:val="00ED32D3"/>
    <w:rsid w:val="00ED378C"/>
    <w:rsid w:val="00ED58B6"/>
    <w:rsid w:val="00EE1DEE"/>
    <w:rsid w:val="00EF1D29"/>
    <w:rsid w:val="00F01520"/>
    <w:rsid w:val="00F02B57"/>
    <w:rsid w:val="00F03D30"/>
    <w:rsid w:val="00F047CE"/>
    <w:rsid w:val="00F17DAF"/>
    <w:rsid w:val="00F234FB"/>
    <w:rsid w:val="00F24F7D"/>
    <w:rsid w:val="00F3282F"/>
    <w:rsid w:val="00F3370E"/>
    <w:rsid w:val="00F353DB"/>
    <w:rsid w:val="00F3632D"/>
    <w:rsid w:val="00F41C92"/>
    <w:rsid w:val="00F42D02"/>
    <w:rsid w:val="00F456BE"/>
    <w:rsid w:val="00F46E54"/>
    <w:rsid w:val="00F4777A"/>
    <w:rsid w:val="00F47BB9"/>
    <w:rsid w:val="00F539A6"/>
    <w:rsid w:val="00F53B3A"/>
    <w:rsid w:val="00F54396"/>
    <w:rsid w:val="00F566A6"/>
    <w:rsid w:val="00F56776"/>
    <w:rsid w:val="00F574DF"/>
    <w:rsid w:val="00F60913"/>
    <w:rsid w:val="00F64CF3"/>
    <w:rsid w:val="00F65277"/>
    <w:rsid w:val="00F730E4"/>
    <w:rsid w:val="00F74D27"/>
    <w:rsid w:val="00F753D3"/>
    <w:rsid w:val="00F80D67"/>
    <w:rsid w:val="00F82980"/>
    <w:rsid w:val="00F87DAE"/>
    <w:rsid w:val="00F91D1E"/>
    <w:rsid w:val="00F9228E"/>
    <w:rsid w:val="00F932EA"/>
    <w:rsid w:val="00F940BE"/>
    <w:rsid w:val="00F944BC"/>
    <w:rsid w:val="00F97ABA"/>
    <w:rsid w:val="00FA2988"/>
    <w:rsid w:val="00FA42CB"/>
    <w:rsid w:val="00FB1199"/>
    <w:rsid w:val="00FB4DC3"/>
    <w:rsid w:val="00FC5D30"/>
    <w:rsid w:val="00FC6128"/>
    <w:rsid w:val="00FC7789"/>
    <w:rsid w:val="00FD31AA"/>
    <w:rsid w:val="00FD38EB"/>
    <w:rsid w:val="00FD3CA9"/>
    <w:rsid w:val="00FD5346"/>
    <w:rsid w:val="00FD714E"/>
    <w:rsid w:val="00FE14C3"/>
    <w:rsid w:val="00FE48C2"/>
    <w:rsid w:val="00FE601B"/>
    <w:rsid w:val="00FF05BA"/>
    <w:rsid w:val="00FF15C9"/>
    <w:rsid w:val="00FF1C79"/>
    <w:rsid w:val="00FF25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69725"/>
  <w15:chartTrackingRefBased/>
  <w15:docId w15:val="{2AE4B49E-D847-4AA9-9AAF-4216F310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77C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D4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5D4147"/>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paragraph" w:styleId="Antrats">
    <w:name w:val="header"/>
    <w:aliases w:val="Char,Diagrama Diagrama Diagrama, Char"/>
    <w:basedOn w:val="prastasis"/>
    <w:link w:val="AntratsDiagrama"/>
    <w:uiPriority w:val="99"/>
    <w:unhideWhenUsed/>
    <w:rsid w:val="001A74E1"/>
    <w:pPr>
      <w:tabs>
        <w:tab w:val="center" w:pos="4819"/>
        <w:tab w:val="right" w:pos="9638"/>
      </w:tabs>
      <w:spacing w:after="0" w:line="240" w:lineRule="auto"/>
    </w:pPr>
  </w:style>
  <w:style w:type="character" w:customStyle="1" w:styleId="AntratsDiagrama">
    <w:name w:val="Antraštės Diagrama"/>
    <w:aliases w:val="Char Diagrama,Diagrama Diagrama Diagrama Diagrama, Char Diagrama"/>
    <w:basedOn w:val="Numatytasispastraiposriftas"/>
    <w:link w:val="Antrats"/>
    <w:uiPriority w:val="99"/>
    <w:rsid w:val="001A74E1"/>
  </w:style>
  <w:style w:type="paragraph" w:styleId="Porat">
    <w:name w:val="footer"/>
    <w:basedOn w:val="prastasis"/>
    <w:link w:val="PoratDiagrama"/>
    <w:uiPriority w:val="99"/>
    <w:unhideWhenUsed/>
    <w:rsid w:val="001A74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A74E1"/>
  </w:style>
  <w:style w:type="paragraph" w:styleId="prastasiniatinklio">
    <w:name w:val="Normal (Web)"/>
    <w:basedOn w:val="prastasis"/>
    <w:uiPriority w:val="99"/>
    <w:unhideWhenUsed/>
    <w:rsid w:val="00664061"/>
    <w:pPr>
      <w:spacing w:before="100" w:beforeAutospacing="1" w:after="100" w:afterAutospacing="1" w:line="240" w:lineRule="auto"/>
    </w:pPr>
    <w:rPr>
      <w:rFonts w:cs="Times New Roman"/>
      <w:color w:val="000000"/>
      <w:szCs w:val="24"/>
      <w:lang w:eastAsia="lt-LT"/>
    </w:rPr>
  </w:style>
  <w:style w:type="character" w:styleId="Puslapionumeris">
    <w:name w:val="page number"/>
    <w:basedOn w:val="Numatytasispastraiposriftas"/>
    <w:rsid w:val="008B1782"/>
  </w:style>
  <w:style w:type="character" w:styleId="Grietas">
    <w:name w:val="Strong"/>
    <w:basedOn w:val="Numatytasispastraiposriftas"/>
    <w:uiPriority w:val="22"/>
    <w:qFormat/>
    <w:rsid w:val="008B1782"/>
    <w:rPr>
      <w:b/>
      <w:bCs/>
    </w:rPr>
  </w:style>
  <w:style w:type="paragraph" w:styleId="Debesliotekstas">
    <w:name w:val="Balloon Text"/>
    <w:basedOn w:val="prastasis"/>
    <w:link w:val="DebesliotekstasDiagrama"/>
    <w:uiPriority w:val="99"/>
    <w:semiHidden/>
    <w:unhideWhenUsed/>
    <w:rsid w:val="00CC4D0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4D08"/>
    <w:rPr>
      <w:rFonts w:ascii="Segoe UI" w:hAnsi="Segoe UI" w:cs="Segoe UI"/>
      <w:sz w:val="18"/>
      <w:szCs w:val="18"/>
    </w:rPr>
  </w:style>
  <w:style w:type="paragraph" w:styleId="Sraopastraipa">
    <w:name w:val="List Paragraph"/>
    <w:basedOn w:val="prastasis"/>
    <w:uiPriority w:val="34"/>
    <w:qFormat/>
    <w:rsid w:val="00D1683C"/>
    <w:pPr>
      <w:ind w:left="720"/>
      <w:contextualSpacing/>
    </w:pPr>
  </w:style>
  <w:style w:type="character" w:styleId="Komentaronuoroda">
    <w:name w:val="annotation reference"/>
    <w:basedOn w:val="Numatytasispastraiposriftas"/>
    <w:uiPriority w:val="99"/>
    <w:unhideWhenUsed/>
    <w:rsid w:val="00FF25D9"/>
    <w:rPr>
      <w:sz w:val="16"/>
      <w:szCs w:val="16"/>
    </w:rPr>
  </w:style>
  <w:style w:type="paragraph" w:styleId="Komentarotekstas">
    <w:name w:val="annotation text"/>
    <w:basedOn w:val="prastasis"/>
    <w:link w:val="KomentarotekstasDiagrama"/>
    <w:uiPriority w:val="99"/>
    <w:unhideWhenUsed/>
    <w:rsid w:val="00FF25D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F25D9"/>
    <w:rPr>
      <w:sz w:val="20"/>
      <w:szCs w:val="20"/>
    </w:rPr>
  </w:style>
  <w:style w:type="paragraph" w:styleId="Komentarotema">
    <w:name w:val="annotation subject"/>
    <w:basedOn w:val="Komentarotekstas"/>
    <w:next w:val="Komentarotekstas"/>
    <w:link w:val="KomentarotemaDiagrama"/>
    <w:uiPriority w:val="99"/>
    <w:semiHidden/>
    <w:unhideWhenUsed/>
    <w:rsid w:val="00FF25D9"/>
    <w:rPr>
      <w:b/>
      <w:bCs/>
    </w:rPr>
  </w:style>
  <w:style w:type="character" w:customStyle="1" w:styleId="KomentarotemaDiagrama">
    <w:name w:val="Komentaro tema Diagrama"/>
    <w:basedOn w:val="KomentarotekstasDiagrama"/>
    <w:link w:val="Komentarotema"/>
    <w:uiPriority w:val="99"/>
    <w:semiHidden/>
    <w:rsid w:val="00FF25D9"/>
    <w:rPr>
      <w:b/>
      <w:bCs/>
      <w:sz w:val="20"/>
      <w:szCs w:val="20"/>
    </w:rPr>
  </w:style>
  <w:style w:type="paragraph" w:styleId="Pataisymai">
    <w:name w:val="Revision"/>
    <w:hidden/>
    <w:uiPriority w:val="99"/>
    <w:semiHidden/>
    <w:rsid w:val="00D02223"/>
    <w:pPr>
      <w:spacing w:after="0" w:line="240" w:lineRule="auto"/>
    </w:pPr>
  </w:style>
  <w:style w:type="paragraph" w:styleId="Paprastasistekstas">
    <w:name w:val="Plain Text"/>
    <w:basedOn w:val="prastasis"/>
    <w:link w:val="PaprastasistekstasDiagrama"/>
    <w:uiPriority w:val="99"/>
    <w:semiHidden/>
    <w:unhideWhenUsed/>
    <w:rsid w:val="005864BA"/>
    <w:pPr>
      <w:spacing w:after="0" w:line="240" w:lineRule="auto"/>
    </w:pPr>
    <w:rPr>
      <w:rFonts w:ascii="Calibri" w:hAnsi="Calibri"/>
      <w:sz w:val="22"/>
      <w:szCs w:val="21"/>
    </w:rPr>
  </w:style>
  <w:style w:type="character" w:customStyle="1" w:styleId="PaprastasistekstasDiagrama">
    <w:name w:val="Paprastasis tekstas Diagrama"/>
    <w:basedOn w:val="Numatytasispastraiposriftas"/>
    <w:link w:val="Paprastasistekstas"/>
    <w:uiPriority w:val="99"/>
    <w:semiHidden/>
    <w:rsid w:val="005864BA"/>
    <w:rPr>
      <w:rFonts w:ascii="Calibri" w:hAnsi="Calibri"/>
      <w:sz w:val="22"/>
      <w:szCs w:val="21"/>
    </w:rPr>
  </w:style>
  <w:style w:type="paragraph" w:customStyle="1" w:styleId="Standard">
    <w:name w:val="Standard"/>
    <w:rsid w:val="00F87DAE"/>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F87DAE"/>
    <w:pPr>
      <w:autoSpaceDE w:val="0"/>
      <w:autoSpaceDN w:val="0"/>
      <w:adjustRightInd w:val="0"/>
      <w:spacing w:after="0" w:line="240" w:lineRule="auto"/>
    </w:pPr>
    <w:rPr>
      <w:rFonts w:eastAsia="Times New Roman" w:cs="Times New Roman"/>
      <w:color w:val="000000"/>
      <w:szCs w:val="24"/>
    </w:rPr>
  </w:style>
  <w:style w:type="paragraph" w:customStyle="1" w:styleId="NoSpacing1">
    <w:name w:val="No Spacing1"/>
    <w:uiPriority w:val="1"/>
    <w:qFormat/>
    <w:rsid w:val="00502D19"/>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38091">
      <w:bodyDiv w:val="1"/>
      <w:marLeft w:val="0"/>
      <w:marRight w:val="0"/>
      <w:marTop w:val="0"/>
      <w:marBottom w:val="0"/>
      <w:divBdr>
        <w:top w:val="none" w:sz="0" w:space="0" w:color="auto"/>
        <w:left w:val="none" w:sz="0" w:space="0" w:color="auto"/>
        <w:bottom w:val="none" w:sz="0" w:space="0" w:color="auto"/>
        <w:right w:val="none" w:sz="0" w:space="0" w:color="auto"/>
      </w:divBdr>
    </w:div>
    <w:div w:id="454643979">
      <w:bodyDiv w:val="1"/>
      <w:marLeft w:val="0"/>
      <w:marRight w:val="0"/>
      <w:marTop w:val="0"/>
      <w:marBottom w:val="0"/>
      <w:divBdr>
        <w:top w:val="none" w:sz="0" w:space="0" w:color="auto"/>
        <w:left w:val="none" w:sz="0" w:space="0" w:color="auto"/>
        <w:bottom w:val="none" w:sz="0" w:space="0" w:color="auto"/>
        <w:right w:val="none" w:sz="0" w:space="0" w:color="auto"/>
      </w:divBdr>
    </w:div>
    <w:div w:id="1035538647">
      <w:bodyDiv w:val="1"/>
      <w:marLeft w:val="0"/>
      <w:marRight w:val="0"/>
      <w:marTop w:val="0"/>
      <w:marBottom w:val="0"/>
      <w:divBdr>
        <w:top w:val="none" w:sz="0" w:space="0" w:color="auto"/>
        <w:left w:val="none" w:sz="0" w:space="0" w:color="auto"/>
        <w:bottom w:val="none" w:sz="0" w:space="0" w:color="auto"/>
        <w:right w:val="none" w:sz="0" w:space="0" w:color="auto"/>
      </w:divBdr>
      <w:divsChild>
        <w:div w:id="1304506997">
          <w:marLeft w:val="0"/>
          <w:marRight w:val="0"/>
          <w:marTop w:val="0"/>
          <w:marBottom w:val="0"/>
          <w:divBdr>
            <w:top w:val="none" w:sz="0" w:space="0" w:color="auto"/>
            <w:left w:val="none" w:sz="0" w:space="0" w:color="auto"/>
            <w:bottom w:val="none" w:sz="0" w:space="0" w:color="auto"/>
            <w:right w:val="none" w:sz="0" w:space="0" w:color="auto"/>
          </w:divBdr>
        </w:div>
      </w:divsChild>
    </w:div>
    <w:div w:id="1255747691">
      <w:bodyDiv w:val="1"/>
      <w:marLeft w:val="0"/>
      <w:marRight w:val="0"/>
      <w:marTop w:val="0"/>
      <w:marBottom w:val="0"/>
      <w:divBdr>
        <w:top w:val="none" w:sz="0" w:space="0" w:color="auto"/>
        <w:left w:val="none" w:sz="0" w:space="0" w:color="auto"/>
        <w:bottom w:val="none" w:sz="0" w:space="0" w:color="auto"/>
        <w:right w:val="none" w:sz="0" w:space="0" w:color="auto"/>
      </w:divBdr>
    </w:div>
    <w:div w:id="1279870562">
      <w:bodyDiv w:val="1"/>
      <w:marLeft w:val="0"/>
      <w:marRight w:val="0"/>
      <w:marTop w:val="0"/>
      <w:marBottom w:val="0"/>
      <w:divBdr>
        <w:top w:val="none" w:sz="0" w:space="0" w:color="auto"/>
        <w:left w:val="none" w:sz="0" w:space="0" w:color="auto"/>
        <w:bottom w:val="none" w:sz="0" w:space="0" w:color="auto"/>
        <w:right w:val="none" w:sz="0" w:space="0" w:color="auto"/>
      </w:divBdr>
    </w:div>
    <w:div w:id="202736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29D512-ED0E-4F58-81A6-CD520F95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3</Pages>
  <Words>6186</Words>
  <Characters>3527</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9694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2020-09-23T13:47:00Z</dcterms:created>
  <dc:creator>Jūratė Peciukonytė</dc:creator>
  <cp:lastModifiedBy>Tautvydas Žėkas</cp:lastModifiedBy>
  <cp:lastPrinted>2018-03-29T06:10:00Z</cp:lastPrinted>
  <dcterms:modified xsi:type="dcterms:W3CDTF">2020-12-01T11:14:00Z</dcterms:modified>
  <cp:revision>16</cp:revision>
</cp:coreProperties>
</file>