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C2CF8" w14:textId="0CE048F3" w:rsidR="00E306B5" w:rsidRPr="009D1C2D" w:rsidRDefault="00CB762C" w:rsidP="00774875">
      <w:pPr>
        <w:jc w:val="center"/>
        <w:rPr>
          <w:b/>
          <w:bCs/>
          <w:caps/>
          <w:szCs w:val="24"/>
        </w:rPr>
      </w:pPr>
      <w:r w:rsidRPr="009D1C2D">
        <w:rPr>
          <w:b/>
          <w:bCs/>
          <w:caps/>
          <w:szCs w:val="24"/>
        </w:rPr>
        <w:t xml:space="preserve">Lietuvos Respublikos Vyriausybės nutarimo ,,Dėl perspektyvinių triukšmo žemėlapių rengimo, derinimo, tvirtinimo, viešinimo ir triukšmo mažinimo priemonių įgyvendinimo išlaidų kompensavimo taisyklių patvirtinimo“ </w:t>
      </w:r>
      <w:r w:rsidR="00E306B5" w:rsidRPr="009D1C2D">
        <w:rPr>
          <w:b/>
          <w:bCs/>
          <w:caps/>
          <w:szCs w:val="24"/>
        </w:rPr>
        <w:t>PROJEKTO</w:t>
      </w:r>
    </w:p>
    <w:p w14:paraId="1B17993B" w14:textId="06966277" w:rsidR="005663B8" w:rsidRPr="009D1C2D" w:rsidRDefault="005663B8" w:rsidP="00774875">
      <w:pPr>
        <w:jc w:val="center"/>
        <w:rPr>
          <w:b/>
          <w:szCs w:val="24"/>
        </w:rPr>
      </w:pPr>
      <w:r w:rsidRPr="009D1C2D">
        <w:rPr>
          <w:b/>
          <w:szCs w:val="24"/>
        </w:rPr>
        <w:t>DERINIMO PAŽYMA</w:t>
      </w:r>
    </w:p>
    <w:p w14:paraId="00259ADA" w14:textId="77777777" w:rsidR="00124CBF" w:rsidRPr="009D1C2D" w:rsidRDefault="00124CBF" w:rsidP="00774875">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84"/>
        <w:gridCol w:w="5211"/>
        <w:gridCol w:w="7797"/>
      </w:tblGrid>
      <w:tr w:rsidR="00124CBF" w:rsidRPr="009D1C2D" w14:paraId="73AC6C6E" w14:textId="77777777" w:rsidTr="003D1446">
        <w:tc>
          <w:tcPr>
            <w:tcW w:w="571" w:type="dxa"/>
            <w:shd w:val="clear" w:color="auto" w:fill="auto"/>
          </w:tcPr>
          <w:p w14:paraId="3DB244FC" w14:textId="77777777" w:rsidR="00124CBF" w:rsidRPr="009D1C2D" w:rsidRDefault="00124CBF" w:rsidP="00774875">
            <w:pPr>
              <w:jc w:val="center"/>
              <w:rPr>
                <w:b/>
                <w:szCs w:val="24"/>
              </w:rPr>
            </w:pPr>
            <w:r w:rsidRPr="009D1C2D">
              <w:rPr>
                <w:b/>
                <w:szCs w:val="24"/>
              </w:rPr>
              <w:t>Eil. Nr.</w:t>
            </w:r>
          </w:p>
        </w:tc>
        <w:tc>
          <w:tcPr>
            <w:tcW w:w="1584" w:type="dxa"/>
            <w:shd w:val="clear" w:color="auto" w:fill="auto"/>
          </w:tcPr>
          <w:p w14:paraId="7B0D3C54" w14:textId="5D8E40CA" w:rsidR="00124CBF" w:rsidRPr="009D1C2D" w:rsidRDefault="00E74CBA" w:rsidP="00774875">
            <w:pPr>
              <w:jc w:val="center"/>
              <w:rPr>
                <w:szCs w:val="24"/>
              </w:rPr>
            </w:pPr>
            <w:r w:rsidRPr="009D1C2D">
              <w:rPr>
                <w:b/>
                <w:bCs/>
                <w:szCs w:val="24"/>
              </w:rPr>
              <w:t>Institucijos pavadinimas, rašto data ir numeris</w:t>
            </w:r>
          </w:p>
        </w:tc>
        <w:tc>
          <w:tcPr>
            <w:tcW w:w="5211" w:type="dxa"/>
            <w:shd w:val="clear" w:color="auto" w:fill="auto"/>
          </w:tcPr>
          <w:p w14:paraId="45D0675D" w14:textId="77777777" w:rsidR="00124CBF" w:rsidRPr="009D1C2D" w:rsidRDefault="00124CBF" w:rsidP="00774875">
            <w:pPr>
              <w:jc w:val="center"/>
              <w:rPr>
                <w:szCs w:val="24"/>
              </w:rPr>
            </w:pPr>
            <w:r w:rsidRPr="009D1C2D">
              <w:rPr>
                <w:b/>
                <w:szCs w:val="24"/>
              </w:rPr>
              <w:t>Pastabos ir pasiūlymai</w:t>
            </w:r>
          </w:p>
        </w:tc>
        <w:tc>
          <w:tcPr>
            <w:tcW w:w="7797" w:type="dxa"/>
            <w:shd w:val="clear" w:color="auto" w:fill="auto"/>
          </w:tcPr>
          <w:p w14:paraId="671A3692" w14:textId="106BEE36" w:rsidR="00124CBF" w:rsidRPr="009D1C2D" w:rsidRDefault="00124CBF" w:rsidP="00774875">
            <w:pPr>
              <w:jc w:val="center"/>
              <w:rPr>
                <w:szCs w:val="24"/>
              </w:rPr>
            </w:pPr>
            <w:r w:rsidRPr="009D1C2D">
              <w:rPr>
                <w:b/>
                <w:szCs w:val="24"/>
              </w:rPr>
              <w:t>Žyma apie pastabas ir pasiūlymus, į kuri</w:t>
            </w:r>
            <w:r w:rsidR="00F80EF0">
              <w:rPr>
                <w:b/>
                <w:szCs w:val="24"/>
              </w:rPr>
              <w:t>uo</w:t>
            </w:r>
            <w:r w:rsidRPr="009D1C2D">
              <w:rPr>
                <w:b/>
                <w:szCs w:val="24"/>
              </w:rPr>
              <w:t>s neatsižvelgta arba atsižvelgta iš dalies</w:t>
            </w:r>
          </w:p>
        </w:tc>
      </w:tr>
      <w:tr w:rsidR="003D1446" w:rsidRPr="009D1C2D" w14:paraId="312383B6" w14:textId="77777777" w:rsidTr="003D1446">
        <w:tc>
          <w:tcPr>
            <w:tcW w:w="571" w:type="dxa"/>
            <w:vMerge w:val="restart"/>
            <w:shd w:val="clear" w:color="auto" w:fill="auto"/>
          </w:tcPr>
          <w:p w14:paraId="7931AC5F" w14:textId="35C97334" w:rsidR="003D1446" w:rsidRPr="009D1C2D" w:rsidRDefault="003D1446" w:rsidP="00774875">
            <w:pPr>
              <w:pStyle w:val="Sraopastraipa"/>
              <w:tabs>
                <w:tab w:val="left" w:pos="240"/>
              </w:tabs>
              <w:ind w:left="0"/>
              <w:jc w:val="both"/>
              <w:rPr>
                <w:szCs w:val="24"/>
                <w:lang w:val="lt-LT"/>
              </w:rPr>
            </w:pPr>
            <w:r>
              <w:rPr>
                <w:szCs w:val="24"/>
                <w:lang w:val="lt-LT"/>
              </w:rPr>
              <w:t>1</w:t>
            </w:r>
            <w:r w:rsidR="009B78B4">
              <w:rPr>
                <w:szCs w:val="24"/>
                <w:lang w:val="lt-LT"/>
              </w:rPr>
              <w:t>.</w:t>
            </w:r>
          </w:p>
        </w:tc>
        <w:tc>
          <w:tcPr>
            <w:tcW w:w="1584" w:type="dxa"/>
            <w:vMerge w:val="restart"/>
            <w:shd w:val="clear" w:color="auto" w:fill="auto"/>
          </w:tcPr>
          <w:p w14:paraId="3AFB896D" w14:textId="0558AA42" w:rsidR="003D1446" w:rsidRPr="00791469" w:rsidRDefault="003D1446" w:rsidP="00774875">
            <w:pPr>
              <w:jc w:val="both"/>
              <w:rPr>
                <w:szCs w:val="24"/>
              </w:rPr>
            </w:pPr>
            <w:r w:rsidRPr="00791469">
              <w:rPr>
                <w:szCs w:val="24"/>
              </w:rPr>
              <w:t>Teisingumo ministerij</w:t>
            </w:r>
            <w:r w:rsidR="00820EB1" w:rsidRPr="00791469">
              <w:rPr>
                <w:szCs w:val="24"/>
              </w:rPr>
              <w:t>os</w:t>
            </w:r>
            <w:r w:rsidRPr="00791469">
              <w:rPr>
                <w:szCs w:val="24"/>
              </w:rPr>
              <w:t xml:space="preserve"> 2019-10-25 </w:t>
            </w:r>
            <w:r w:rsidR="00820EB1" w:rsidRPr="00791469">
              <w:rPr>
                <w:szCs w:val="24"/>
              </w:rPr>
              <w:t xml:space="preserve">raštas </w:t>
            </w:r>
            <w:r w:rsidR="00820EB1" w:rsidRPr="00791469">
              <w:rPr>
                <w:szCs w:val="24"/>
              </w:rPr>
              <w:br/>
            </w:r>
            <w:r w:rsidRPr="00791469">
              <w:rPr>
                <w:szCs w:val="24"/>
              </w:rPr>
              <w:t>Nr. (1.6E)2T-1087</w:t>
            </w:r>
          </w:p>
          <w:p w14:paraId="01AEC23C" w14:textId="618EB1F3" w:rsidR="003D1446" w:rsidRPr="000A28E7" w:rsidRDefault="003D1446" w:rsidP="00774875">
            <w:pPr>
              <w:jc w:val="both"/>
              <w:rPr>
                <w:b/>
                <w:szCs w:val="24"/>
              </w:rPr>
            </w:pPr>
          </w:p>
        </w:tc>
        <w:tc>
          <w:tcPr>
            <w:tcW w:w="5211" w:type="dxa"/>
            <w:shd w:val="clear" w:color="auto" w:fill="auto"/>
          </w:tcPr>
          <w:p w14:paraId="285E25E1" w14:textId="3C9D65CB" w:rsidR="003D1446" w:rsidRPr="009A0865" w:rsidRDefault="003D1446" w:rsidP="009D183E">
            <w:pPr>
              <w:suppressAutoHyphens/>
              <w:jc w:val="both"/>
              <w:rPr>
                <w:strike/>
                <w:szCs w:val="24"/>
                <w:highlight w:val="green"/>
              </w:rPr>
            </w:pPr>
            <w:r w:rsidRPr="000A28E7">
              <w:rPr>
                <w:color w:val="000000" w:themeColor="text1"/>
                <w:szCs w:val="24"/>
              </w:rPr>
              <w:t xml:space="preserve">17. </w:t>
            </w:r>
            <w:r w:rsidRPr="000A28E7">
              <w:rPr>
                <w:szCs w:val="24"/>
              </w:rPr>
              <w:t>Atsižvelgiant į tai, kad prašymo tikrinimas yra tęstinis procesas, siekiant užtikrinti prašymų teikėjų teisinį tikrumą, siūlytina nustatyti bendrą sprendimo priėmimo terminą nuo visų reikiamų dokumentų pateikimo momento, o ne nuo tarpinio procedūrinio veiksmo pabaigimo momento (taisyklių 29 p.) bei inkorporuoti šias nuostatas į taisyklių 26 p.</w:t>
            </w:r>
          </w:p>
        </w:tc>
        <w:tc>
          <w:tcPr>
            <w:tcW w:w="7797" w:type="dxa"/>
            <w:shd w:val="clear" w:color="auto" w:fill="auto"/>
          </w:tcPr>
          <w:p w14:paraId="15109AB4" w14:textId="27FE60C5" w:rsidR="003D1446" w:rsidRPr="009D1C2D" w:rsidRDefault="003D1446" w:rsidP="009D183E">
            <w:pPr>
              <w:jc w:val="both"/>
              <w:rPr>
                <w:b/>
                <w:szCs w:val="24"/>
              </w:rPr>
            </w:pPr>
            <w:r w:rsidRPr="009D1C2D">
              <w:rPr>
                <w:b/>
                <w:szCs w:val="24"/>
              </w:rPr>
              <w:t>Neatsižvelgta</w:t>
            </w:r>
            <w:r w:rsidR="00820EB1">
              <w:rPr>
                <w:b/>
                <w:szCs w:val="24"/>
              </w:rPr>
              <w:t>.</w:t>
            </w:r>
          </w:p>
          <w:p w14:paraId="3EDFF76A" w14:textId="21FF91B2" w:rsidR="003D1446" w:rsidRPr="009A0865" w:rsidRDefault="003D1446" w:rsidP="009D183E">
            <w:pPr>
              <w:jc w:val="both"/>
              <w:rPr>
                <w:b/>
                <w:szCs w:val="24"/>
                <w:highlight w:val="green"/>
              </w:rPr>
            </w:pPr>
            <w:r w:rsidRPr="009D1C2D">
              <w:rPr>
                <w:szCs w:val="24"/>
              </w:rPr>
              <w:t xml:space="preserve">Pažymėtina, kad tokio konkretaus ir bendro termino nėra galimybių nustatyti, </w:t>
            </w:r>
            <w:r w:rsidR="00820EB1">
              <w:rPr>
                <w:szCs w:val="24"/>
              </w:rPr>
              <w:t>nes</w:t>
            </w:r>
            <w:r w:rsidRPr="009D1C2D">
              <w:rPr>
                <w:szCs w:val="24"/>
              </w:rPr>
              <w:t xml:space="preserve"> prašymų administravimo procesas yra neprognozuojamas dėl pareiškėjų srauto. Atsižvelgiant į tai, Taisyklių</w:t>
            </w:r>
            <w:r w:rsidRPr="009D1C2D">
              <w:rPr>
                <w:szCs w:val="24"/>
              </w:rPr>
              <w:t xml:space="preserve"> </w:t>
            </w:r>
            <w:r w:rsidR="009F46FA">
              <w:rPr>
                <w:szCs w:val="24"/>
              </w:rPr>
              <w:t>30</w:t>
            </w:r>
            <w:r w:rsidRPr="009D1C2D">
              <w:rPr>
                <w:szCs w:val="24"/>
              </w:rPr>
              <w:t xml:space="preserve"> </w:t>
            </w:r>
            <w:r w:rsidRPr="009D1C2D">
              <w:rPr>
                <w:szCs w:val="24"/>
              </w:rPr>
              <w:t>punkte yra numatomas galimas prašymų tikrinim</w:t>
            </w:r>
            <w:r w:rsidR="00820EB1">
              <w:rPr>
                <w:szCs w:val="24"/>
              </w:rPr>
              <w:t>o</w:t>
            </w:r>
            <w:r w:rsidRPr="009D1C2D">
              <w:rPr>
                <w:szCs w:val="24"/>
              </w:rPr>
              <w:t xml:space="preserve"> </w:t>
            </w:r>
            <w:r w:rsidR="00820EB1" w:rsidRPr="009D1C2D">
              <w:rPr>
                <w:szCs w:val="24"/>
              </w:rPr>
              <w:t xml:space="preserve">termino </w:t>
            </w:r>
            <w:r w:rsidRPr="009D1C2D">
              <w:rPr>
                <w:szCs w:val="24"/>
              </w:rPr>
              <w:t xml:space="preserve">pratęsimas ir atitinkamai fiksuojamas 10 darbo dienų terminas (nuo prašymo patikrinimo dienos) sprendimui priimti (kaip nurodyta Taisyklių </w:t>
            </w:r>
            <w:r w:rsidR="00B22F07">
              <w:rPr>
                <w:szCs w:val="24"/>
              </w:rPr>
              <w:t>32</w:t>
            </w:r>
            <w:r w:rsidRPr="009D1C2D">
              <w:rPr>
                <w:szCs w:val="24"/>
              </w:rPr>
              <w:t xml:space="preserve"> punkte). </w:t>
            </w:r>
          </w:p>
        </w:tc>
      </w:tr>
      <w:tr w:rsidR="004F07DF" w:rsidRPr="009D1C2D" w14:paraId="59598958" w14:textId="77777777" w:rsidTr="003D1446">
        <w:tc>
          <w:tcPr>
            <w:tcW w:w="571" w:type="dxa"/>
            <w:vMerge/>
            <w:shd w:val="clear" w:color="auto" w:fill="auto"/>
          </w:tcPr>
          <w:p w14:paraId="611CB0F0" w14:textId="77777777" w:rsidR="004F07DF" w:rsidRPr="009D1C2D" w:rsidRDefault="004F07DF" w:rsidP="00774875">
            <w:pPr>
              <w:pStyle w:val="Sraopastraipa"/>
              <w:tabs>
                <w:tab w:val="left" w:pos="240"/>
              </w:tabs>
              <w:ind w:left="0"/>
              <w:jc w:val="both"/>
              <w:rPr>
                <w:szCs w:val="24"/>
                <w:lang w:val="lt-LT"/>
              </w:rPr>
            </w:pPr>
          </w:p>
        </w:tc>
        <w:tc>
          <w:tcPr>
            <w:tcW w:w="1584" w:type="dxa"/>
            <w:vMerge/>
            <w:shd w:val="clear" w:color="auto" w:fill="auto"/>
          </w:tcPr>
          <w:p w14:paraId="24BCCF91" w14:textId="77777777" w:rsidR="004F07DF" w:rsidRPr="009D1C2D" w:rsidRDefault="004F07DF" w:rsidP="00774875">
            <w:pPr>
              <w:jc w:val="both"/>
              <w:rPr>
                <w:b/>
                <w:bCs/>
                <w:szCs w:val="24"/>
              </w:rPr>
            </w:pPr>
          </w:p>
        </w:tc>
        <w:tc>
          <w:tcPr>
            <w:tcW w:w="5211" w:type="dxa"/>
            <w:shd w:val="clear" w:color="auto" w:fill="auto"/>
          </w:tcPr>
          <w:p w14:paraId="7A73AD96" w14:textId="33329D02" w:rsidR="004F07DF" w:rsidRPr="009D1C2D" w:rsidRDefault="004F07DF" w:rsidP="009D183E">
            <w:pPr>
              <w:suppressAutoHyphens/>
              <w:jc w:val="both"/>
              <w:rPr>
                <w:szCs w:val="24"/>
              </w:rPr>
            </w:pPr>
            <w:r w:rsidRPr="000A28E7">
              <w:rPr>
                <w:color w:val="000000" w:themeColor="text1"/>
                <w:szCs w:val="24"/>
              </w:rPr>
              <w:t xml:space="preserve">18. </w:t>
            </w:r>
            <w:r w:rsidRPr="000A28E7">
              <w:rPr>
                <w:szCs w:val="24"/>
              </w:rPr>
              <w:t>Siūlome įvertinti taisyklių 29.1 ir 29.2 p. vartojamų formuluočių „patvirtinti prašymą“ ir „atsisakyti patvirtinti prašymą“ vartojimo tikslingumą ir teisingumą. Savo esme tai yra sprendimai „kompensuoti prašyme nurodytas išlaidas“ arba „atsisakyti kompensuoti prašyme nurodytas išlaidas“. Taip pat turėtų būti įvertinta galimybė „kompensuoti dalį prašyme nurodytų išlaidų“ (įvertinant ir taisyklių 33-35 p. nuostatas ir juose reglamentuojamus atvejus). Taip pat, manytina, kad 33-35 p. realizavimo atveju turėtų būti daromas pirminio sprendimo pakeitimas, o ne priimamas naujas sprendimas, nepanaikinus ankstesnio sprendimo.</w:t>
            </w:r>
          </w:p>
        </w:tc>
        <w:tc>
          <w:tcPr>
            <w:tcW w:w="7797" w:type="dxa"/>
            <w:shd w:val="clear" w:color="auto" w:fill="auto"/>
          </w:tcPr>
          <w:p w14:paraId="43114AF7" w14:textId="64D320D5" w:rsidR="00AB7391" w:rsidRPr="009D1C2D" w:rsidRDefault="009A0865" w:rsidP="004F07DF">
            <w:pPr>
              <w:jc w:val="both"/>
              <w:rPr>
                <w:b/>
                <w:szCs w:val="24"/>
              </w:rPr>
            </w:pPr>
            <w:r>
              <w:rPr>
                <w:b/>
                <w:szCs w:val="24"/>
              </w:rPr>
              <w:t>Atsižvelgta iš dalies</w:t>
            </w:r>
            <w:r w:rsidR="00820EB1">
              <w:rPr>
                <w:b/>
                <w:szCs w:val="24"/>
              </w:rPr>
              <w:t>.</w:t>
            </w:r>
            <w:r>
              <w:rPr>
                <w:b/>
                <w:szCs w:val="24"/>
              </w:rPr>
              <w:t xml:space="preserve"> </w:t>
            </w:r>
          </w:p>
          <w:p w14:paraId="5C01C365" w14:textId="4940A2BD" w:rsidR="004F07DF" w:rsidRPr="009D1C2D" w:rsidRDefault="00AB7391" w:rsidP="004F07DF">
            <w:pPr>
              <w:jc w:val="both"/>
              <w:rPr>
                <w:szCs w:val="24"/>
              </w:rPr>
            </w:pPr>
            <w:r w:rsidRPr="009D1C2D">
              <w:rPr>
                <w:szCs w:val="24"/>
              </w:rPr>
              <w:t>Pažymėtina, kad formuluotės „patvirtinti prašymą“ ir „atsisakyti patvirtinti prašymą“ nereiškia sprendimų „kompensuoti prašyme nurodytas išlaidas“ arba „atsisakyti kompensuoti prašyme nurodytas išlaidas“, todėl</w:t>
            </w:r>
            <w:r w:rsidR="004C0488" w:rsidRPr="009D1C2D">
              <w:rPr>
                <w:szCs w:val="24"/>
              </w:rPr>
              <w:t xml:space="preserve"> </w:t>
            </w:r>
            <w:r w:rsidRPr="009D1C2D">
              <w:rPr>
                <w:szCs w:val="24"/>
              </w:rPr>
              <w:t xml:space="preserve">kad, kaip nurodoma Taisyklių </w:t>
            </w:r>
            <w:r w:rsidR="00B22F07">
              <w:rPr>
                <w:szCs w:val="24"/>
              </w:rPr>
              <w:t>33</w:t>
            </w:r>
            <w:r w:rsidRPr="009D1C2D">
              <w:rPr>
                <w:szCs w:val="24"/>
              </w:rPr>
              <w:t>–</w:t>
            </w:r>
            <w:r w:rsidR="00B22F07">
              <w:rPr>
                <w:szCs w:val="24"/>
              </w:rPr>
              <w:t>35</w:t>
            </w:r>
            <w:r w:rsidRPr="009D1C2D">
              <w:rPr>
                <w:szCs w:val="24"/>
              </w:rPr>
              <w:t xml:space="preserve"> punktuos</w:t>
            </w:r>
            <w:r w:rsidR="004C0488" w:rsidRPr="009D1C2D">
              <w:rPr>
                <w:szCs w:val="24"/>
              </w:rPr>
              <w:t>e,</w:t>
            </w:r>
            <w:r w:rsidRPr="009D1C2D">
              <w:rPr>
                <w:szCs w:val="24"/>
              </w:rPr>
              <w:t xml:space="preserve"> </w:t>
            </w:r>
            <w:r w:rsidR="00820EB1">
              <w:rPr>
                <w:szCs w:val="24"/>
              </w:rPr>
              <w:t>k</w:t>
            </w:r>
            <w:r w:rsidRPr="009D1C2D">
              <w:rPr>
                <w:szCs w:val="24"/>
              </w:rPr>
              <w:t>ompensacijas išmokantis subjektas turi teisę atlikti triukšmo mažinimo priemonių įgyvendinimo patikrą</w:t>
            </w:r>
            <w:r w:rsidR="004C0488" w:rsidRPr="009D1C2D">
              <w:rPr>
                <w:szCs w:val="24"/>
              </w:rPr>
              <w:t xml:space="preserve"> </w:t>
            </w:r>
            <w:r w:rsidRPr="009D1C2D">
              <w:rPr>
                <w:szCs w:val="24"/>
              </w:rPr>
              <w:t>vietoje</w:t>
            </w:r>
            <w:r w:rsidR="004537FD" w:rsidRPr="009D1C2D">
              <w:rPr>
                <w:szCs w:val="24"/>
              </w:rPr>
              <w:t xml:space="preserve"> (toliau – </w:t>
            </w:r>
            <w:r w:rsidR="00820EB1">
              <w:rPr>
                <w:szCs w:val="24"/>
              </w:rPr>
              <w:t>p</w:t>
            </w:r>
            <w:r w:rsidR="004537FD" w:rsidRPr="009D1C2D">
              <w:rPr>
                <w:szCs w:val="24"/>
              </w:rPr>
              <w:t>atikra)</w:t>
            </w:r>
            <w:r w:rsidR="004C0488" w:rsidRPr="009D1C2D">
              <w:rPr>
                <w:szCs w:val="24"/>
              </w:rPr>
              <w:t xml:space="preserve"> ir pastaroji gali būti atliekama net ir po kompensacijos išmokėjimo (Taisyklių 33 </w:t>
            </w:r>
            <w:r w:rsidR="00B22F07">
              <w:rPr>
                <w:szCs w:val="24"/>
              </w:rPr>
              <w:t xml:space="preserve">ir 36 </w:t>
            </w:r>
            <w:r w:rsidR="004C0488" w:rsidRPr="009D1C2D">
              <w:rPr>
                <w:szCs w:val="24"/>
              </w:rPr>
              <w:t>punkta</w:t>
            </w:r>
            <w:r w:rsidR="00B22F07">
              <w:rPr>
                <w:szCs w:val="24"/>
              </w:rPr>
              <w:t>i</w:t>
            </w:r>
            <w:r w:rsidR="004C0488" w:rsidRPr="009D1C2D">
              <w:rPr>
                <w:szCs w:val="24"/>
              </w:rPr>
              <w:t>).</w:t>
            </w:r>
            <w:r w:rsidR="00030278" w:rsidRPr="009D1C2D">
              <w:rPr>
                <w:szCs w:val="24"/>
              </w:rPr>
              <w:t xml:space="preserve"> Taisyklių </w:t>
            </w:r>
            <w:r w:rsidR="007B3838">
              <w:rPr>
                <w:szCs w:val="24"/>
              </w:rPr>
              <w:t>37</w:t>
            </w:r>
            <w:r w:rsidR="00030278" w:rsidRPr="009D1C2D">
              <w:rPr>
                <w:szCs w:val="24"/>
              </w:rPr>
              <w:t xml:space="preserve"> ir </w:t>
            </w:r>
            <w:r w:rsidR="007B3838">
              <w:rPr>
                <w:szCs w:val="24"/>
              </w:rPr>
              <w:t>38</w:t>
            </w:r>
            <w:r w:rsidR="00030278" w:rsidRPr="009D1C2D">
              <w:rPr>
                <w:szCs w:val="24"/>
              </w:rPr>
              <w:t xml:space="preserve"> punktuose yra tinkamai aprašyta procedūra, kai iki kompensacijos išmokėjimo atlikus </w:t>
            </w:r>
            <w:r w:rsidR="00820EB1">
              <w:rPr>
                <w:szCs w:val="24"/>
              </w:rPr>
              <w:t>p</w:t>
            </w:r>
            <w:r w:rsidR="00030278" w:rsidRPr="009D1C2D">
              <w:rPr>
                <w:szCs w:val="24"/>
              </w:rPr>
              <w:t>atikrą nustatomi neatitikimai, ir yra aiškiai įtvirtinti konkretūs terminai atitinkamiems sprendimams priimti.</w:t>
            </w:r>
          </w:p>
          <w:p w14:paraId="42D7515F" w14:textId="54EF7CAD" w:rsidR="004F07DF" w:rsidRPr="009D1C2D" w:rsidRDefault="00FD7AA7" w:rsidP="009D183E">
            <w:pPr>
              <w:jc w:val="both"/>
              <w:rPr>
                <w:szCs w:val="24"/>
              </w:rPr>
            </w:pPr>
            <w:r w:rsidRPr="009D1C2D">
              <w:rPr>
                <w:szCs w:val="24"/>
              </w:rPr>
              <w:t xml:space="preserve">Taisyklių </w:t>
            </w:r>
            <w:r w:rsidR="007B3838">
              <w:rPr>
                <w:szCs w:val="24"/>
              </w:rPr>
              <w:t>37 ir 38</w:t>
            </w:r>
            <w:r w:rsidRPr="009D1C2D">
              <w:rPr>
                <w:szCs w:val="24"/>
              </w:rPr>
              <w:t xml:space="preserve"> punkta</w:t>
            </w:r>
            <w:r w:rsidR="007B3838">
              <w:rPr>
                <w:szCs w:val="24"/>
              </w:rPr>
              <w:t>i</w:t>
            </w:r>
            <w:r w:rsidRPr="009D1C2D">
              <w:rPr>
                <w:szCs w:val="24"/>
              </w:rPr>
              <w:t xml:space="preserve"> patikslin</w:t>
            </w:r>
            <w:r w:rsidR="00820EB1">
              <w:rPr>
                <w:szCs w:val="24"/>
              </w:rPr>
              <w:t>t</w:t>
            </w:r>
            <w:r w:rsidR="007B3838">
              <w:rPr>
                <w:szCs w:val="24"/>
              </w:rPr>
              <w:t>i</w:t>
            </w:r>
            <w:r w:rsidR="00F80EF0">
              <w:rPr>
                <w:szCs w:val="24"/>
              </w:rPr>
              <w:t xml:space="preserve"> –</w:t>
            </w:r>
            <w:r w:rsidRPr="009D1C2D">
              <w:rPr>
                <w:szCs w:val="24"/>
              </w:rPr>
              <w:t xml:space="preserve"> </w:t>
            </w:r>
            <w:r w:rsidR="004450C6">
              <w:rPr>
                <w:szCs w:val="24"/>
              </w:rPr>
              <w:t>nustat</w:t>
            </w:r>
            <w:r w:rsidR="00F80EF0">
              <w:rPr>
                <w:szCs w:val="24"/>
              </w:rPr>
              <w:t>y</w:t>
            </w:r>
            <w:r w:rsidR="004450C6">
              <w:rPr>
                <w:szCs w:val="24"/>
              </w:rPr>
              <w:t>t</w:t>
            </w:r>
            <w:r w:rsidR="00F80EF0">
              <w:rPr>
                <w:szCs w:val="24"/>
              </w:rPr>
              <w:t>as</w:t>
            </w:r>
            <w:r w:rsidR="004450C6">
              <w:rPr>
                <w:szCs w:val="24"/>
              </w:rPr>
              <w:t xml:space="preserve"> aiškesn</w:t>
            </w:r>
            <w:r w:rsidR="00F80EF0">
              <w:rPr>
                <w:szCs w:val="24"/>
              </w:rPr>
              <w:t>is</w:t>
            </w:r>
            <w:r w:rsidR="004450C6">
              <w:rPr>
                <w:szCs w:val="24"/>
              </w:rPr>
              <w:t xml:space="preserve"> reglamentavim</w:t>
            </w:r>
            <w:r w:rsidR="00F80EF0">
              <w:rPr>
                <w:szCs w:val="24"/>
              </w:rPr>
              <w:t>as</w:t>
            </w:r>
            <w:r w:rsidRPr="009D1C2D">
              <w:rPr>
                <w:szCs w:val="24"/>
              </w:rPr>
              <w:t xml:space="preserve"> dėl sprendim</w:t>
            </w:r>
            <w:r w:rsidR="00EB16F2">
              <w:rPr>
                <w:szCs w:val="24"/>
              </w:rPr>
              <w:t>ų</w:t>
            </w:r>
            <w:r w:rsidRPr="009D1C2D">
              <w:rPr>
                <w:szCs w:val="24"/>
              </w:rPr>
              <w:t xml:space="preserve"> priėmimo </w:t>
            </w:r>
            <w:r w:rsidR="007B3838">
              <w:rPr>
                <w:szCs w:val="24"/>
              </w:rPr>
              <w:t xml:space="preserve">minėtuose </w:t>
            </w:r>
            <w:r w:rsidRPr="009D1C2D">
              <w:rPr>
                <w:szCs w:val="24"/>
              </w:rPr>
              <w:t>punkt</w:t>
            </w:r>
            <w:r w:rsidR="007B3838">
              <w:rPr>
                <w:szCs w:val="24"/>
              </w:rPr>
              <w:t>uose</w:t>
            </w:r>
            <w:r w:rsidRPr="009D1C2D">
              <w:rPr>
                <w:szCs w:val="24"/>
              </w:rPr>
              <w:t xml:space="preserve"> numatyt</w:t>
            </w:r>
            <w:r w:rsidR="007B3838">
              <w:rPr>
                <w:szCs w:val="24"/>
              </w:rPr>
              <w:t>ais</w:t>
            </w:r>
            <w:r w:rsidRPr="009D1C2D">
              <w:rPr>
                <w:szCs w:val="24"/>
              </w:rPr>
              <w:t xml:space="preserve"> atvej</w:t>
            </w:r>
            <w:r w:rsidR="007B3838">
              <w:rPr>
                <w:szCs w:val="24"/>
              </w:rPr>
              <w:t>ais</w:t>
            </w:r>
            <w:r w:rsidRPr="009D1C2D">
              <w:rPr>
                <w:szCs w:val="24"/>
              </w:rPr>
              <w:t>.</w:t>
            </w:r>
          </w:p>
        </w:tc>
      </w:tr>
      <w:tr w:rsidR="00D951D8" w:rsidRPr="009D1C2D" w14:paraId="3A687045" w14:textId="77777777" w:rsidTr="003D1446">
        <w:tc>
          <w:tcPr>
            <w:tcW w:w="571" w:type="dxa"/>
            <w:vMerge/>
            <w:shd w:val="clear" w:color="auto" w:fill="auto"/>
          </w:tcPr>
          <w:p w14:paraId="5041FE46" w14:textId="77777777" w:rsidR="00D951D8" w:rsidRPr="009D1C2D" w:rsidRDefault="00D951D8" w:rsidP="00774875">
            <w:pPr>
              <w:pStyle w:val="Sraopastraipa"/>
              <w:tabs>
                <w:tab w:val="left" w:pos="240"/>
              </w:tabs>
              <w:ind w:left="0"/>
              <w:jc w:val="both"/>
              <w:rPr>
                <w:szCs w:val="24"/>
                <w:lang w:val="lt-LT"/>
              </w:rPr>
            </w:pPr>
          </w:p>
        </w:tc>
        <w:tc>
          <w:tcPr>
            <w:tcW w:w="1584" w:type="dxa"/>
            <w:vMerge/>
            <w:shd w:val="clear" w:color="auto" w:fill="auto"/>
          </w:tcPr>
          <w:p w14:paraId="0EC49B2D" w14:textId="77777777" w:rsidR="00D951D8" w:rsidRPr="009D1C2D" w:rsidRDefault="00D951D8" w:rsidP="00774875">
            <w:pPr>
              <w:jc w:val="both"/>
              <w:rPr>
                <w:b/>
                <w:bCs/>
                <w:szCs w:val="24"/>
              </w:rPr>
            </w:pPr>
          </w:p>
        </w:tc>
        <w:tc>
          <w:tcPr>
            <w:tcW w:w="5211" w:type="dxa"/>
            <w:shd w:val="clear" w:color="auto" w:fill="auto"/>
          </w:tcPr>
          <w:p w14:paraId="2781B55C" w14:textId="4E5249D1" w:rsidR="00D951D8" w:rsidRPr="009D1C2D" w:rsidRDefault="00D951D8" w:rsidP="009D183E">
            <w:pPr>
              <w:suppressAutoHyphens/>
              <w:jc w:val="both"/>
              <w:rPr>
                <w:color w:val="000000" w:themeColor="text1"/>
                <w:szCs w:val="24"/>
              </w:rPr>
            </w:pPr>
            <w:r w:rsidRPr="000A28E7">
              <w:rPr>
                <w:color w:val="000000" w:themeColor="text1"/>
                <w:szCs w:val="24"/>
              </w:rPr>
              <w:t xml:space="preserve">21. Atsižvelgiant į tai, kad patikrinimo akte būtų fiksuojamos tik faktinės aplinkybės, o jų pagrindu dar turėtų būti atliekami perskaičiavimai nustatant kompensuotinas ir nekompensuotinas prašyme nurodytas išlaidas, manytina, tik atlikus </w:t>
            </w:r>
            <w:r w:rsidRPr="000A28E7">
              <w:rPr>
                <w:color w:val="000000" w:themeColor="text1"/>
                <w:szCs w:val="24"/>
              </w:rPr>
              <w:lastRenderedPageBreak/>
              <w:t>perskaičiavimą, pakeitus sprendimą dėl kompensavimo  ir apie tai  informavus prašymo teikėją, jam turėtų atsirasti pareiga grąžinti permoką. Be to, praktikoje asmenys, įgalioti atlikti patikrą vietoje ir surašyti patikros aktą ir sprendimą dėl išlaidų kompensavimo, gali nesutapti. Atsižvelgiant į tai, ir terminas permokėtos kompensacijos grąžinimui turėtų būti nustatomas nuo asmens informavimo apie priimtą sprendimą momento (taisyklių 33 p.). Be to, įvertinant tai, kad kompensacija gali būti išmokama per 3 metus (taisyklių 38 p.), o patikra gali būti atliekama 10 metų po kompensacijos išmokėjimo (taisyklių 30 p.), siūlome įvertinti patikros atlikimo termino proporcingumą bei pareigos grąžinti kompensaciją termino (taisyklių 33 p.) pagrįstumą (kai asmuo jau gali būti išleidęs gautus pinigus). Taip pat atkreiptinas dėmesys, kad per 10 metų terminą objekto, dėl kurio buvo mokėta kompensacija, savininkas gali būti (ne kartą) pasikeitęs, todėl turėtų būti užtikrintas Kompensacijas išmokančio subjekto turimų duomenų, apie tai, kaip turėtų būti informuojamas Prašymo teikėjas, atnaujinimas. Be to, pasikeitus savininkui patikra, nesutinkant naujam savininkui, būtų neįmanoma, o ir savininkui nepasikeitus vargu ar būtų pagrįsta, kadangi pats kompensacijos išmokėjimas nesukelia tęstinių pasekmių (pvz., išlaikyti statinio fizines savybės), o kompensavimo santykiai jau būtų pasibaigę (kompensacija išmokėta). Atsižvelgiant į visa tai, manome, kad patikra turėtų (galėtų) būti atliekama iki sprendimo dėl kompensacijos priėmimo.</w:t>
            </w:r>
          </w:p>
        </w:tc>
        <w:tc>
          <w:tcPr>
            <w:tcW w:w="7797" w:type="dxa"/>
            <w:shd w:val="clear" w:color="auto" w:fill="auto"/>
          </w:tcPr>
          <w:p w14:paraId="38BC6FA2" w14:textId="7E116CCB" w:rsidR="00D951D8" w:rsidRDefault="00D951D8" w:rsidP="00AB7391">
            <w:pPr>
              <w:jc w:val="both"/>
              <w:rPr>
                <w:b/>
                <w:szCs w:val="24"/>
              </w:rPr>
            </w:pPr>
            <w:r w:rsidRPr="009D1C2D">
              <w:rPr>
                <w:b/>
                <w:szCs w:val="24"/>
              </w:rPr>
              <w:lastRenderedPageBreak/>
              <w:t>Atsižvelgta iš dalies</w:t>
            </w:r>
            <w:r w:rsidR="00820EB1">
              <w:rPr>
                <w:b/>
                <w:szCs w:val="24"/>
              </w:rPr>
              <w:t>.</w:t>
            </w:r>
          </w:p>
          <w:p w14:paraId="521D2538" w14:textId="06391DA7" w:rsidR="00D951D8" w:rsidRDefault="00D951D8" w:rsidP="00AB7391">
            <w:pPr>
              <w:jc w:val="both"/>
              <w:rPr>
                <w:szCs w:val="24"/>
              </w:rPr>
            </w:pPr>
            <w:r w:rsidRPr="003C4639">
              <w:rPr>
                <w:szCs w:val="24"/>
              </w:rPr>
              <w:t>Taisyklių</w:t>
            </w:r>
            <w:r>
              <w:rPr>
                <w:szCs w:val="24"/>
              </w:rPr>
              <w:t xml:space="preserve"> </w:t>
            </w:r>
            <w:r w:rsidR="00847BD6">
              <w:rPr>
                <w:szCs w:val="24"/>
              </w:rPr>
              <w:t>37 ir 38</w:t>
            </w:r>
            <w:r>
              <w:rPr>
                <w:szCs w:val="24"/>
              </w:rPr>
              <w:t xml:space="preserve"> punkta</w:t>
            </w:r>
            <w:r w:rsidR="00847BD6">
              <w:rPr>
                <w:szCs w:val="24"/>
              </w:rPr>
              <w:t>i</w:t>
            </w:r>
            <w:r>
              <w:rPr>
                <w:szCs w:val="24"/>
              </w:rPr>
              <w:t xml:space="preserve"> patikslint</w:t>
            </w:r>
            <w:r w:rsidR="00847BD6">
              <w:rPr>
                <w:szCs w:val="24"/>
              </w:rPr>
              <w:t>i</w:t>
            </w:r>
            <w:r w:rsidR="00F80EF0">
              <w:rPr>
                <w:szCs w:val="24"/>
              </w:rPr>
              <w:t xml:space="preserve"> –</w:t>
            </w:r>
            <w:r>
              <w:rPr>
                <w:szCs w:val="24"/>
              </w:rPr>
              <w:t xml:space="preserve"> </w:t>
            </w:r>
            <w:r w:rsidR="00791469">
              <w:rPr>
                <w:szCs w:val="24"/>
              </w:rPr>
              <w:t>nustat</w:t>
            </w:r>
            <w:r w:rsidR="00F80EF0">
              <w:rPr>
                <w:szCs w:val="24"/>
              </w:rPr>
              <w:t>y</w:t>
            </w:r>
            <w:r w:rsidR="00791469">
              <w:rPr>
                <w:szCs w:val="24"/>
              </w:rPr>
              <w:t>t</w:t>
            </w:r>
            <w:r w:rsidR="00F80EF0">
              <w:rPr>
                <w:szCs w:val="24"/>
              </w:rPr>
              <w:t>as</w:t>
            </w:r>
            <w:r w:rsidR="00791469">
              <w:rPr>
                <w:szCs w:val="24"/>
              </w:rPr>
              <w:t xml:space="preserve"> aiškesn</w:t>
            </w:r>
            <w:r w:rsidR="00F80EF0">
              <w:rPr>
                <w:szCs w:val="24"/>
              </w:rPr>
              <w:t>is</w:t>
            </w:r>
            <w:r w:rsidR="004450C6">
              <w:rPr>
                <w:szCs w:val="24"/>
              </w:rPr>
              <w:t xml:space="preserve"> reglamentavim</w:t>
            </w:r>
            <w:r w:rsidR="00F80EF0">
              <w:rPr>
                <w:szCs w:val="24"/>
              </w:rPr>
              <w:t>as</w:t>
            </w:r>
            <w:r>
              <w:rPr>
                <w:szCs w:val="24"/>
              </w:rPr>
              <w:t xml:space="preserve"> </w:t>
            </w:r>
            <w:r w:rsidR="00820EB1">
              <w:rPr>
                <w:szCs w:val="24"/>
              </w:rPr>
              <w:t>p</w:t>
            </w:r>
            <w:r>
              <w:rPr>
                <w:szCs w:val="24"/>
              </w:rPr>
              <w:t>rašymo teikėjui apie priimt</w:t>
            </w:r>
            <w:r w:rsidR="00847BD6">
              <w:rPr>
                <w:szCs w:val="24"/>
              </w:rPr>
              <w:t>us</w:t>
            </w:r>
            <w:r>
              <w:rPr>
                <w:szCs w:val="24"/>
              </w:rPr>
              <w:t xml:space="preserve"> sprendim</w:t>
            </w:r>
            <w:r w:rsidR="00847BD6">
              <w:rPr>
                <w:szCs w:val="24"/>
              </w:rPr>
              <w:t>us</w:t>
            </w:r>
            <w:r>
              <w:rPr>
                <w:szCs w:val="24"/>
              </w:rPr>
              <w:t xml:space="preserve"> bei informavimą apie j</w:t>
            </w:r>
            <w:r w:rsidR="00847BD6">
              <w:rPr>
                <w:szCs w:val="24"/>
              </w:rPr>
              <w:t>uos</w:t>
            </w:r>
            <w:r>
              <w:rPr>
                <w:szCs w:val="24"/>
              </w:rPr>
              <w:t>.</w:t>
            </w:r>
          </w:p>
          <w:p w14:paraId="3617641D" w14:textId="58333428" w:rsidR="00D951D8" w:rsidRPr="003C4639" w:rsidRDefault="00D951D8" w:rsidP="00E02F40">
            <w:pPr>
              <w:jc w:val="both"/>
              <w:rPr>
                <w:szCs w:val="24"/>
              </w:rPr>
            </w:pPr>
            <w:r>
              <w:rPr>
                <w:szCs w:val="24"/>
              </w:rPr>
              <w:t xml:space="preserve">Taip pat </w:t>
            </w:r>
            <w:r w:rsidR="009B78B4">
              <w:rPr>
                <w:szCs w:val="24"/>
              </w:rPr>
              <w:t xml:space="preserve">trumpinamas </w:t>
            </w:r>
            <w:r>
              <w:rPr>
                <w:szCs w:val="24"/>
              </w:rPr>
              <w:t xml:space="preserve">bendras </w:t>
            </w:r>
            <w:r w:rsidR="009B78B4">
              <w:rPr>
                <w:szCs w:val="24"/>
              </w:rPr>
              <w:t xml:space="preserve">teisės atlikti patikrą </w:t>
            </w:r>
            <w:r>
              <w:rPr>
                <w:szCs w:val="24"/>
              </w:rPr>
              <w:t xml:space="preserve">10 metų terminas </w:t>
            </w:r>
            <w:r w:rsidR="009B78B4">
              <w:rPr>
                <w:szCs w:val="24"/>
              </w:rPr>
              <w:t>–</w:t>
            </w:r>
            <w:r>
              <w:rPr>
                <w:szCs w:val="24"/>
              </w:rPr>
              <w:t xml:space="preserve"> pakeičiamas į </w:t>
            </w:r>
            <w:r w:rsidR="001C59AB">
              <w:rPr>
                <w:szCs w:val="24"/>
              </w:rPr>
              <w:t>3</w:t>
            </w:r>
            <w:r>
              <w:rPr>
                <w:szCs w:val="24"/>
              </w:rPr>
              <w:t xml:space="preserve"> metų terminą</w:t>
            </w:r>
            <w:r w:rsidR="00A94C18">
              <w:rPr>
                <w:szCs w:val="24"/>
              </w:rPr>
              <w:t xml:space="preserve"> </w:t>
            </w:r>
            <w:r w:rsidR="009A0865">
              <w:rPr>
                <w:szCs w:val="24"/>
              </w:rPr>
              <w:t>(Taisyklių 3</w:t>
            </w:r>
            <w:r w:rsidR="00847BD6">
              <w:rPr>
                <w:szCs w:val="24"/>
              </w:rPr>
              <w:t>3</w:t>
            </w:r>
            <w:r w:rsidR="009A0865">
              <w:rPr>
                <w:szCs w:val="24"/>
              </w:rPr>
              <w:t xml:space="preserve"> punktas). </w:t>
            </w:r>
            <w:r w:rsidR="00A94C18">
              <w:rPr>
                <w:szCs w:val="24"/>
              </w:rPr>
              <w:t>P</w:t>
            </w:r>
            <w:r>
              <w:rPr>
                <w:szCs w:val="24"/>
              </w:rPr>
              <w:t xml:space="preserve">apildomai pažymėtina, </w:t>
            </w:r>
            <w:r>
              <w:rPr>
                <w:szCs w:val="24"/>
              </w:rPr>
              <w:lastRenderedPageBreak/>
              <w:t xml:space="preserve">kad </w:t>
            </w:r>
            <w:r w:rsidR="009B78B4">
              <w:rPr>
                <w:szCs w:val="24"/>
              </w:rPr>
              <w:t>k</w:t>
            </w:r>
            <w:r>
              <w:rPr>
                <w:szCs w:val="24"/>
              </w:rPr>
              <w:t xml:space="preserve">ompensacijas išmokantis subjektas negali prisiimti neproporcingai didelių </w:t>
            </w:r>
            <w:r w:rsidR="009B78B4">
              <w:rPr>
                <w:szCs w:val="24"/>
              </w:rPr>
              <w:t xml:space="preserve">išlaidų ir </w:t>
            </w:r>
            <w:r>
              <w:rPr>
                <w:szCs w:val="24"/>
              </w:rPr>
              <w:t>atlikti privalom</w:t>
            </w:r>
            <w:r w:rsidR="009B78B4">
              <w:rPr>
                <w:szCs w:val="24"/>
              </w:rPr>
              <w:t>o</w:t>
            </w:r>
            <w:r>
              <w:rPr>
                <w:szCs w:val="24"/>
              </w:rPr>
              <w:t>s patikr</w:t>
            </w:r>
            <w:r w:rsidR="009B78B4">
              <w:rPr>
                <w:szCs w:val="24"/>
              </w:rPr>
              <w:t>o</w:t>
            </w:r>
            <w:r>
              <w:rPr>
                <w:szCs w:val="24"/>
              </w:rPr>
              <w:t xml:space="preserve">s kiekvienu atveju iki išmokant kompensacijas. Atkreiptinas dėmesys ir į tai, kad objekto savininkas gali būti pasikeitęs ir po savaitės ar mėnesio, tad tokiu atveju </w:t>
            </w:r>
            <w:r w:rsidR="009B78B4">
              <w:rPr>
                <w:szCs w:val="24"/>
              </w:rPr>
              <w:t>k</w:t>
            </w:r>
            <w:r>
              <w:rPr>
                <w:szCs w:val="24"/>
              </w:rPr>
              <w:t xml:space="preserve">ompensacijas išmokančiam subjektui tokias rizikas suvaldyti apskritai yra neįmanoma. </w:t>
            </w:r>
            <w:r w:rsidRPr="00791469">
              <w:rPr>
                <w:szCs w:val="24"/>
              </w:rPr>
              <w:t>Taisyklėse</w:t>
            </w:r>
            <w:r>
              <w:rPr>
                <w:szCs w:val="24"/>
              </w:rPr>
              <w:t xml:space="preserve"> nustatyta tvarka informuoti </w:t>
            </w:r>
            <w:r w:rsidR="009B78B4">
              <w:rPr>
                <w:szCs w:val="24"/>
              </w:rPr>
              <w:t>p</w:t>
            </w:r>
            <w:r>
              <w:rPr>
                <w:szCs w:val="24"/>
              </w:rPr>
              <w:t xml:space="preserve">rašymų teikėjai patys turi būti suinteresuoti tinkamu savo teisių įgyvendinimu ir būti rūpestingi </w:t>
            </w:r>
            <w:r w:rsidR="009B78B4">
              <w:rPr>
                <w:szCs w:val="24"/>
              </w:rPr>
              <w:t xml:space="preserve">ir </w:t>
            </w:r>
            <w:r>
              <w:rPr>
                <w:szCs w:val="24"/>
              </w:rPr>
              <w:t xml:space="preserve">nepiktnaudžiauti teise į kompensaciją. </w:t>
            </w:r>
          </w:p>
        </w:tc>
      </w:tr>
      <w:tr w:rsidR="00096A9C" w:rsidRPr="009D1C2D" w14:paraId="585D606E" w14:textId="77777777" w:rsidTr="003D1446">
        <w:tc>
          <w:tcPr>
            <w:tcW w:w="571" w:type="dxa"/>
            <w:shd w:val="clear" w:color="auto" w:fill="auto"/>
          </w:tcPr>
          <w:p w14:paraId="5C980579" w14:textId="2CE0592A" w:rsidR="00096A9C" w:rsidRPr="009D1C2D" w:rsidRDefault="000A28E7" w:rsidP="00774875">
            <w:pPr>
              <w:pStyle w:val="Sraopastraipa"/>
              <w:tabs>
                <w:tab w:val="left" w:pos="240"/>
              </w:tabs>
              <w:ind w:left="0"/>
              <w:jc w:val="both"/>
              <w:rPr>
                <w:szCs w:val="24"/>
                <w:lang w:val="lt-LT"/>
              </w:rPr>
            </w:pPr>
            <w:r>
              <w:rPr>
                <w:szCs w:val="24"/>
                <w:lang w:val="lt-LT"/>
              </w:rPr>
              <w:lastRenderedPageBreak/>
              <w:t>2</w:t>
            </w:r>
            <w:r w:rsidR="009B78B4">
              <w:rPr>
                <w:szCs w:val="24"/>
                <w:lang w:val="lt-LT"/>
              </w:rPr>
              <w:t>.</w:t>
            </w:r>
          </w:p>
        </w:tc>
        <w:tc>
          <w:tcPr>
            <w:tcW w:w="1584" w:type="dxa"/>
            <w:shd w:val="clear" w:color="auto" w:fill="auto"/>
          </w:tcPr>
          <w:p w14:paraId="4F16C8AD" w14:textId="1364875E" w:rsidR="00096A9C" w:rsidRPr="00791469" w:rsidRDefault="00096A9C" w:rsidP="00774875">
            <w:pPr>
              <w:jc w:val="both"/>
              <w:rPr>
                <w:szCs w:val="24"/>
              </w:rPr>
            </w:pPr>
            <w:r w:rsidRPr="00791469">
              <w:rPr>
                <w:szCs w:val="24"/>
              </w:rPr>
              <w:t>Vidaus reikalų ministerij</w:t>
            </w:r>
            <w:r w:rsidR="009B78B4" w:rsidRPr="00791469">
              <w:rPr>
                <w:szCs w:val="24"/>
              </w:rPr>
              <w:t>os</w:t>
            </w:r>
            <w:r w:rsidRPr="00791469">
              <w:rPr>
                <w:szCs w:val="24"/>
              </w:rPr>
              <w:t xml:space="preserve"> </w:t>
            </w:r>
            <w:r w:rsidRPr="00791469">
              <w:rPr>
                <w:szCs w:val="24"/>
              </w:rPr>
              <w:lastRenderedPageBreak/>
              <w:t xml:space="preserve">2019-10-28 </w:t>
            </w:r>
            <w:r w:rsidR="009B78B4" w:rsidRPr="00791469">
              <w:rPr>
                <w:szCs w:val="24"/>
              </w:rPr>
              <w:t xml:space="preserve">raštas </w:t>
            </w:r>
            <w:r w:rsidR="009B78B4" w:rsidRPr="00791469">
              <w:rPr>
                <w:szCs w:val="24"/>
              </w:rPr>
              <w:br/>
            </w:r>
            <w:r w:rsidRPr="00791469">
              <w:rPr>
                <w:szCs w:val="24"/>
              </w:rPr>
              <w:t>Nr. 1D-5376</w:t>
            </w:r>
          </w:p>
        </w:tc>
        <w:tc>
          <w:tcPr>
            <w:tcW w:w="5211" w:type="dxa"/>
            <w:shd w:val="clear" w:color="auto" w:fill="auto"/>
          </w:tcPr>
          <w:p w14:paraId="4BD1DA93" w14:textId="77777777" w:rsidR="008A1EF1" w:rsidRPr="000A28E7" w:rsidRDefault="00096A9C" w:rsidP="008A1EF1">
            <w:pPr>
              <w:jc w:val="both"/>
              <w:rPr>
                <w:color w:val="000000" w:themeColor="text1"/>
                <w:szCs w:val="24"/>
              </w:rPr>
            </w:pPr>
            <w:r w:rsidRPr="000A28E7">
              <w:rPr>
                <w:color w:val="000000" w:themeColor="text1"/>
                <w:szCs w:val="24"/>
              </w:rPr>
              <w:lastRenderedPageBreak/>
              <w:t xml:space="preserve">3. </w:t>
            </w:r>
            <w:r w:rsidR="008A1EF1" w:rsidRPr="000A28E7">
              <w:rPr>
                <w:color w:val="000000" w:themeColor="text1"/>
                <w:szCs w:val="24"/>
              </w:rPr>
              <w:t xml:space="preserve">Taisyklių projekto 25 punkte nustatyta, kokius dokumentus ir jų patvirtintas kopijas turi pateikti prašymo dėl kompensacijos už triukšmo mažinimo </w:t>
            </w:r>
            <w:r w:rsidR="008A1EF1" w:rsidRPr="000A28E7">
              <w:rPr>
                <w:color w:val="000000" w:themeColor="text1"/>
                <w:szCs w:val="24"/>
              </w:rPr>
              <w:lastRenderedPageBreak/>
              <w:t>priemones teikėjas kartu su prašymu, kurio pavyzdinė forma pateikta Taisyklių projekto 2 priede. Atkreiptinas dėmesys, kad kai kuriuos Taisyklių projekto 25 punkte minimus dokumentus išduoda valstybės įmonė Registrų centras iš jos tvarkomų Juridinių asmenų, Nekilnojamojo turto ir Įgaliojimų registrų (25.1, 25.2, 25.5, 25.13 papunkčiai), o Taisyklių projekto 25.10 papunktyje numatytą statybos leidimą (dėl triukšmo mažinimo priemonių įgyvendinimo) – savivaldybių administracijos per informacinę sistemą „</w:t>
            </w:r>
            <w:proofErr w:type="spellStart"/>
            <w:r w:rsidR="008A1EF1" w:rsidRPr="000A28E7">
              <w:rPr>
                <w:color w:val="000000" w:themeColor="text1"/>
                <w:szCs w:val="24"/>
              </w:rPr>
              <w:t>Infostatyba</w:t>
            </w:r>
            <w:proofErr w:type="spellEnd"/>
            <w:r w:rsidR="008A1EF1" w:rsidRPr="000A28E7">
              <w:rPr>
                <w:color w:val="000000" w:themeColor="text1"/>
                <w:szCs w:val="24"/>
              </w:rPr>
              <w:t xml:space="preserve">“.  </w:t>
            </w:r>
          </w:p>
          <w:p w14:paraId="4CBB1B1C" w14:textId="77777777" w:rsidR="008A1EF1" w:rsidRPr="000A28E7" w:rsidRDefault="008A1EF1" w:rsidP="008A1EF1">
            <w:pPr>
              <w:jc w:val="both"/>
              <w:rPr>
                <w:color w:val="000000" w:themeColor="text1"/>
                <w:szCs w:val="24"/>
              </w:rPr>
            </w:pPr>
            <w:r w:rsidRPr="000A28E7">
              <w:rPr>
                <w:color w:val="000000" w:themeColor="text1"/>
                <w:szCs w:val="24"/>
              </w:rPr>
              <w:t xml:space="preserve">Atsižvelgdami į tai ir siekdami mažinti asmenims tenkančią administracinę naštą, siūlytume įvertinti galimybę atsisakyti reikalavimo šiuos dokumentus prašymo teikėjui pateikti kartu su prašymu, o juos gauti tiesiogiai iš prieš tai paminėtų įstaigų ar jų tvarkomų valstybės registrų ir informacinių sistemų. </w:t>
            </w:r>
          </w:p>
          <w:p w14:paraId="410BD59E" w14:textId="77777777" w:rsidR="008A1EF1" w:rsidRPr="000A28E7" w:rsidRDefault="008A1EF1" w:rsidP="008A1EF1">
            <w:pPr>
              <w:jc w:val="both"/>
              <w:rPr>
                <w:color w:val="000000" w:themeColor="text1"/>
                <w:szCs w:val="24"/>
              </w:rPr>
            </w:pPr>
            <w:r w:rsidRPr="000A28E7">
              <w:rPr>
                <w:color w:val="000000" w:themeColor="text1"/>
                <w:szCs w:val="24"/>
              </w:rPr>
              <w:t xml:space="preserve">Manytume, kad vietoj reikalavimo pateikti tam tikrą dokumentą galėtų būti nustatytas reikalavimas pateikti dokumento duomenis – dokumento registracijos datą ir numerį. </w:t>
            </w:r>
          </w:p>
          <w:p w14:paraId="381D66E5" w14:textId="7E0EDD12" w:rsidR="00096A9C" w:rsidRPr="009D1C2D" w:rsidRDefault="008A1EF1" w:rsidP="008A1EF1">
            <w:pPr>
              <w:jc w:val="both"/>
              <w:rPr>
                <w:color w:val="000000" w:themeColor="text1"/>
                <w:szCs w:val="24"/>
              </w:rPr>
            </w:pPr>
            <w:r w:rsidRPr="000A28E7">
              <w:rPr>
                <w:color w:val="000000" w:themeColor="text1"/>
                <w:szCs w:val="24"/>
              </w:rPr>
              <w:t>Atitinkamai tikslintina ir Taisyklių projekto 2 priede numatyta Prašymo kompensuoti triukšmo mažinimo priemonių įgyvendinimo išlaidas forma.</w:t>
            </w:r>
          </w:p>
        </w:tc>
        <w:tc>
          <w:tcPr>
            <w:tcW w:w="7797" w:type="dxa"/>
            <w:shd w:val="clear" w:color="auto" w:fill="auto"/>
          </w:tcPr>
          <w:p w14:paraId="2A5EBE2D" w14:textId="1C9251BD" w:rsidR="00CB0DB2" w:rsidRDefault="008A1EF1" w:rsidP="00774875">
            <w:pPr>
              <w:jc w:val="both"/>
              <w:rPr>
                <w:b/>
                <w:szCs w:val="24"/>
              </w:rPr>
            </w:pPr>
            <w:r w:rsidRPr="009D1C2D">
              <w:rPr>
                <w:b/>
                <w:szCs w:val="24"/>
              </w:rPr>
              <w:lastRenderedPageBreak/>
              <w:t>Atsižvelgta iš dalies</w:t>
            </w:r>
            <w:r w:rsidR="009B78B4">
              <w:rPr>
                <w:b/>
                <w:szCs w:val="24"/>
              </w:rPr>
              <w:t>.</w:t>
            </w:r>
          </w:p>
          <w:p w14:paraId="5B01350F" w14:textId="3F64CDFB" w:rsidR="008A1EF1" w:rsidRPr="00C97316" w:rsidRDefault="00FC27C1" w:rsidP="00774875">
            <w:pPr>
              <w:jc w:val="both"/>
              <w:rPr>
                <w:szCs w:val="24"/>
              </w:rPr>
            </w:pPr>
            <w:r w:rsidRPr="00FC27C1">
              <w:rPr>
                <w:szCs w:val="24"/>
              </w:rPr>
              <w:t>Atsižvelgiant į tai, jog</w:t>
            </w:r>
            <w:r>
              <w:rPr>
                <w:szCs w:val="24"/>
              </w:rPr>
              <w:t xml:space="preserve"> </w:t>
            </w:r>
            <w:r w:rsidR="009B78B4">
              <w:rPr>
                <w:szCs w:val="24"/>
              </w:rPr>
              <w:t>k</w:t>
            </w:r>
            <w:r w:rsidR="006933F4">
              <w:rPr>
                <w:szCs w:val="24"/>
              </w:rPr>
              <w:t xml:space="preserve">ompensacijas </w:t>
            </w:r>
            <w:r w:rsidR="00F67A66">
              <w:rPr>
                <w:szCs w:val="24"/>
              </w:rPr>
              <w:t xml:space="preserve">išmokantis subjektas turėtų galimybę prieiti prie </w:t>
            </w:r>
            <w:r w:rsidR="00F67A66" w:rsidRPr="00F67A66">
              <w:rPr>
                <w:szCs w:val="24"/>
              </w:rPr>
              <w:t>valstybės įmonė</w:t>
            </w:r>
            <w:r w:rsidR="00F67A66">
              <w:rPr>
                <w:szCs w:val="24"/>
              </w:rPr>
              <w:t>s</w:t>
            </w:r>
            <w:r w:rsidR="00F67A66" w:rsidRPr="00F67A66">
              <w:rPr>
                <w:szCs w:val="24"/>
              </w:rPr>
              <w:t xml:space="preserve"> Registrų centr</w:t>
            </w:r>
            <w:r w:rsidR="00F67A66">
              <w:rPr>
                <w:szCs w:val="24"/>
              </w:rPr>
              <w:t xml:space="preserve">o ir </w:t>
            </w:r>
            <w:r w:rsidR="00F67A66" w:rsidRPr="00F67A66">
              <w:rPr>
                <w:szCs w:val="24"/>
              </w:rPr>
              <w:t>jos tvarkomų Juridinių asmenų</w:t>
            </w:r>
            <w:r w:rsidR="00F67A66">
              <w:rPr>
                <w:szCs w:val="24"/>
              </w:rPr>
              <w:t xml:space="preserve"> </w:t>
            </w:r>
            <w:r w:rsidR="00F67A66">
              <w:rPr>
                <w:szCs w:val="24"/>
              </w:rPr>
              <w:lastRenderedPageBreak/>
              <w:t xml:space="preserve">bei </w:t>
            </w:r>
            <w:r w:rsidR="00F67A66" w:rsidRPr="00F67A66">
              <w:rPr>
                <w:szCs w:val="24"/>
              </w:rPr>
              <w:t>Nekilnojamojo turto</w:t>
            </w:r>
            <w:r w:rsidR="00F67A66">
              <w:rPr>
                <w:szCs w:val="24"/>
              </w:rPr>
              <w:t xml:space="preserve"> registrų, Taisyklių 25.1 ir 25.2 papunkčiai išbrauk</w:t>
            </w:r>
            <w:r w:rsidR="000B10D1">
              <w:rPr>
                <w:szCs w:val="24"/>
              </w:rPr>
              <w:t>t</w:t>
            </w:r>
            <w:r w:rsidR="00F67A66">
              <w:rPr>
                <w:szCs w:val="24"/>
              </w:rPr>
              <w:t>i (atitinkamai pat</w:t>
            </w:r>
            <w:r w:rsidR="000B10D1">
              <w:rPr>
                <w:szCs w:val="24"/>
              </w:rPr>
              <w:t>ikslintas</w:t>
            </w:r>
            <w:r w:rsidR="00F67A66">
              <w:rPr>
                <w:szCs w:val="24"/>
              </w:rPr>
              <w:t xml:space="preserve"> ir Taisyklių 2 pried</w:t>
            </w:r>
            <w:r w:rsidR="000B10D1">
              <w:rPr>
                <w:szCs w:val="24"/>
              </w:rPr>
              <w:t>as</w:t>
            </w:r>
            <w:r w:rsidR="00F67A66">
              <w:rPr>
                <w:szCs w:val="24"/>
              </w:rPr>
              <w:t>). Pažymėtina, kad informacinės sistemos ,,</w:t>
            </w:r>
            <w:proofErr w:type="spellStart"/>
            <w:r w:rsidR="00F67A66">
              <w:rPr>
                <w:szCs w:val="24"/>
              </w:rPr>
              <w:t>Infostatyba</w:t>
            </w:r>
            <w:proofErr w:type="spellEnd"/>
            <w:r w:rsidR="00F67A66">
              <w:rPr>
                <w:szCs w:val="24"/>
              </w:rPr>
              <w:t xml:space="preserve">“ duomenys visa apimtimi nėra laisvai prieinami, o </w:t>
            </w:r>
            <w:r w:rsidR="009B78B4">
              <w:rPr>
                <w:szCs w:val="24"/>
              </w:rPr>
              <w:t>k</w:t>
            </w:r>
            <w:r w:rsidR="00F67A66">
              <w:rPr>
                <w:szCs w:val="24"/>
              </w:rPr>
              <w:t xml:space="preserve">ompensacijas išmokantis subjektas turi įvertinti visą statybą leidžiančio dokumento turinį </w:t>
            </w:r>
            <w:r w:rsidR="009B78B4">
              <w:rPr>
                <w:szCs w:val="24"/>
              </w:rPr>
              <w:t xml:space="preserve">ir </w:t>
            </w:r>
            <w:r w:rsidR="00F67A66">
              <w:rPr>
                <w:szCs w:val="24"/>
              </w:rPr>
              <w:t xml:space="preserve">įsitikinti, kad </w:t>
            </w:r>
            <w:r w:rsidR="009B78B4">
              <w:rPr>
                <w:szCs w:val="24"/>
              </w:rPr>
              <w:t>p</w:t>
            </w:r>
            <w:r w:rsidR="00F67A66">
              <w:rPr>
                <w:szCs w:val="24"/>
              </w:rPr>
              <w:t xml:space="preserve">rašymo teikėjas pateikė teisingą informaciją apie triukšmo mažinimo priemonių įgyvendinimą, </w:t>
            </w:r>
            <w:r w:rsidR="009B78B4">
              <w:rPr>
                <w:szCs w:val="24"/>
              </w:rPr>
              <w:t>todėl</w:t>
            </w:r>
            <w:r w:rsidR="00F67A66">
              <w:rPr>
                <w:szCs w:val="24"/>
              </w:rPr>
              <w:t xml:space="preserve"> reikalavimas pateikti minėtą dokumentą yra būtinas. Taip pat atkreiptinas dėmesys, jog </w:t>
            </w:r>
            <w:r w:rsidR="009B78B4">
              <w:rPr>
                <w:szCs w:val="24"/>
              </w:rPr>
              <w:t>p</w:t>
            </w:r>
            <w:r w:rsidR="00F67A66">
              <w:rPr>
                <w:szCs w:val="24"/>
              </w:rPr>
              <w:t xml:space="preserve">rašymo teikėjo įgaliotinis bet kuriuo atveju atstovaudamas </w:t>
            </w:r>
            <w:r w:rsidR="009B78B4">
              <w:rPr>
                <w:szCs w:val="24"/>
              </w:rPr>
              <w:t>p</w:t>
            </w:r>
            <w:r w:rsidR="00F67A66">
              <w:rPr>
                <w:szCs w:val="24"/>
              </w:rPr>
              <w:t>rašymo teikėj</w:t>
            </w:r>
            <w:r w:rsidR="009B78B4">
              <w:rPr>
                <w:szCs w:val="24"/>
              </w:rPr>
              <w:t>ui</w:t>
            </w:r>
            <w:r w:rsidR="00F67A66">
              <w:rPr>
                <w:szCs w:val="24"/>
              </w:rPr>
              <w:t xml:space="preserve"> veikia turimo įgaliojimo (disponuodamas dokumento originalu) pagrindu, todėl reikalavimas pateikti minėtą dokumentą nėra p</w:t>
            </w:r>
            <w:r w:rsidR="00C97316">
              <w:rPr>
                <w:szCs w:val="24"/>
              </w:rPr>
              <w:t>e</w:t>
            </w:r>
            <w:r w:rsidR="00F67A66">
              <w:rPr>
                <w:szCs w:val="24"/>
              </w:rPr>
              <w:t xml:space="preserve">rteklinis. </w:t>
            </w:r>
          </w:p>
        </w:tc>
      </w:tr>
    </w:tbl>
    <w:p w14:paraId="4A7CC0E3" w14:textId="77777777" w:rsidR="0026408D" w:rsidRPr="009D1C2D" w:rsidRDefault="0026408D" w:rsidP="00774875">
      <w:pPr>
        <w:jc w:val="both"/>
        <w:rPr>
          <w:szCs w:val="24"/>
        </w:rPr>
      </w:pPr>
    </w:p>
    <w:sectPr w:rsidR="0026408D" w:rsidRPr="009D1C2D" w:rsidSect="000A28E7">
      <w:headerReference w:type="even" r:id="rId8"/>
      <w:headerReference w:type="default" r:id="rId9"/>
      <w:footerReference w:type="even" r:id="rId10"/>
      <w:footerReference w:type="default" r:id="rId11"/>
      <w:headerReference w:type="first" r:id="rId12"/>
      <w:footerReference w:type="first" r:id="rId13"/>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E636C" w14:textId="77777777" w:rsidR="0065431D" w:rsidRDefault="0065431D" w:rsidP="00B06B6A">
      <w:r>
        <w:separator/>
      </w:r>
    </w:p>
  </w:endnote>
  <w:endnote w:type="continuationSeparator" w:id="0">
    <w:p w14:paraId="1E0DA135" w14:textId="77777777" w:rsidR="0065431D" w:rsidRDefault="0065431D" w:rsidP="00B0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0A1C3" w14:textId="77777777" w:rsidR="00EB16F2" w:rsidRDefault="00EB16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CD9D6" w14:textId="77777777" w:rsidR="00EB16F2" w:rsidRDefault="00EB16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1FEC" w14:textId="77777777" w:rsidR="00EB16F2" w:rsidRDefault="00EB16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AF20" w14:textId="77777777" w:rsidR="0065431D" w:rsidRDefault="0065431D" w:rsidP="00B06B6A">
      <w:r>
        <w:separator/>
      </w:r>
    </w:p>
  </w:footnote>
  <w:footnote w:type="continuationSeparator" w:id="0">
    <w:p w14:paraId="63406AEF" w14:textId="77777777" w:rsidR="0065431D" w:rsidRDefault="0065431D" w:rsidP="00B0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F856" w14:textId="77777777" w:rsidR="00EB16F2" w:rsidRDefault="00EB16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540906"/>
      <w:docPartObj>
        <w:docPartGallery w:val="Page Numbers (Top of Page)"/>
        <w:docPartUnique/>
      </w:docPartObj>
    </w:sdtPr>
    <w:sdtEndPr/>
    <w:sdtContent>
      <w:p w14:paraId="16EE1797" w14:textId="2A90B0AB" w:rsidR="00CF346E" w:rsidRDefault="00CF346E">
        <w:pPr>
          <w:pStyle w:val="Antrats"/>
          <w:jc w:val="center"/>
        </w:pPr>
        <w:r>
          <w:fldChar w:fldCharType="begin"/>
        </w:r>
        <w:r>
          <w:instrText>PAGE   \* MERGEFORMAT</w:instrText>
        </w:r>
        <w:r>
          <w:fldChar w:fldCharType="separate"/>
        </w:r>
        <w:r w:rsidR="00E607F2" w:rsidRPr="00E607F2">
          <w:rPr>
            <w:noProof/>
            <w:lang w:val="lt-LT"/>
          </w:rPr>
          <w:t>3</w:t>
        </w:r>
        <w:r>
          <w:fldChar w:fldCharType="end"/>
        </w:r>
      </w:p>
    </w:sdtContent>
  </w:sdt>
  <w:p w14:paraId="796D1F45" w14:textId="77777777" w:rsidR="00CF346E" w:rsidRDefault="00CF346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EDEBF" w14:textId="77777777" w:rsidR="00EB16F2" w:rsidRDefault="00EB16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A341B"/>
    <w:multiLevelType w:val="hybridMultilevel"/>
    <w:tmpl w:val="6CE862B2"/>
    <w:lvl w:ilvl="0" w:tplc="CAEC57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3C1EE1"/>
    <w:multiLevelType w:val="hybridMultilevel"/>
    <w:tmpl w:val="4142E9A6"/>
    <w:lvl w:ilvl="0" w:tplc="C5865A0E">
      <w:numFmt w:val="bullet"/>
      <w:lvlText w:val="-"/>
      <w:lvlJc w:val="left"/>
      <w:pPr>
        <w:ind w:left="786" w:hanging="360"/>
      </w:pPr>
      <w:rPr>
        <w:rFonts w:ascii="Calibri" w:eastAsiaTheme="minorHAnsi" w:hAnsi="Calibri" w:cs="Calibri" w:hint="default"/>
        <w:color w:val="00000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A063697"/>
    <w:multiLevelType w:val="hybridMultilevel"/>
    <w:tmpl w:val="1C789B44"/>
    <w:lvl w:ilvl="0" w:tplc="829AC4E4">
      <w:start w:val="1"/>
      <w:numFmt w:val="decimal"/>
      <w:lvlText w:val="%1."/>
      <w:lvlJc w:val="left"/>
      <w:pPr>
        <w:ind w:left="1495"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D1CF5"/>
    <w:multiLevelType w:val="hybridMultilevel"/>
    <w:tmpl w:val="8934F1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C5E3DDE"/>
    <w:multiLevelType w:val="hybridMultilevel"/>
    <w:tmpl w:val="9B1272A0"/>
    <w:lvl w:ilvl="0" w:tplc="D6528D84">
      <w:start w:val="2019"/>
      <w:numFmt w:val="bullet"/>
      <w:lvlText w:val="-"/>
      <w:lvlJc w:val="left"/>
      <w:pPr>
        <w:ind w:left="1287" w:hanging="360"/>
      </w:pPr>
      <w:rPr>
        <w:rFonts w:ascii="Calibri" w:eastAsiaTheme="minorHAnsi" w:hAnsi="Calibri" w:cstheme="minorBidi"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650DFB"/>
    <w:multiLevelType w:val="hybridMultilevel"/>
    <w:tmpl w:val="601440C2"/>
    <w:lvl w:ilvl="0" w:tplc="C0CCE5E6">
      <w:start w:val="1"/>
      <w:numFmt w:val="decimal"/>
      <w:lvlText w:val="%1."/>
      <w:lvlJc w:val="left"/>
      <w:pPr>
        <w:ind w:left="720" w:hanging="360"/>
      </w:pPr>
      <w:rPr>
        <w:rFonts w:eastAsia="Calibr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636FB9"/>
    <w:multiLevelType w:val="hybridMultilevel"/>
    <w:tmpl w:val="A3CC3F52"/>
    <w:lvl w:ilvl="0" w:tplc="83560F80">
      <w:start w:val="1"/>
      <w:numFmt w:val="decimal"/>
      <w:lvlText w:val="%1."/>
      <w:lvlJc w:val="left"/>
      <w:pPr>
        <w:ind w:left="927" w:hanging="360"/>
      </w:pPr>
      <w:rPr>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10"/>
  </w:num>
  <w:num w:numId="2">
    <w:abstractNumId w:val="11"/>
  </w:num>
  <w:num w:numId="3">
    <w:abstractNumId w:val="0"/>
  </w:num>
  <w:num w:numId="4">
    <w:abstractNumId w:val="9"/>
  </w:num>
  <w:num w:numId="5">
    <w:abstractNumId w:val="1"/>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0266"/>
    <w:rsid w:val="00002776"/>
    <w:rsid w:val="00010C53"/>
    <w:rsid w:val="00011565"/>
    <w:rsid w:val="000122E0"/>
    <w:rsid w:val="0001291A"/>
    <w:rsid w:val="00017770"/>
    <w:rsid w:val="00020B40"/>
    <w:rsid w:val="00030278"/>
    <w:rsid w:val="00031BCF"/>
    <w:rsid w:val="00032879"/>
    <w:rsid w:val="0003458C"/>
    <w:rsid w:val="0003772A"/>
    <w:rsid w:val="000420B7"/>
    <w:rsid w:val="00044CB0"/>
    <w:rsid w:val="000535C9"/>
    <w:rsid w:val="0005698F"/>
    <w:rsid w:val="00061D1B"/>
    <w:rsid w:val="0006228C"/>
    <w:rsid w:val="00064BF1"/>
    <w:rsid w:val="00070B4E"/>
    <w:rsid w:val="000717EB"/>
    <w:rsid w:val="00072620"/>
    <w:rsid w:val="00072DF8"/>
    <w:rsid w:val="00076A41"/>
    <w:rsid w:val="00076F76"/>
    <w:rsid w:val="00081839"/>
    <w:rsid w:val="000861F4"/>
    <w:rsid w:val="00094008"/>
    <w:rsid w:val="00095BE5"/>
    <w:rsid w:val="00096A9C"/>
    <w:rsid w:val="00096B43"/>
    <w:rsid w:val="000A28E7"/>
    <w:rsid w:val="000A3C9C"/>
    <w:rsid w:val="000A74D3"/>
    <w:rsid w:val="000A79DE"/>
    <w:rsid w:val="000A7B25"/>
    <w:rsid w:val="000B10D1"/>
    <w:rsid w:val="000B21D5"/>
    <w:rsid w:val="000B6054"/>
    <w:rsid w:val="000B60E7"/>
    <w:rsid w:val="000B7FE3"/>
    <w:rsid w:val="000C0B63"/>
    <w:rsid w:val="000C3AF4"/>
    <w:rsid w:val="000C5C7A"/>
    <w:rsid w:val="000C6826"/>
    <w:rsid w:val="000C782B"/>
    <w:rsid w:val="000D070F"/>
    <w:rsid w:val="000D08B7"/>
    <w:rsid w:val="000D43E4"/>
    <w:rsid w:val="000D51E2"/>
    <w:rsid w:val="000D784D"/>
    <w:rsid w:val="000E0EFB"/>
    <w:rsid w:val="000E1689"/>
    <w:rsid w:val="000E2089"/>
    <w:rsid w:val="000E4D1C"/>
    <w:rsid w:val="000E7DA1"/>
    <w:rsid w:val="000F0098"/>
    <w:rsid w:val="000F4054"/>
    <w:rsid w:val="000F5341"/>
    <w:rsid w:val="00103128"/>
    <w:rsid w:val="00112377"/>
    <w:rsid w:val="0011381A"/>
    <w:rsid w:val="00113CB1"/>
    <w:rsid w:val="00115DE5"/>
    <w:rsid w:val="00117674"/>
    <w:rsid w:val="00121636"/>
    <w:rsid w:val="00121E82"/>
    <w:rsid w:val="00124CBF"/>
    <w:rsid w:val="00134F96"/>
    <w:rsid w:val="00136D74"/>
    <w:rsid w:val="00143C71"/>
    <w:rsid w:val="001455A4"/>
    <w:rsid w:val="001503F2"/>
    <w:rsid w:val="00152EF5"/>
    <w:rsid w:val="001535D4"/>
    <w:rsid w:val="00154CD6"/>
    <w:rsid w:val="00155782"/>
    <w:rsid w:val="00155DE0"/>
    <w:rsid w:val="00162F9C"/>
    <w:rsid w:val="00163533"/>
    <w:rsid w:val="00163F06"/>
    <w:rsid w:val="001651E9"/>
    <w:rsid w:val="00166131"/>
    <w:rsid w:val="0016793E"/>
    <w:rsid w:val="00170BD5"/>
    <w:rsid w:val="00172410"/>
    <w:rsid w:val="00172C4B"/>
    <w:rsid w:val="00174206"/>
    <w:rsid w:val="0017468C"/>
    <w:rsid w:val="00175927"/>
    <w:rsid w:val="0018162F"/>
    <w:rsid w:val="00182744"/>
    <w:rsid w:val="00183A1D"/>
    <w:rsid w:val="00185C05"/>
    <w:rsid w:val="00194B4C"/>
    <w:rsid w:val="00197C91"/>
    <w:rsid w:val="001A4E71"/>
    <w:rsid w:val="001A5DDF"/>
    <w:rsid w:val="001B4217"/>
    <w:rsid w:val="001B5B99"/>
    <w:rsid w:val="001B5D7A"/>
    <w:rsid w:val="001B7A69"/>
    <w:rsid w:val="001C0D1A"/>
    <w:rsid w:val="001C4758"/>
    <w:rsid w:val="001C59AB"/>
    <w:rsid w:val="001D0F5D"/>
    <w:rsid w:val="001D5E27"/>
    <w:rsid w:val="001D77F6"/>
    <w:rsid w:val="001E1C5C"/>
    <w:rsid w:val="001E228B"/>
    <w:rsid w:val="001E5400"/>
    <w:rsid w:val="001E7C0E"/>
    <w:rsid w:val="001F2234"/>
    <w:rsid w:val="001F27B4"/>
    <w:rsid w:val="001F7C96"/>
    <w:rsid w:val="00200806"/>
    <w:rsid w:val="0020163D"/>
    <w:rsid w:val="002024CF"/>
    <w:rsid w:val="00202E6B"/>
    <w:rsid w:val="00204CC8"/>
    <w:rsid w:val="00206C5E"/>
    <w:rsid w:val="00210A5F"/>
    <w:rsid w:val="00211DB8"/>
    <w:rsid w:val="002126BD"/>
    <w:rsid w:val="00213258"/>
    <w:rsid w:val="00214693"/>
    <w:rsid w:val="00223C4B"/>
    <w:rsid w:val="00225B2B"/>
    <w:rsid w:val="00240429"/>
    <w:rsid w:val="002415D8"/>
    <w:rsid w:val="0024228C"/>
    <w:rsid w:val="00246900"/>
    <w:rsid w:val="0024794F"/>
    <w:rsid w:val="0025755F"/>
    <w:rsid w:val="002622D8"/>
    <w:rsid w:val="00263416"/>
    <w:rsid w:val="002635FB"/>
    <w:rsid w:val="0026408D"/>
    <w:rsid w:val="00264345"/>
    <w:rsid w:val="00265F58"/>
    <w:rsid w:val="00270FEA"/>
    <w:rsid w:val="0027260D"/>
    <w:rsid w:val="00273809"/>
    <w:rsid w:val="002769AC"/>
    <w:rsid w:val="00281A73"/>
    <w:rsid w:val="00283563"/>
    <w:rsid w:val="00283B5C"/>
    <w:rsid w:val="00284CF0"/>
    <w:rsid w:val="002870D1"/>
    <w:rsid w:val="00287103"/>
    <w:rsid w:val="00291E6F"/>
    <w:rsid w:val="00296948"/>
    <w:rsid w:val="00297EAD"/>
    <w:rsid w:val="002A0583"/>
    <w:rsid w:val="002A1941"/>
    <w:rsid w:val="002A4471"/>
    <w:rsid w:val="002A5A99"/>
    <w:rsid w:val="002A7AC6"/>
    <w:rsid w:val="002B1F7A"/>
    <w:rsid w:val="002B364B"/>
    <w:rsid w:val="002B3F7F"/>
    <w:rsid w:val="002B55BF"/>
    <w:rsid w:val="002B5D31"/>
    <w:rsid w:val="002C3FBF"/>
    <w:rsid w:val="002C60EA"/>
    <w:rsid w:val="002C7E57"/>
    <w:rsid w:val="002D3AD6"/>
    <w:rsid w:val="002D3B05"/>
    <w:rsid w:val="002D49F1"/>
    <w:rsid w:val="002D4AF3"/>
    <w:rsid w:val="002D5D3B"/>
    <w:rsid w:val="002D6B74"/>
    <w:rsid w:val="002E1833"/>
    <w:rsid w:val="002E1B36"/>
    <w:rsid w:val="002E2A7D"/>
    <w:rsid w:val="002E4329"/>
    <w:rsid w:val="002E7674"/>
    <w:rsid w:val="002F087B"/>
    <w:rsid w:val="002F224D"/>
    <w:rsid w:val="002F29B6"/>
    <w:rsid w:val="002F401E"/>
    <w:rsid w:val="002F6C5B"/>
    <w:rsid w:val="00301112"/>
    <w:rsid w:val="00311283"/>
    <w:rsid w:val="00313947"/>
    <w:rsid w:val="003171C1"/>
    <w:rsid w:val="0032026C"/>
    <w:rsid w:val="00322018"/>
    <w:rsid w:val="00330C02"/>
    <w:rsid w:val="00331CBD"/>
    <w:rsid w:val="003375BB"/>
    <w:rsid w:val="00337F0A"/>
    <w:rsid w:val="00340E34"/>
    <w:rsid w:val="0034321A"/>
    <w:rsid w:val="00344284"/>
    <w:rsid w:val="00344CC6"/>
    <w:rsid w:val="0034678F"/>
    <w:rsid w:val="003515D3"/>
    <w:rsid w:val="00351DC4"/>
    <w:rsid w:val="003559B2"/>
    <w:rsid w:val="00360B12"/>
    <w:rsid w:val="00361122"/>
    <w:rsid w:val="0036114B"/>
    <w:rsid w:val="00362971"/>
    <w:rsid w:val="003634EA"/>
    <w:rsid w:val="00363D58"/>
    <w:rsid w:val="00367A95"/>
    <w:rsid w:val="0037035F"/>
    <w:rsid w:val="00372E68"/>
    <w:rsid w:val="00373060"/>
    <w:rsid w:val="00376CD5"/>
    <w:rsid w:val="0037777C"/>
    <w:rsid w:val="003812AD"/>
    <w:rsid w:val="003843FC"/>
    <w:rsid w:val="00384891"/>
    <w:rsid w:val="00387528"/>
    <w:rsid w:val="00390C37"/>
    <w:rsid w:val="0039493E"/>
    <w:rsid w:val="00396A21"/>
    <w:rsid w:val="003A2DD9"/>
    <w:rsid w:val="003A50B3"/>
    <w:rsid w:val="003B631F"/>
    <w:rsid w:val="003B706A"/>
    <w:rsid w:val="003B72FB"/>
    <w:rsid w:val="003B7DCC"/>
    <w:rsid w:val="003C072D"/>
    <w:rsid w:val="003C176D"/>
    <w:rsid w:val="003C20D3"/>
    <w:rsid w:val="003C2621"/>
    <w:rsid w:val="003C4156"/>
    <w:rsid w:val="003C4639"/>
    <w:rsid w:val="003C4EE6"/>
    <w:rsid w:val="003C61C9"/>
    <w:rsid w:val="003D0DB0"/>
    <w:rsid w:val="003D1446"/>
    <w:rsid w:val="003D51ED"/>
    <w:rsid w:val="003D6823"/>
    <w:rsid w:val="003D7037"/>
    <w:rsid w:val="003D7BAD"/>
    <w:rsid w:val="003D7DC6"/>
    <w:rsid w:val="003E1965"/>
    <w:rsid w:val="003E1D1F"/>
    <w:rsid w:val="003E5280"/>
    <w:rsid w:val="003F058F"/>
    <w:rsid w:val="003F2384"/>
    <w:rsid w:val="003F5C2C"/>
    <w:rsid w:val="00402E23"/>
    <w:rsid w:val="00415F72"/>
    <w:rsid w:val="0042011A"/>
    <w:rsid w:val="00421110"/>
    <w:rsid w:val="0042147B"/>
    <w:rsid w:val="00427E1B"/>
    <w:rsid w:val="00430F6E"/>
    <w:rsid w:val="00432E6C"/>
    <w:rsid w:val="004369A5"/>
    <w:rsid w:val="00443191"/>
    <w:rsid w:val="00443C9B"/>
    <w:rsid w:val="00444FE6"/>
    <w:rsid w:val="004450C6"/>
    <w:rsid w:val="00450F60"/>
    <w:rsid w:val="00452983"/>
    <w:rsid w:val="004533A2"/>
    <w:rsid w:val="0045373A"/>
    <w:rsid w:val="004537FD"/>
    <w:rsid w:val="004552EE"/>
    <w:rsid w:val="004616F9"/>
    <w:rsid w:val="00462241"/>
    <w:rsid w:val="0046331C"/>
    <w:rsid w:val="004651F4"/>
    <w:rsid w:val="00481AE6"/>
    <w:rsid w:val="0048317E"/>
    <w:rsid w:val="00490BD6"/>
    <w:rsid w:val="00494F83"/>
    <w:rsid w:val="004A2977"/>
    <w:rsid w:val="004A34BF"/>
    <w:rsid w:val="004A3FE1"/>
    <w:rsid w:val="004A48C0"/>
    <w:rsid w:val="004A6981"/>
    <w:rsid w:val="004B036F"/>
    <w:rsid w:val="004B237B"/>
    <w:rsid w:val="004C0488"/>
    <w:rsid w:val="004C271E"/>
    <w:rsid w:val="004D6E9F"/>
    <w:rsid w:val="004E1EBA"/>
    <w:rsid w:val="004E552F"/>
    <w:rsid w:val="004E6548"/>
    <w:rsid w:val="004E76AA"/>
    <w:rsid w:val="004E7B7B"/>
    <w:rsid w:val="004F07DF"/>
    <w:rsid w:val="004F0A87"/>
    <w:rsid w:val="004F28AB"/>
    <w:rsid w:val="004F3C0A"/>
    <w:rsid w:val="004F78A0"/>
    <w:rsid w:val="00500061"/>
    <w:rsid w:val="00502F3E"/>
    <w:rsid w:val="00503055"/>
    <w:rsid w:val="0050647C"/>
    <w:rsid w:val="00511F04"/>
    <w:rsid w:val="00513EE0"/>
    <w:rsid w:val="005209BE"/>
    <w:rsid w:val="00521C82"/>
    <w:rsid w:val="00525601"/>
    <w:rsid w:val="0052757F"/>
    <w:rsid w:val="00527A82"/>
    <w:rsid w:val="00535631"/>
    <w:rsid w:val="005416C4"/>
    <w:rsid w:val="00542AED"/>
    <w:rsid w:val="005441B1"/>
    <w:rsid w:val="00547730"/>
    <w:rsid w:val="00547E96"/>
    <w:rsid w:val="00551537"/>
    <w:rsid w:val="005540A9"/>
    <w:rsid w:val="005541FC"/>
    <w:rsid w:val="0055546A"/>
    <w:rsid w:val="005602F5"/>
    <w:rsid w:val="005611CA"/>
    <w:rsid w:val="00563058"/>
    <w:rsid w:val="00563410"/>
    <w:rsid w:val="00564E80"/>
    <w:rsid w:val="005663B8"/>
    <w:rsid w:val="00567372"/>
    <w:rsid w:val="005725F4"/>
    <w:rsid w:val="0057609F"/>
    <w:rsid w:val="00577C99"/>
    <w:rsid w:val="005835C7"/>
    <w:rsid w:val="00583EBD"/>
    <w:rsid w:val="00584DFD"/>
    <w:rsid w:val="005A0FF6"/>
    <w:rsid w:val="005A2F73"/>
    <w:rsid w:val="005A5CB0"/>
    <w:rsid w:val="005A6E5C"/>
    <w:rsid w:val="005A7FD7"/>
    <w:rsid w:val="005B2D26"/>
    <w:rsid w:val="005B69B0"/>
    <w:rsid w:val="005C175B"/>
    <w:rsid w:val="005C2595"/>
    <w:rsid w:val="005C4C04"/>
    <w:rsid w:val="005C4DBD"/>
    <w:rsid w:val="005D3552"/>
    <w:rsid w:val="005D6E41"/>
    <w:rsid w:val="005E03C4"/>
    <w:rsid w:val="005E1B30"/>
    <w:rsid w:val="005E71E2"/>
    <w:rsid w:val="005F18A9"/>
    <w:rsid w:val="005F50DF"/>
    <w:rsid w:val="005F5F9D"/>
    <w:rsid w:val="00600578"/>
    <w:rsid w:val="00601D80"/>
    <w:rsid w:val="00602324"/>
    <w:rsid w:val="00602BAC"/>
    <w:rsid w:val="00604A2C"/>
    <w:rsid w:val="006069B6"/>
    <w:rsid w:val="00606BFA"/>
    <w:rsid w:val="00606F50"/>
    <w:rsid w:val="00612A9B"/>
    <w:rsid w:val="006134FD"/>
    <w:rsid w:val="0061402A"/>
    <w:rsid w:val="0061564B"/>
    <w:rsid w:val="006157EC"/>
    <w:rsid w:val="006169AB"/>
    <w:rsid w:val="006174FE"/>
    <w:rsid w:val="00624DAF"/>
    <w:rsid w:val="0063142B"/>
    <w:rsid w:val="006319DA"/>
    <w:rsid w:val="006344E9"/>
    <w:rsid w:val="00635BD3"/>
    <w:rsid w:val="006428EF"/>
    <w:rsid w:val="00644D7E"/>
    <w:rsid w:val="00645ED5"/>
    <w:rsid w:val="006462CE"/>
    <w:rsid w:val="00646585"/>
    <w:rsid w:val="00650FB9"/>
    <w:rsid w:val="0065431D"/>
    <w:rsid w:val="0065465A"/>
    <w:rsid w:val="00655565"/>
    <w:rsid w:val="00661F68"/>
    <w:rsid w:val="00662955"/>
    <w:rsid w:val="00662DD9"/>
    <w:rsid w:val="006646D6"/>
    <w:rsid w:val="0066487B"/>
    <w:rsid w:val="00666B70"/>
    <w:rsid w:val="006721BE"/>
    <w:rsid w:val="00681341"/>
    <w:rsid w:val="00683C37"/>
    <w:rsid w:val="00684F83"/>
    <w:rsid w:val="00685702"/>
    <w:rsid w:val="00686086"/>
    <w:rsid w:val="00686CA5"/>
    <w:rsid w:val="006933F4"/>
    <w:rsid w:val="00693778"/>
    <w:rsid w:val="0069571F"/>
    <w:rsid w:val="00695D85"/>
    <w:rsid w:val="006A6837"/>
    <w:rsid w:val="006A76AD"/>
    <w:rsid w:val="006B7914"/>
    <w:rsid w:val="006C1920"/>
    <w:rsid w:val="006C2023"/>
    <w:rsid w:val="006C3BE8"/>
    <w:rsid w:val="006C5052"/>
    <w:rsid w:val="006D02D8"/>
    <w:rsid w:val="006D3FA2"/>
    <w:rsid w:val="006D5DFD"/>
    <w:rsid w:val="006E00CA"/>
    <w:rsid w:val="006E1089"/>
    <w:rsid w:val="006E7A6D"/>
    <w:rsid w:val="006F0797"/>
    <w:rsid w:val="006F0CBD"/>
    <w:rsid w:val="006F1505"/>
    <w:rsid w:val="006F49DB"/>
    <w:rsid w:val="006F4B26"/>
    <w:rsid w:val="00700EA1"/>
    <w:rsid w:val="00702F52"/>
    <w:rsid w:val="00703442"/>
    <w:rsid w:val="00706A62"/>
    <w:rsid w:val="00713F0C"/>
    <w:rsid w:val="00714BA8"/>
    <w:rsid w:val="00715BC7"/>
    <w:rsid w:val="00730E4D"/>
    <w:rsid w:val="00740D24"/>
    <w:rsid w:val="007421BF"/>
    <w:rsid w:val="00743856"/>
    <w:rsid w:val="00750032"/>
    <w:rsid w:val="007528CB"/>
    <w:rsid w:val="00753407"/>
    <w:rsid w:val="0075358E"/>
    <w:rsid w:val="007552B1"/>
    <w:rsid w:val="00755E04"/>
    <w:rsid w:val="007615AB"/>
    <w:rsid w:val="00766D1F"/>
    <w:rsid w:val="007715E5"/>
    <w:rsid w:val="00771984"/>
    <w:rsid w:val="00774875"/>
    <w:rsid w:val="007750FF"/>
    <w:rsid w:val="0078027C"/>
    <w:rsid w:val="007827F5"/>
    <w:rsid w:val="007843BC"/>
    <w:rsid w:val="00785887"/>
    <w:rsid w:val="00790CB3"/>
    <w:rsid w:val="00791469"/>
    <w:rsid w:val="007920D8"/>
    <w:rsid w:val="007928B0"/>
    <w:rsid w:val="007970B2"/>
    <w:rsid w:val="007A038D"/>
    <w:rsid w:val="007A0AA4"/>
    <w:rsid w:val="007A635D"/>
    <w:rsid w:val="007B0DCB"/>
    <w:rsid w:val="007B3838"/>
    <w:rsid w:val="007B51F1"/>
    <w:rsid w:val="007B691B"/>
    <w:rsid w:val="007B7A92"/>
    <w:rsid w:val="007B7ABB"/>
    <w:rsid w:val="007C471B"/>
    <w:rsid w:val="007C4A1F"/>
    <w:rsid w:val="007C6874"/>
    <w:rsid w:val="007C7700"/>
    <w:rsid w:val="007C7809"/>
    <w:rsid w:val="007D1280"/>
    <w:rsid w:val="007D1FFE"/>
    <w:rsid w:val="007D2D97"/>
    <w:rsid w:val="007D2E9C"/>
    <w:rsid w:val="007D324A"/>
    <w:rsid w:val="007D3DEB"/>
    <w:rsid w:val="007D45E9"/>
    <w:rsid w:val="007D47E7"/>
    <w:rsid w:val="007D54B3"/>
    <w:rsid w:val="007D7D4F"/>
    <w:rsid w:val="007D7D5B"/>
    <w:rsid w:val="007E0ADA"/>
    <w:rsid w:val="007E0CF8"/>
    <w:rsid w:val="007E1BCE"/>
    <w:rsid w:val="007E5D34"/>
    <w:rsid w:val="007E7D37"/>
    <w:rsid w:val="00802C83"/>
    <w:rsid w:val="00804389"/>
    <w:rsid w:val="00811731"/>
    <w:rsid w:val="00816306"/>
    <w:rsid w:val="008167A6"/>
    <w:rsid w:val="00820EB1"/>
    <w:rsid w:val="008241A6"/>
    <w:rsid w:val="008257BC"/>
    <w:rsid w:val="00827146"/>
    <w:rsid w:val="00827524"/>
    <w:rsid w:val="00834E0F"/>
    <w:rsid w:val="008423CC"/>
    <w:rsid w:val="00842641"/>
    <w:rsid w:val="008427DD"/>
    <w:rsid w:val="00842F0A"/>
    <w:rsid w:val="0084349F"/>
    <w:rsid w:val="00847BD6"/>
    <w:rsid w:val="008504DD"/>
    <w:rsid w:val="008551B2"/>
    <w:rsid w:val="008557E4"/>
    <w:rsid w:val="00857A5C"/>
    <w:rsid w:val="0086179B"/>
    <w:rsid w:val="00862D74"/>
    <w:rsid w:val="00865465"/>
    <w:rsid w:val="0087493C"/>
    <w:rsid w:val="0088211D"/>
    <w:rsid w:val="00884AF5"/>
    <w:rsid w:val="00885937"/>
    <w:rsid w:val="00885AF0"/>
    <w:rsid w:val="00886FB8"/>
    <w:rsid w:val="00891993"/>
    <w:rsid w:val="00892CA3"/>
    <w:rsid w:val="0089449C"/>
    <w:rsid w:val="008A025C"/>
    <w:rsid w:val="008A1540"/>
    <w:rsid w:val="008A16AA"/>
    <w:rsid w:val="008A1E80"/>
    <w:rsid w:val="008A1EF1"/>
    <w:rsid w:val="008A3FD5"/>
    <w:rsid w:val="008B06AB"/>
    <w:rsid w:val="008C1060"/>
    <w:rsid w:val="008C10E6"/>
    <w:rsid w:val="008D014D"/>
    <w:rsid w:val="008D0167"/>
    <w:rsid w:val="008D4C41"/>
    <w:rsid w:val="008E0AAF"/>
    <w:rsid w:val="008E0F19"/>
    <w:rsid w:val="008E65A8"/>
    <w:rsid w:val="008E7C43"/>
    <w:rsid w:val="008F19E6"/>
    <w:rsid w:val="008F3F58"/>
    <w:rsid w:val="00900E7D"/>
    <w:rsid w:val="00902CBF"/>
    <w:rsid w:val="00904E20"/>
    <w:rsid w:val="009123B5"/>
    <w:rsid w:val="00920878"/>
    <w:rsid w:val="009243E2"/>
    <w:rsid w:val="00924460"/>
    <w:rsid w:val="009248EC"/>
    <w:rsid w:val="00924CC3"/>
    <w:rsid w:val="00924E34"/>
    <w:rsid w:val="009257A1"/>
    <w:rsid w:val="00930835"/>
    <w:rsid w:val="00933BFF"/>
    <w:rsid w:val="00937500"/>
    <w:rsid w:val="00940955"/>
    <w:rsid w:val="0094359D"/>
    <w:rsid w:val="0094541E"/>
    <w:rsid w:val="00947C0E"/>
    <w:rsid w:val="0095180C"/>
    <w:rsid w:val="009542C9"/>
    <w:rsid w:val="00964C39"/>
    <w:rsid w:val="009715C6"/>
    <w:rsid w:val="00973BCF"/>
    <w:rsid w:val="00975DD8"/>
    <w:rsid w:val="009769DC"/>
    <w:rsid w:val="00977321"/>
    <w:rsid w:val="0098099F"/>
    <w:rsid w:val="00981777"/>
    <w:rsid w:val="00984BB3"/>
    <w:rsid w:val="009874EB"/>
    <w:rsid w:val="009909EE"/>
    <w:rsid w:val="00994F96"/>
    <w:rsid w:val="0099556D"/>
    <w:rsid w:val="0099643B"/>
    <w:rsid w:val="00997D65"/>
    <w:rsid w:val="009A0865"/>
    <w:rsid w:val="009A41F3"/>
    <w:rsid w:val="009A50B0"/>
    <w:rsid w:val="009A5149"/>
    <w:rsid w:val="009A6863"/>
    <w:rsid w:val="009B23FB"/>
    <w:rsid w:val="009B4B8A"/>
    <w:rsid w:val="009B6DB9"/>
    <w:rsid w:val="009B78B4"/>
    <w:rsid w:val="009B7CA8"/>
    <w:rsid w:val="009B7E3C"/>
    <w:rsid w:val="009B7F42"/>
    <w:rsid w:val="009C11E1"/>
    <w:rsid w:val="009C29B8"/>
    <w:rsid w:val="009C7B16"/>
    <w:rsid w:val="009D183E"/>
    <w:rsid w:val="009D1C2D"/>
    <w:rsid w:val="009D3402"/>
    <w:rsid w:val="009E15FA"/>
    <w:rsid w:val="009E2218"/>
    <w:rsid w:val="009E2F69"/>
    <w:rsid w:val="009E4F58"/>
    <w:rsid w:val="009E7087"/>
    <w:rsid w:val="009E77AF"/>
    <w:rsid w:val="009F1F23"/>
    <w:rsid w:val="009F46FA"/>
    <w:rsid w:val="00A00926"/>
    <w:rsid w:val="00A0240F"/>
    <w:rsid w:val="00A04FB0"/>
    <w:rsid w:val="00A05268"/>
    <w:rsid w:val="00A05D3C"/>
    <w:rsid w:val="00A05DBB"/>
    <w:rsid w:val="00A074A4"/>
    <w:rsid w:val="00A078CB"/>
    <w:rsid w:val="00A1221A"/>
    <w:rsid w:val="00A13C05"/>
    <w:rsid w:val="00A25C2E"/>
    <w:rsid w:val="00A34C75"/>
    <w:rsid w:val="00A35A53"/>
    <w:rsid w:val="00A365C6"/>
    <w:rsid w:val="00A426F3"/>
    <w:rsid w:val="00A43AE9"/>
    <w:rsid w:val="00A45DFB"/>
    <w:rsid w:val="00A46AAF"/>
    <w:rsid w:val="00A46DED"/>
    <w:rsid w:val="00A47E0C"/>
    <w:rsid w:val="00A50C58"/>
    <w:rsid w:val="00A51936"/>
    <w:rsid w:val="00A5252C"/>
    <w:rsid w:val="00A554D4"/>
    <w:rsid w:val="00A71E7D"/>
    <w:rsid w:val="00A81206"/>
    <w:rsid w:val="00A81F59"/>
    <w:rsid w:val="00A83F08"/>
    <w:rsid w:val="00A8461D"/>
    <w:rsid w:val="00A906A7"/>
    <w:rsid w:val="00A93FF5"/>
    <w:rsid w:val="00A94C18"/>
    <w:rsid w:val="00A94FE0"/>
    <w:rsid w:val="00A956B5"/>
    <w:rsid w:val="00AA1CB7"/>
    <w:rsid w:val="00AA1E8D"/>
    <w:rsid w:val="00AA5D1C"/>
    <w:rsid w:val="00AA706F"/>
    <w:rsid w:val="00AB24B0"/>
    <w:rsid w:val="00AB292A"/>
    <w:rsid w:val="00AB481C"/>
    <w:rsid w:val="00AB50DC"/>
    <w:rsid w:val="00AB6E23"/>
    <w:rsid w:val="00AB7391"/>
    <w:rsid w:val="00AC0D97"/>
    <w:rsid w:val="00AC280B"/>
    <w:rsid w:val="00AC4432"/>
    <w:rsid w:val="00AC4575"/>
    <w:rsid w:val="00AD0234"/>
    <w:rsid w:val="00AD1863"/>
    <w:rsid w:val="00AD1CCD"/>
    <w:rsid w:val="00AD7521"/>
    <w:rsid w:val="00AD780E"/>
    <w:rsid w:val="00AE1835"/>
    <w:rsid w:val="00AE442C"/>
    <w:rsid w:val="00AE6914"/>
    <w:rsid w:val="00AE6BCF"/>
    <w:rsid w:val="00AF0B21"/>
    <w:rsid w:val="00B01F0B"/>
    <w:rsid w:val="00B05B5A"/>
    <w:rsid w:val="00B0664B"/>
    <w:rsid w:val="00B068CA"/>
    <w:rsid w:val="00B06B6A"/>
    <w:rsid w:val="00B07A72"/>
    <w:rsid w:val="00B07DC9"/>
    <w:rsid w:val="00B144DD"/>
    <w:rsid w:val="00B15813"/>
    <w:rsid w:val="00B17272"/>
    <w:rsid w:val="00B1744F"/>
    <w:rsid w:val="00B1757D"/>
    <w:rsid w:val="00B22AF8"/>
    <w:rsid w:val="00B22F07"/>
    <w:rsid w:val="00B23AF0"/>
    <w:rsid w:val="00B25EE3"/>
    <w:rsid w:val="00B324C4"/>
    <w:rsid w:val="00B34528"/>
    <w:rsid w:val="00B34D47"/>
    <w:rsid w:val="00B35825"/>
    <w:rsid w:val="00B37F10"/>
    <w:rsid w:val="00B411F7"/>
    <w:rsid w:val="00B41E58"/>
    <w:rsid w:val="00B449EC"/>
    <w:rsid w:val="00B57151"/>
    <w:rsid w:val="00B57DA3"/>
    <w:rsid w:val="00B57FAF"/>
    <w:rsid w:val="00B632DC"/>
    <w:rsid w:val="00B64360"/>
    <w:rsid w:val="00B64FC8"/>
    <w:rsid w:val="00B67E9A"/>
    <w:rsid w:val="00B730D3"/>
    <w:rsid w:val="00B74813"/>
    <w:rsid w:val="00B75072"/>
    <w:rsid w:val="00B75746"/>
    <w:rsid w:val="00B77ECD"/>
    <w:rsid w:val="00B83A61"/>
    <w:rsid w:val="00B85FD9"/>
    <w:rsid w:val="00B923E0"/>
    <w:rsid w:val="00B96884"/>
    <w:rsid w:val="00BA5565"/>
    <w:rsid w:val="00BA5ECC"/>
    <w:rsid w:val="00BA713C"/>
    <w:rsid w:val="00BA7341"/>
    <w:rsid w:val="00BB02DC"/>
    <w:rsid w:val="00BB28A2"/>
    <w:rsid w:val="00BB36DA"/>
    <w:rsid w:val="00BB5548"/>
    <w:rsid w:val="00BC1BA9"/>
    <w:rsid w:val="00BC21A1"/>
    <w:rsid w:val="00BC7260"/>
    <w:rsid w:val="00BC73BF"/>
    <w:rsid w:val="00BD3F2A"/>
    <w:rsid w:val="00BD7549"/>
    <w:rsid w:val="00BF1958"/>
    <w:rsid w:val="00BF1A64"/>
    <w:rsid w:val="00BF1FF8"/>
    <w:rsid w:val="00BF4B66"/>
    <w:rsid w:val="00BF521F"/>
    <w:rsid w:val="00BF5600"/>
    <w:rsid w:val="00BF66DB"/>
    <w:rsid w:val="00C045FE"/>
    <w:rsid w:val="00C05247"/>
    <w:rsid w:val="00C05339"/>
    <w:rsid w:val="00C0591F"/>
    <w:rsid w:val="00C05E04"/>
    <w:rsid w:val="00C06A89"/>
    <w:rsid w:val="00C10C03"/>
    <w:rsid w:val="00C12908"/>
    <w:rsid w:val="00C13D0C"/>
    <w:rsid w:val="00C22D94"/>
    <w:rsid w:val="00C30601"/>
    <w:rsid w:val="00C31817"/>
    <w:rsid w:val="00C340BA"/>
    <w:rsid w:val="00C36055"/>
    <w:rsid w:val="00C3726C"/>
    <w:rsid w:val="00C3764B"/>
    <w:rsid w:val="00C40A85"/>
    <w:rsid w:val="00C42F15"/>
    <w:rsid w:val="00C435B0"/>
    <w:rsid w:val="00C43824"/>
    <w:rsid w:val="00C443DE"/>
    <w:rsid w:val="00C45A90"/>
    <w:rsid w:val="00C45FCB"/>
    <w:rsid w:val="00C548C0"/>
    <w:rsid w:val="00C55345"/>
    <w:rsid w:val="00C57C00"/>
    <w:rsid w:val="00C6236A"/>
    <w:rsid w:val="00C64D2C"/>
    <w:rsid w:val="00C70C2B"/>
    <w:rsid w:val="00C756FB"/>
    <w:rsid w:val="00C81755"/>
    <w:rsid w:val="00C846D1"/>
    <w:rsid w:val="00C878D0"/>
    <w:rsid w:val="00C90F31"/>
    <w:rsid w:val="00C9118C"/>
    <w:rsid w:val="00C93E1D"/>
    <w:rsid w:val="00C95E50"/>
    <w:rsid w:val="00C96CCA"/>
    <w:rsid w:val="00C97316"/>
    <w:rsid w:val="00CA0B27"/>
    <w:rsid w:val="00CA7232"/>
    <w:rsid w:val="00CB0120"/>
    <w:rsid w:val="00CB0DB2"/>
    <w:rsid w:val="00CB2D83"/>
    <w:rsid w:val="00CB3B00"/>
    <w:rsid w:val="00CB762C"/>
    <w:rsid w:val="00CB7AA0"/>
    <w:rsid w:val="00CC4FBF"/>
    <w:rsid w:val="00CD1BCC"/>
    <w:rsid w:val="00CD1D08"/>
    <w:rsid w:val="00CD1D59"/>
    <w:rsid w:val="00CD66EA"/>
    <w:rsid w:val="00CD7D14"/>
    <w:rsid w:val="00CD7E04"/>
    <w:rsid w:val="00CE57CA"/>
    <w:rsid w:val="00CF346E"/>
    <w:rsid w:val="00CF40AF"/>
    <w:rsid w:val="00CF469C"/>
    <w:rsid w:val="00CF5951"/>
    <w:rsid w:val="00CF7D79"/>
    <w:rsid w:val="00D01404"/>
    <w:rsid w:val="00D023D6"/>
    <w:rsid w:val="00D102C4"/>
    <w:rsid w:val="00D103C8"/>
    <w:rsid w:val="00D1480B"/>
    <w:rsid w:val="00D166A2"/>
    <w:rsid w:val="00D170FD"/>
    <w:rsid w:val="00D17128"/>
    <w:rsid w:val="00D17740"/>
    <w:rsid w:val="00D21096"/>
    <w:rsid w:val="00D267AD"/>
    <w:rsid w:val="00D35FEB"/>
    <w:rsid w:val="00D41A49"/>
    <w:rsid w:val="00D52195"/>
    <w:rsid w:val="00D530EA"/>
    <w:rsid w:val="00D5565E"/>
    <w:rsid w:val="00D56562"/>
    <w:rsid w:val="00D5786E"/>
    <w:rsid w:val="00D6066F"/>
    <w:rsid w:val="00D63436"/>
    <w:rsid w:val="00D66D30"/>
    <w:rsid w:val="00D67AAE"/>
    <w:rsid w:val="00D67E6A"/>
    <w:rsid w:val="00D7394E"/>
    <w:rsid w:val="00D74BE3"/>
    <w:rsid w:val="00D75F31"/>
    <w:rsid w:val="00D80A96"/>
    <w:rsid w:val="00D812C4"/>
    <w:rsid w:val="00D831D4"/>
    <w:rsid w:val="00D92C2E"/>
    <w:rsid w:val="00D94D1B"/>
    <w:rsid w:val="00D951D8"/>
    <w:rsid w:val="00DA38BE"/>
    <w:rsid w:val="00DA3CF1"/>
    <w:rsid w:val="00DA65B3"/>
    <w:rsid w:val="00DB11D5"/>
    <w:rsid w:val="00DB616B"/>
    <w:rsid w:val="00DC032A"/>
    <w:rsid w:val="00DC5331"/>
    <w:rsid w:val="00DC67A1"/>
    <w:rsid w:val="00DD5BA4"/>
    <w:rsid w:val="00DE03D8"/>
    <w:rsid w:val="00DE0D9C"/>
    <w:rsid w:val="00DE3073"/>
    <w:rsid w:val="00DF3273"/>
    <w:rsid w:val="00DF52E4"/>
    <w:rsid w:val="00DF726F"/>
    <w:rsid w:val="00E02F40"/>
    <w:rsid w:val="00E067F4"/>
    <w:rsid w:val="00E06EC8"/>
    <w:rsid w:val="00E13408"/>
    <w:rsid w:val="00E14E44"/>
    <w:rsid w:val="00E1603B"/>
    <w:rsid w:val="00E16F77"/>
    <w:rsid w:val="00E21CB0"/>
    <w:rsid w:val="00E23191"/>
    <w:rsid w:val="00E24DA4"/>
    <w:rsid w:val="00E25D2E"/>
    <w:rsid w:val="00E306B5"/>
    <w:rsid w:val="00E32A12"/>
    <w:rsid w:val="00E3321D"/>
    <w:rsid w:val="00E33B72"/>
    <w:rsid w:val="00E343A3"/>
    <w:rsid w:val="00E34D1D"/>
    <w:rsid w:val="00E419D1"/>
    <w:rsid w:val="00E41EB0"/>
    <w:rsid w:val="00E44E44"/>
    <w:rsid w:val="00E45B98"/>
    <w:rsid w:val="00E476F3"/>
    <w:rsid w:val="00E530DE"/>
    <w:rsid w:val="00E5312E"/>
    <w:rsid w:val="00E607F2"/>
    <w:rsid w:val="00E60D37"/>
    <w:rsid w:val="00E62A9E"/>
    <w:rsid w:val="00E63F30"/>
    <w:rsid w:val="00E74473"/>
    <w:rsid w:val="00E74CBA"/>
    <w:rsid w:val="00E77A73"/>
    <w:rsid w:val="00E77CA4"/>
    <w:rsid w:val="00E804B5"/>
    <w:rsid w:val="00E81329"/>
    <w:rsid w:val="00E83A76"/>
    <w:rsid w:val="00E847AD"/>
    <w:rsid w:val="00E865AE"/>
    <w:rsid w:val="00E86BCC"/>
    <w:rsid w:val="00E9405A"/>
    <w:rsid w:val="00EA1F91"/>
    <w:rsid w:val="00EA3AF0"/>
    <w:rsid w:val="00EA64F4"/>
    <w:rsid w:val="00EB0F86"/>
    <w:rsid w:val="00EB157A"/>
    <w:rsid w:val="00EB16F2"/>
    <w:rsid w:val="00EC1AE2"/>
    <w:rsid w:val="00EC4938"/>
    <w:rsid w:val="00EC57E7"/>
    <w:rsid w:val="00ED096B"/>
    <w:rsid w:val="00ED5492"/>
    <w:rsid w:val="00EE2215"/>
    <w:rsid w:val="00EE4151"/>
    <w:rsid w:val="00EF08C0"/>
    <w:rsid w:val="00EF12B5"/>
    <w:rsid w:val="00EF2561"/>
    <w:rsid w:val="00EF3F60"/>
    <w:rsid w:val="00EF7CB2"/>
    <w:rsid w:val="00F05CD4"/>
    <w:rsid w:val="00F05DD5"/>
    <w:rsid w:val="00F108D7"/>
    <w:rsid w:val="00F21E1F"/>
    <w:rsid w:val="00F22A87"/>
    <w:rsid w:val="00F263DE"/>
    <w:rsid w:val="00F36DB7"/>
    <w:rsid w:val="00F40C93"/>
    <w:rsid w:val="00F54D4B"/>
    <w:rsid w:val="00F559DD"/>
    <w:rsid w:val="00F56889"/>
    <w:rsid w:val="00F60A91"/>
    <w:rsid w:val="00F61559"/>
    <w:rsid w:val="00F61962"/>
    <w:rsid w:val="00F619DC"/>
    <w:rsid w:val="00F67415"/>
    <w:rsid w:val="00F67A66"/>
    <w:rsid w:val="00F80EF0"/>
    <w:rsid w:val="00F85434"/>
    <w:rsid w:val="00F854BD"/>
    <w:rsid w:val="00F86C26"/>
    <w:rsid w:val="00F877B6"/>
    <w:rsid w:val="00F91097"/>
    <w:rsid w:val="00F929D4"/>
    <w:rsid w:val="00F972D0"/>
    <w:rsid w:val="00FA4660"/>
    <w:rsid w:val="00FA7395"/>
    <w:rsid w:val="00FB0691"/>
    <w:rsid w:val="00FB1DA6"/>
    <w:rsid w:val="00FB2F1F"/>
    <w:rsid w:val="00FB57A7"/>
    <w:rsid w:val="00FB711E"/>
    <w:rsid w:val="00FC13C9"/>
    <w:rsid w:val="00FC27C1"/>
    <w:rsid w:val="00FC5614"/>
    <w:rsid w:val="00FC565F"/>
    <w:rsid w:val="00FC6F43"/>
    <w:rsid w:val="00FC6F62"/>
    <w:rsid w:val="00FD22E1"/>
    <w:rsid w:val="00FD33FC"/>
    <w:rsid w:val="00FD66F8"/>
    <w:rsid w:val="00FD6C36"/>
    <w:rsid w:val="00FD753A"/>
    <w:rsid w:val="00FD7835"/>
    <w:rsid w:val="00FD7AA7"/>
    <w:rsid w:val="00FE09B7"/>
    <w:rsid w:val="00FE3AA5"/>
    <w:rsid w:val="00FE4BD2"/>
    <w:rsid w:val="00FF00F1"/>
    <w:rsid w:val="00FF0378"/>
    <w:rsid w:val="00FF5EDB"/>
    <w:rsid w:val="00FF7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EA22"/>
  <w15:docId w15:val="{C227096D-3159-4A35-BA2F-18CB6C3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FD9"/>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
    <w:basedOn w:val="prastasis"/>
    <w:link w:val="SraopastraipaDiagrama"/>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prastasis"/>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prastasis"/>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prastasis"/>
    <w:rsid w:val="00740D24"/>
    <w:pPr>
      <w:ind w:firstLine="720"/>
      <w:jc w:val="both"/>
    </w:pPr>
    <w:rPr>
      <w:rFonts w:eastAsia="Times New Roman"/>
      <w:szCs w:val="20"/>
    </w:rPr>
  </w:style>
  <w:style w:type="paragraph" w:styleId="Komentarotekstas">
    <w:name w:val="annotation text"/>
    <w:basedOn w:val="prastasis"/>
    <w:link w:val="KomentarotekstasDiagrama"/>
    <w:rsid w:val="00740D24"/>
    <w:pPr>
      <w:ind w:firstLine="720"/>
    </w:pPr>
    <w:rPr>
      <w:rFonts w:eastAsia="Times New Roman"/>
      <w:sz w:val="20"/>
      <w:szCs w:val="20"/>
      <w:lang w:val="x-none" w:eastAsia="x-none"/>
    </w:rPr>
  </w:style>
  <w:style w:type="character" w:customStyle="1" w:styleId="KomentarotekstasDiagrama">
    <w:name w:val="Komentaro tekstas Diagrama"/>
    <w:link w:val="Komentarotekstas"/>
    <w:rsid w:val="00740D24"/>
    <w:rPr>
      <w:rFonts w:ascii="Times New Roman" w:eastAsia="Times New Roman" w:hAnsi="Times New Roman" w:cs="Times New Roman"/>
      <w:sz w:val="20"/>
      <w:szCs w:val="20"/>
      <w:lang w:eastAsia="x-none"/>
    </w:rPr>
  </w:style>
  <w:style w:type="paragraph" w:customStyle="1" w:styleId="tajtip">
    <w:name w:val="tajtip"/>
    <w:basedOn w:val="prastasis"/>
    <w:rsid w:val="00740D24"/>
    <w:pPr>
      <w:spacing w:before="100" w:beforeAutospacing="1" w:after="100" w:afterAutospacing="1"/>
    </w:pPr>
    <w:rPr>
      <w:rFonts w:eastAsia="Times New Roman"/>
      <w:szCs w:val="24"/>
      <w:lang w:eastAsia="lt-LT"/>
    </w:rPr>
  </w:style>
  <w:style w:type="paragraph" w:styleId="Debesliotekstas">
    <w:name w:val="Balloon Text"/>
    <w:basedOn w:val="prastasis"/>
    <w:link w:val="DebesliotekstasDiagrama"/>
    <w:uiPriority w:val="99"/>
    <w:semiHidden/>
    <w:unhideWhenUsed/>
    <w:rsid w:val="00443C9B"/>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43C9B"/>
    <w:rPr>
      <w:rFonts w:ascii="Tahoma" w:hAnsi="Tahoma" w:cs="Tahoma"/>
      <w:sz w:val="16"/>
      <w:szCs w:val="16"/>
    </w:rPr>
  </w:style>
  <w:style w:type="character" w:customStyle="1" w:styleId="SraopastraipaDiagrama">
    <w:name w:val="Sąrašo pastraipa Diagrama"/>
    <w:aliases w:val="List not in Table Diagrama"/>
    <w:link w:val="Sraopastraipa"/>
    <w:uiPriority w:val="34"/>
    <w:locked/>
    <w:rsid w:val="002F29B6"/>
    <w:rPr>
      <w:rFonts w:ascii="Times New Roman" w:hAnsi="Times New Roman"/>
      <w:sz w:val="24"/>
      <w:szCs w:val="22"/>
      <w:lang w:eastAsia="en-US"/>
    </w:rPr>
  </w:style>
  <w:style w:type="paragraph" w:styleId="Antrats">
    <w:name w:val="header"/>
    <w:basedOn w:val="prastasis"/>
    <w:link w:val="AntratsDiagrama"/>
    <w:uiPriority w:val="99"/>
    <w:rsid w:val="002F29B6"/>
    <w:pPr>
      <w:tabs>
        <w:tab w:val="center" w:pos="4153"/>
        <w:tab w:val="right" w:pos="8306"/>
      </w:tabs>
    </w:pPr>
    <w:rPr>
      <w:rFonts w:eastAsia="Times New Roman"/>
      <w:szCs w:val="24"/>
      <w:lang w:val="en-GB"/>
    </w:rPr>
  </w:style>
  <w:style w:type="character" w:customStyle="1" w:styleId="AntratsDiagrama">
    <w:name w:val="Antraštės Diagrama"/>
    <w:link w:val="Antrats"/>
    <w:uiPriority w:val="99"/>
    <w:rsid w:val="002F29B6"/>
    <w:rPr>
      <w:rFonts w:ascii="Times New Roman" w:eastAsia="Times New Roman" w:hAnsi="Times New Roman"/>
      <w:sz w:val="24"/>
      <w:szCs w:val="24"/>
      <w:lang w:val="en-GB" w:eastAsia="en-US"/>
    </w:rPr>
  </w:style>
  <w:style w:type="paragraph" w:styleId="Betarp">
    <w:name w:val="No Spacing"/>
    <w:uiPriority w:val="1"/>
    <w:qFormat/>
    <w:rsid w:val="001A5DDF"/>
    <w:pPr>
      <w:ind w:firstLine="720"/>
    </w:pPr>
    <w:rPr>
      <w:rFonts w:ascii="Times New Roman" w:eastAsia="Times New Roman" w:hAnsi="Times New Roman"/>
      <w:sz w:val="24"/>
      <w:lang w:eastAsia="en-US"/>
    </w:rPr>
  </w:style>
  <w:style w:type="character" w:styleId="Komentaronuoroda">
    <w:name w:val="annotation reference"/>
    <w:rsid w:val="003B72FB"/>
    <w:rPr>
      <w:sz w:val="16"/>
      <w:szCs w:val="16"/>
    </w:rPr>
  </w:style>
  <w:style w:type="paragraph" w:styleId="prastasiniatinklio">
    <w:name w:val="Normal (Web)"/>
    <w:basedOn w:val="prastasis"/>
    <w:uiPriority w:val="99"/>
    <w:unhideWhenUsed/>
    <w:rsid w:val="00E45B98"/>
    <w:pPr>
      <w:spacing w:before="100" w:beforeAutospacing="1" w:after="100" w:afterAutospacing="1"/>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6646D6"/>
    <w:pPr>
      <w:ind w:firstLine="0"/>
    </w:pPr>
    <w:rPr>
      <w:b/>
      <w:bCs/>
      <w:lang w:eastAsia="en-US"/>
    </w:rPr>
  </w:style>
  <w:style w:type="character" w:customStyle="1" w:styleId="KomentarotemaDiagrama">
    <w:name w:val="Komentaro tema Diagrama"/>
    <w:link w:val="Komentarotema"/>
    <w:uiPriority w:val="99"/>
    <w:semiHidden/>
    <w:rsid w:val="006646D6"/>
    <w:rPr>
      <w:rFonts w:ascii="Times New Roman" w:eastAsia="Times New Roman" w:hAnsi="Times New Roman" w:cs="Times New Roman"/>
      <w:b/>
      <w:bCs/>
      <w:sz w:val="20"/>
      <w:szCs w:val="20"/>
      <w:lang w:eastAsia="en-US"/>
    </w:rPr>
  </w:style>
  <w:style w:type="paragraph" w:styleId="Porat">
    <w:name w:val="footer"/>
    <w:basedOn w:val="prastasis"/>
    <w:link w:val="PoratDiagrama"/>
    <w:unhideWhenUsed/>
    <w:rsid w:val="00B06B6A"/>
    <w:pPr>
      <w:tabs>
        <w:tab w:val="center" w:pos="4513"/>
        <w:tab w:val="right" w:pos="9026"/>
      </w:tabs>
    </w:pPr>
  </w:style>
  <w:style w:type="character" w:customStyle="1" w:styleId="PoratDiagrama">
    <w:name w:val="Poraštė Diagrama"/>
    <w:basedOn w:val="Numatytasispastraiposriftas"/>
    <w:link w:val="Porat"/>
    <w:rsid w:val="00B06B6A"/>
    <w:rPr>
      <w:rFonts w:ascii="Times New Roman" w:hAnsi="Times New Roman"/>
      <w:sz w:val="24"/>
      <w:szCs w:val="22"/>
      <w:lang w:eastAsia="en-US"/>
    </w:rPr>
  </w:style>
  <w:style w:type="paragraph" w:styleId="Dokumentoinaostekstas">
    <w:name w:val="endnote text"/>
    <w:basedOn w:val="prastasis"/>
    <w:link w:val="DokumentoinaostekstasDiagrama"/>
    <w:unhideWhenUsed/>
    <w:rsid w:val="009B23FB"/>
    <w:pPr>
      <w:overflowPunct w:val="0"/>
      <w:autoSpaceDE w:val="0"/>
      <w:autoSpaceDN w:val="0"/>
      <w:adjustRightInd w:val="0"/>
      <w:textAlignment w:val="baseline"/>
    </w:pPr>
    <w:rPr>
      <w:rFonts w:ascii="TimesLT" w:eastAsia="Times New Roman" w:hAnsi="TimesLT"/>
      <w:sz w:val="20"/>
      <w:szCs w:val="20"/>
      <w:lang w:val="en-GB"/>
    </w:rPr>
  </w:style>
  <w:style w:type="character" w:customStyle="1" w:styleId="DokumentoinaostekstasDiagrama">
    <w:name w:val="Dokumento išnašos tekstas Diagrama"/>
    <w:basedOn w:val="Numatytasispastraiposriftas"/>
    <w:link w:val="Dokumentoinaostekstas"/>
    <w:rsid w:val="009B23FB"/>
    <w:rPr>
      <w:rFonts w:ascii="TimesLT" w:eastAsia="Times New Roman" w:hAnsi="TimesLT"/>
      <w:lang w:val="en-GB" w:eastAsia="en-US"/>
    </w:rPr>
  </w:style>
  <w:style w:type="character" w:styleId="Dokumentoinaosnumeris">
    <w:name w:val="endnote reference"/>
    <w:basedOn w:val="Numatytasispastraiposriftas"/>
    <w:semiHidden/>
    <w:unhideWhenUsed/>
    <w:rsid w:val="009B23FB"/>
    <w:rPr>
      <w:vertAlign w:val="superscript"/>
    </w:rPr>
  </w:style>
  <w:style w:type="paragraph" w:customStyle="1" w:styleId="Default">
    <w:name w:val="Default"/>
    <w:rsid w:val="00F05DD5"/>
    <w:pPr>
      <w:autoSpaceDE w:val="0"/>
      <w:autoSpaceDN w:val="0"/>
      <w:adjustRightInd w:val="0"/>
    </w:pPr>
    <w:rPr>
      <w:rFonts w:ascii="Times New Roman" w:hAnsi="Times New Roman"/>
      <w:color w:val="000000"/>
      <w:sz w:val="24"/>
      <w:szCs w:val="24"/>
    </w:rPr>
  </w:style>
  <w:style w:type="paragraph" w:styleId="Pagrindinistekstas2">
    <w:name w:val="Body Text 2"/>
    <w:basedOn w:val="prastasis"/>
    <w:link w:val="Pagrindinistekstas2Diagrama"/>
    <w:uiPriority w:val="99"/>
    <w:semiHidden/>
    <w:unhideWhenUsed/>
    <w:rsid w:val="009C7B16"/>
    <w:pPr>
      <w:spacing w:before="20" w:line="360" w:lineRule="auto"/>
    </w:pPr>
    <w:rPr>
      <w:rFonts w:ascii="Arial" w:eastAsia="Times New Roman" w:hAnsi="Arial" w:cs="Arial"/>
      <w:sz w:val="20"/>
      <w:szCs w:val="20"/>
      <w:lang w:eastAsia="lt-LT"/>
    </w:rPr>
  </w:style>
  <w:style w:type="character" w:customStyle="1" w:styleId="Pagrindinistekstas2Diagrama">
    <w:name w:val="Pagrindinis tekstas 2 Diagrama"/>
    <w:basedOn w:val="Numatytasispastraiposriftas"/>
    <w:link w:val="Pagrindinistekstas2"/>
    <w:uiPriority w:val="99"/>
    <w:semiHidden/>
    <w:rsid w:val="009C7B16"/>
    <w:rPr>
      <w:rFonts w:ascii="Arial" w:eastAsia="Times New Roman" w:hAnsi="Arial" w:cs="Arial"/>
    </w:rPr>
  </w:style>
  <w:style w:type="character" w:styleId="Hipersaitas">
    <w:name w:val="Hyperlink"/>
    <w:semiHidden/>
    <w:unhideWhenUsed/>
    <w:rsid w:val="002B1F7A"/>
    <w:rPr>
      <w:color w:val="000080"/>
      <w:u w:val="single"/>
    </w:rPr>
  </w:style>
  <w:style w:type="paragraph" w:styleId="Puslapioinaostekstas">
    <w:name w:val="footnote text"/>
    <w:basedOn w:val="prastasis"/>
    <w:link w:val="PuslapioinaostekstasDiagrama"/>
    <w:uiPriority w:val="99"/>
    <w:semiHidden/>
    <w:unhideWhenUsed/>
    <w:rsid w:val="002B1F7A"/>
    <w:pPr>
      <w:widowControl w:val="0"/>
      <w:suppressAutoHyphens/>
    </w:pPr>
    <w:rPr>
      <w:rFonts w:eastAsia="Andale Sans UI" w:cs="Tahoma"/>
      <w:sz w:val="20"/>
      <w:szCs w:val="20"/>
      <w:lang w:bidi="en-US"/>
    </w:rPr>
  </w:style>
  <w:style w:type="character" w:customStyle="1" w:styleId="PuslapioinaostekstasDiagrama">
    <w:name w:val="Puslapio išnašos tekstas Diagrama"/>
    <w:basedOn w:val="Numatytasispastraiposriftas"/>
    <w:link w:val="Puslapioinaostekstas"/>
    <w:uiPriority w:val="99"/>
    <w:semiHidden/>
    <w:rsid w:val="002B1F7A"/>
    <w:rPr>
      <w:rFonts w:ascii="Times New Roman" w:eastAsia="Andale Sans UI" w:hAnsi="Times New Roman" w:cs="Tahoma"/>
      <w:lang w:eastAsia="en-US" w:bidi="en-US"/>
    </w:rPr>
  </w:style>
  <w:style w:type="paragraph" w:styleId="Sraas">
    <w:name w:val="List"/>
    <w:basedOn w:val="Pagrindinistekstas"/>
    <w:unhideWhenUsed/>
    <w:rsid w:val="002B1F7A"/>
    <w:pPr>
      <w:widowControl w:val="0"/>
      <w:suppressAutoHyphens/>
      <w:spacing w:after="0"/>
      <w:ind w:firstLine="567"/>
      <w:jc w:val="both"/>
    </w:pPr>
    <w:rPr>
      <w:rFonts w:eastAsia="Andale Sans UI" w:cs="Tahoma"/>
      <w:szCs w:val="24"/>
      <w:lang w:bidi="en-US"/>
    </w:rPr>
  </w:style>
  <w:style w:type="character" w:styleId="Puslapioinaosnuoroda">
    <w:name w:val="footnote reference"/>
    <w:uiPriority w:val="99"/>
    <w:semiHidden/>
    <w:unhideWhenUsed/>
    <w:rsid w:val="002B1F7A"/>
    <w:rPr>
      <w:vertAlign w:val="superscript"/>
    </w:rPr>
  </w:style>
  <w:style w:type="paragraph" w:styleId="Pagrindinistekstas">
    <w:name w:val="Body Text"/>
    <w:basedOn w:val="prastasis"/>
    <w:link w:val="PagrindinistekstasDiagrama"/>
    <w:uiPriority w:val="99"/>
    <w:semiHidden/>
    <w:unhideWhenUsed/>
    <w:rsid w:val="002B1F7A"/>
    <w:pPr>
      <w:spacing w:after="120"/>
    </w:pPr>
  </w:style>
  <w:style w:type="character" w:customStyle="1" w:styleId="PagrindinistekstasDiagrama">
    <w:name w:val="Pagrindinis tekstas Diagrama"/>
    <w:basedOn w:val="Numatytasispastraiposriftas"/>
    <w:link w:val="Pagrindinistekstas"/>
    <w:uiPriority w:val="99"/>
    <w:semiHidden/>
    <w:rsid w:val="002B1F7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61415">
      <w:bodyDiv w:val="1"/>
      <w:marLeft w:val="0"/>
      <w:marRight w:val="0"/>
      <w:marTop w:val="0"/>
      <w:marBottom w:val="0"/>
      <w:divBdr>
        <w:top w:val="none" w:sz="0" w:space="0" w:color="auto"/>
        <w:left w:val="none" w:sz="0" w:space="0" w:color="auto"/>
        <w:bottom w:val="none" w:sz="0" w:space="0" w:color="auto"/>
        <w:right w:val="none" w:sz="0" w:space="0" w:color="auto"/>
      </w:divBdr>
      <w:divsChild>
        <w:div w:id="757020379">
          <w:marLeft w:val="0"/>
          <w:marRight w:val="0"/>
          <w:marTop w:val="0"/>
          <w:marBottom w:val="0"/>
          <w:divBdr>
            <w:top w:val="none" w:sz="0" w:space="0" w:color="auto"/>
            <w:left w:val="none" w:sz="0" w:space="0" w:color="auto"/>
            <w:bottom w:val="none" w:sz="0" w:space="0" w:color="auto"/>
            <w:right w:val="none" w:sz="0" w:space="0" w:color="auto"/>
          </w:divBdr>
          <w:divsChild>
            <w:div w:id="1214275478">
              <w:marLeft w:val="0"/>
              <w:marRight w:val="0"/>
              <w:marTop w:val="0"/>
              <w:marBottom w:val="0"/>
              <w:divBdr>
                <w:top w:val="none" w:sz="0" w:space="0" w:color="auto"/>
                <w:left w:val="none" w:sz="0" w:space="0" w:color="auto"/>
                <w:bottom w:val="none" w:sz="0" w:space="0" w:color="auto"/>
                <w:right w:val="none" w:sz="0" w:space="0" w:color="auto"/>
              </w:divBdr>
              <w:divsChild>
                <w:div w:id="871847867">
                  <w:marLeft w:val="0"/>
                  <w:marRight w:val="0"/>
                  <w:marTop w:val="0"/>
                  <w:marBottom w:val="0"/>
                  <w:divBdr>
                    <w:top w:val="none" w:sz="0" w:space="0" w:color="auto"/>
                    <w:left w:val="none" w:sz="0" w:space="0" w:color="auto"/>
                    <w:bottom w:val="none" w:sz="0" w:space="0" w:color="auto"/>
                    <w:right w:val="none" w:sz="0" w:space="0" w:color="auto"/>
                  </w:divBdr>
                  <w:divsChild>
                    <w:div w:id="1868594716">
                      <w:marLeft w:val="0"/>
                      <w:marRight w:val="0"/>
                      <w:marTop w:val="0"/>
                      <w:marBottom w:val="0"/>
                      <w:divBdr>
                        <w:top w:val="none" w:sz="0" w:space="0" w:color="auto"/>
                        <w:left w:val="none" w:sz="0" w:space="0" w:color="auto"/>
                        <w:bottom w:val="none" w:sz="0" w:space="0" w:color="auto"/>
                        <w:right w:val="none" w:sz="0" w:space="0" w:color="auto"/>
                      </w:divBdr>
                      <w:divsChild>
                        <w:div w:id="11018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5708">
      <w:bodyDiv w:val="1"/>
      <w:marLeft w:val="0"/>
      <w:marRight w:val="0"/>
      <w:marTop w:val="0"/>
      <w:marBottom w:val="0"/>
      <w:divBdr>
        <w:top w:val="none" w:sz="0" w:space="0" w:color="auto"/>
        <w:left w:val="none" w:sz="0" w:space="0" w:color="auto"/>
        <w:bottom w:val="none" w:sz="0" w:space="0" w:color="auto"/>
        <w:right w:val="none" w:sz="0" w:space="0" w:color="auto"/>
      </w:divBdr>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309973">
      <w:bodyDiv w:val="1"/>
      <w:marLeft w:val="0"/>
      <w:marRight w:val="0"/>
      <w:marTop w:val="0"/>
      <w:marBottom w:val="0"/>
      <w:divBdr>
        <w:top w:val="none" w:sz="0" w:space="0" w:color="auto"/>
        <w:left w:val="none" w:sz="0" w:space="0" w:color="auto"/>
        <w:bottom w:val="none" w:sz="0" w:space="0" w:color="auto"/>
        <w:right w:val="none" w:sz="0" w:space="0" w:color="auto"/>
      </w:divBdr>
    </w:div>
    <w:div w:id="966660457">
      <w:bodyDiv w:val="1"/>
      <w:marLeft w:val="0"/>
      <w:marRight w:val="0"/>
      <w:marTop w:val="0"/>
      <w:marBottom w:val="0"/>
      <w:divBdr>
        <w:top w:val="none" w:sz="0" w:space="0" w:color="auto"/>
        <w:left w:val="none" w:sz="0" w:space="0" w:color="auto"/>
        <w:bottom w:val="none" w:sz="0" w:space="0" w:color="auto"/>
        <w:right w:val="none" w:sz="0" w:space="0" w:color="auto"/>
      </w:divBdr>
    </w:div>
    <w:div w:id="1167287084">
      <w:bodyDiv w:val="1"/>
      <w:marLeft w:val="0"/>
      <w:marRight w:val="0"/>
      <w:marTop w:val="0"/>
      <w:marBottom w:val="0"/>
      <w:divBdr>
        <w:top w:val="none" w:sz="0" w:space="0" w:color="auto"/>
        <w:left w:val="none" w:sz="0" w:space="0" w:color="auto"/>
        <w:bottom w:val="none" w:sz="0" w:space="0" w:color="auto"/>
        <w:right w:val="none" w:sz="0" w:space="0" w:color="auto"/>
      </w:divBdr>
    </w:div>
    <w:div w:id="1355375231">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573278280">
      <w:bodyDiv w:val="1"/>
      <w:marLeft w:val="0"/>
      <w:marRight w:val="0"/>
      <w:marTop w:val="0"/>
      <w:marBottom w:val="0"/>
      <w:divBdr>
        <w:top w:val="none" w:sz="0" w:space="0" w:color="auto"/>
        <w:left w:val="none" w:sz="0" w:space="0" w:color="auto"/>
        <w:bottom w:val="none" w:sz="0" w:space="0" w:color="auto"/>
        <w:right w:val="none" w:sz="0" w:space="0" w:color="auto"/>
      </w:divBdr>
    </w:div>
    <w:div w:id="1604459049">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2099478048">
                          <w:marLeft w:val="0"/>
                          <w:marRight w:val="0"/>
                          <w:marTop w:val="0"/>
                          <w:marBottom w:val="0"/>
                          <w:divBdr>
                            <w:top w:val="none" w:sz="0" w:space="0" w:color="auto"/>
                            <w:left w:val="none" w:sz="0" w:space="0" w:color="auto"/>
                            <w:bottom w:val="none" w:sz="0" w:space="0" w:color="auto"/>
                            <w:right w:val="none" w:sz="0" w:space="0" w:color="auto"/>
                          </w:divBdr>
                        </w:div>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874490672">
      <w:bodyDiv w:val="1"/>
      <w:marLeft w:val="0"/>
      <w:marRight w:val="0"/>
      <w:marTop w:val="0"/>
      <w:marBottom w:val="0"/>
      <w:divBdr>
        <w:top w:val="none" w:sz="0" w:space="0" w:color="auto"/>
        <w:left w:val="none" w:sz="0" w:space="0" w:color="auto"/>
        <w:bottom w:val="none" w:sz="0" w:space="0" w:color="auto"/>
        <w:right w:val="none" w:sz="0" w:space="0" w:color="auto"/>
      </w:divBdr>
      <w:divsChild>
        <w:div w:id="57217585">
          <w:marLeft w:val="0"/>
          <w:marRight w:val="0"/>
          <w:marTop w:val="0"/>
          <w:marBottom w:val="0"/>
          <w:divBdr>
            <w:top w:val="none" w:sz="0" w:space="0" w:color="auto"/>
            <w:left w:val="none" w:sz="0" w:space="0" w:color="auto"/>
            <w:bottom w:val="none" w:sz="0" w:space="0" w:color="auto"/>
            <w:right w:val="none" w:sz="0" w:space="0" w:color="auto"/>
          </w:divBdr>
        </w:div>
      </w:divsChild>
    </w:div>
    <w:div w:id="1915820903">
      <w:bodyDiv w:val="1"/>
      <w:marLeft w:val="0"/>
      <w:marRight w:val="0"/>
      <w:marTop w:val="0"/>
      <w:marBottom w:val="0"/>
      <w:divBdr>
        <w:top w:val="none" w:sz="0" w:space="0" w:color="auto"/>
        <w:left w:val="none" w:sz="0" w:space="0" w:color="auto"/>
        <w:bottom w:val="none" w:sz="0" w:space="0" w:color="auto"/>
        <w:right w:val="none" w:sz="0" w:space="0" w:color="auto"/>
      </w:divBdr>
      <w:divsChild>
        <w:div w:id="681202303">
          <w:marLeft w:val="0"/>
          <w:marRight w:val="0"/>
          <w:marTop w:val="0"/>
          <w:marBottom w:val="0"/>
          <w:divBdr>
            <w:top w:val="none" w:sz="0" w:space="0" w:color="auto"/>
            <w:left w:val="none" w:sz="0" w:space="0" w:color="auto"/>
            <w:bottom w:val="none" w:sz="0" w:space="0" w:color="auto"/>
            <w:right w:val="none" w:sz="0" w:space="0" w:color="auto"/>
          </w:divBdr>
        </w:div>
      </w:divsChild>
    </w:div>
    <w:div w:id="1975405198">
      <w:bodyDiv w:val="1"/>
      <w:marLeft w:val="0"/>
      <w:marRight w:val="0"/>
      <w:marTop w:val="0"/>
      <w:marBottom w:val="0"/>
      <w:divBdr>
        <w:top w:val="none" w:sz="0" w:space="0" w:color="auto"/>
        <w:left w:val="none" w:sz="0" w:space="0" w:color="auto"/>
        <w:bottom w:val="none" w:sz="0" w:space="0" w:color="auto"/>
        <w:right w:val="none" w:sz="0" w:space="0" w:color="auto"/>
      </w:divBdr>
    </w:div>
    <w:div w:id="198261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80367-149D-434B-8A3E-FFA63520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4870</Words>
  <Characters>2777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Energetikos ministerija</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2020-10-14T09:37:00Z</dcterms:created>
  <dc:creator>AG</dc:creator>
  <cp:lastModifiedBy>Laurynas Buzys</cp:lastModifiedBy>
  <cp:lastPrinted>2019-06-14T06:53:00Z</cp:lastPrinted>
  <dcterms:modified xsi:type="dcterms:W3CDTF">2020-10-14T09:38:00Z</dcterms:modified>
  <cp:revision>3</cp:revision>
</cp:coreProperties>
</file>