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Default="00B62297" w:rsidP="00FB2A12">
      <w:pPr>
        <w:jc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NUMATOMO TEISINIO REGULIAVIMO POVEIKIO VERTINIMO PAŽYM</w:t>
      </w:r>
      <w:r w:rsidR="00626E65">
        <w:rPr>
          <w:b/>
          <w:color w:val="000000"/>
          <w:szCs w:val="24"/>
        </w:rPr>
        <w:t>A</w:t>
      </w:r>
    </w:p>
    <w:p w:rsidR="00626E65" w:rsidRDefault="00626E65" w:rsidP="00626E65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5"/>
        <w:gridCol w:w="7082"/>
      </w:tblGrid>
      <w:tr w:rsidR="004114EB" w:rsidRPr="003A21B9" w:rsidTr="00911DB0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9E2F3"/>
          </w:tcPr>
          <w:p w:rsidR="002B0D50" w:rsidRPr="009A2231" w:rsidRDefault="009A2231" w:rsidP="002B0D50">
            <w:pPr>
              <w:jc w:val="both"/>
            </w:pPr>
            <w:r>
              <w:t>Lietuvos R</w:t>
            </w:r>
            <w:r w:rsidRPr="009A2231">
              <w:t xml:space="preserve">espublikos aplinkos </w:t>
            </w:r>
            <w:r w:rsidR="002B0D50">
              <w:t>apsaugos valstybinės kontrolės įstatymo Nr. IX-1005 47, 48, 49, 50, 53 straipsnių pakeitimo ir įstatymo papildymo 48</w:t>
            </w:r>
            <w:r w:rsidR="002B0D50" w:rsidRPr="002B0D50">
              <w:rPr>
                <w:vertAlign w:val="superscript"/>
              </w:rPr>
              <w:t>1</w:t>
            </w:r>
            <w:r w:rsidR="002B0D50">
              <w:t xml:space="preserve"> straipsniu</w:t>
            </w:r>
            <w:r w:rsidRPr="009A2231">
              <w:t xml:space="preserve"> </w:t>
            </w:r>
            <w:r w:rsidR="00F33B54">
              <w:t xml:space="preserve">įstatymo </w:t>
            </w:r>
            <w:r w:rsidRPr="009A2231">
              <w:t>projektas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4D373B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965D46" w:rsidRPr="003A21B9">
              <w:rPr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6"/>
        <w:gridCol w:w="7101"/>
      </w:tblGrid>
      <w:tr w:rsidR="00B62297" w:rsidRPr="003A21B9" w:rsidTr="00A315CC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</w:tcPr>
          <w:p w:rsidR="009A2231" w:rsidRPr="003A21B9" w:rsidRDefault="00F33B54" w:rsidP="009A2231">
            <w:pPr>
              <w:spacing w:after="120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Įstatymo projektas parengtas įgyvendinant Aštuonioliktosios Lietuvos Respublikos Vyriausybės programos pilietiškos aplinkosaugos iniciatyvą (</w:t>
            </w:r>
            <w:r w:rsidRPr="00852260">
              <w:rPr>
                <w:rFonts w:eastAsia="Calibri"/>
                <w:szCs w:val="24"/>
              </w:rPr>
              <w:t>169.5 p.)</w:t>
            </w:r>
            <w:r>
              <w:rPr>
                <w:rFonts w:eastAsia="Calibri"/>
                <w:szCs w:val="24"/>
              </w:rPr>
              <w:t xml:space="preserve"> ir siekiant užtikrinti efektyvią neetatinių aplinkos apsaugos inspektorių teikiamą pagalbą aplinkos apsaugos valstybinę kontrolę vykdančiai institucijai ir aplinkos apsaugos valstybinės kontrolės pareigūnams, stiprinti gamtos išteklių apsaugą.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A7932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A7932" w:rsidRDefault="00B62297" w:rsidP="004D373B">
            <w:pPr>
              <w:rPr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A7932" w:rsidRDefault="00B62297" w:rsidP="004D373B">
            <w:pPr>
              <w:jc w:val="center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:rsidR="00B62297" w:rsidRPr="00CA7932" w:rsidRDefault="00B62297" w:rsidP="004D373B">
            <w:pPr>
              <w:jc w:val="center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(</w:t>
            </w:r>
            <w:r w:rsidRPr="00CA7932">
              <w:rPr>
                <w:b/>
                <w:bCs/>
                <w:sz w:val="22"/>
                <w:szCs w:val="22"/>
              </w:rPr>
              <w:t>teigiamos ir (ar) neigiamos pasekmės)</w:t>
            </w:r>
          </w:p>
        </w:tc>
      </w:tr>
    </w:tbl>
    <w:p w:rsidR="00B62297" w:rsidRDefault="00B62297" w:rsidP="00B62297"/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A7932" w:rsidTr="004D373B">
        <w:tc>
          <w:tcPr>
            <w:tcW w:w="2235" w:type="dxa"/>
            <w:shd w:val="clear" w:color="auto" w:fill="DBE5F1"/>
          </w:tcPr>
          <w:p w:rsidR="00B62297" w:rsidRPr="00CA7932" w:rsidRDefault="00D247C1" w:rsidP="00B57F49">
            <w:pPr>
              <w:rPr>
                <w:b/>
                <w:szCs w:val="22"/>
              </w:rPr>
            </w:pPr>
            <w:r w:rsidRPr="00D247C1">
              <w:rPr>
                <w:b/>
                <w:szCs w:val="24"/>
              </w:rPr>
              <w:t>Poveikis aplinkai ir klimato kaitai</w:t>
            </w:r>
          </w:p>
        </w:tc>
        <w:tc>
          <w:tcPr>
            <w:tcW w:w="6945" w:type="dxa"/>
          </w:tcPr>
          <w:p w:rsidR="00B62297" w:rsidRPr="00FE6341" w:rsidRDefault="00DC0EF9" w:rsidP="005B005B">
            <w:pPr>
              <w:jc w:val="both"/>
              <w:rPr>
                <w:szCs w:val="22"/>
                <w:highlight w:val="yellow"/>
              </w:rPr>
            </w:pPr>
            <w:r w:rsidRPr="00FE6341">
              <w:rPr>
                <w:sz w:val="22"/>
                <w:szCs w:val="22"/>
              </w:rPr>
              <w:t>Neigiamų pasekmių nenumatoma.</w:t>
            </w:r>
          </w:p>
        </w:tc>
      </w:tr>
    </w:tbl>
    <w:p w:rsidR="00B62297" w:rsidRDefault="00B62297" w:rsidP="00B62297"/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A7932" w:rsidTr="004D373B">
        <w:tc>
          <w:tcPr>
            <w:tcW w:w="2235" w:type="dxa"/>
            <w:shd w:val="clear" w:color="auto" w:fill="DBE5F1"/>
            <w:hideMark/>
          </w:tcPr>
          <w:p w:rsidR="00B62297" w:rsidRPr="00CA7932" w:rsidRDefault="00B62297" w:rsidP="004D373B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Poveikis </w:t>
            </w:r>
          </w:p>
          <w:p w:rsidR="00B62297" w:rsidRPr="00CA7932" w:rsidRDefault="00B62297" w:rsidP="004D373B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Default="0020056A" w:rsidP="009772D0">
            <w:pPr>
              <w:jc w:val="both"/>
              <w:rPr>
                <w:sz w:val="22"/>
                <w:szCs w:val="22"/>
              </w:rPr>
            </w:pPr>
          </w:p>
          <w:p w:rsidR="00B62297" w:rsidRPr="00CA7932" w:rsidRDefault="009772D0" w:rsidP="009772D0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Įsakymo projekto įgyvendinimui papildomų biudžeto lėšų nereik</w:t>
            </w:r>
            <w:r w:rsidR="00BD7B04">
              <w:rPr>
                <w:sz w:val="22"/>
                <w:szCs w:val="22"/>
              </w:rPr>
              <w:t>ė</w:t>
            </w:r>
            <w:r>
              <w:rPr>
                <w:sz w:val="22"/>
                <w:szCs w:val="22"/>
              </w:rPr>
              <w:t>s.</w:t>
            </w:r>
          </w:p>
        </w:tc>
      </w:tr>
    </w:tbl>
    <w:p w:rsidR="00B62297" w:rsidRDefault="00B62297" w:rsidP="00B622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A7932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Pr="00FB2A12" w:rsidRDefault="00B62297" w:rsidP="00FB2A12">
            <w:pPr>
              <w:shd w:val="clear" w:color="auto" w:fill="DBE5F1"/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Poveikis administracinei naštai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Default="0020056A" w:rsidP="00AC4C4E">
            <w:pPr>
              <w:jc w:val="both"/>
              <w:rPr>
                <w:sz w:val="22"/>
                <w:szCs w:val="22"/>
              </w:rPr>
            </w:pPr>
          </w:p>
          <w:p w:rsidR="00B62297" w:rsidRPr="00CA7932" w:rsidRDefault="0020056A" w:rsidP="00AC4C4E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Poveikis administracinei naštai nenumatomas.</w:t>
            </w:r>
          </w:p>
        </w:tc>
      </w:tr>
      <w:tr w:rsidR="00B62297" w:rsidRPr="00CA7932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5B005B" w:rsidRDefault="005B005B" w:rsidP="005B005B">
            <w:pPr>
              <w:rPr>
                <w:b/>
                <w:sz w:val="22"/>
                <w:szCs w:val="22"/>
              </w:rPr>
            </w:pPr>
          </w:p>
          <w:p w:rsidR="0036644E" w:rsidRDefault="00B62297" w:rsidP="0036644E">
            <w:pPr>
              <w:rPr>
                <w:b/>
                <w:sz w:val="22"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 xml:space="preserve">Kita svarbi </w:t>
            </w:r>
          </w:p>
          <w:p w:rsidR="00B62297" w:rsidRPr="00CA7932" w:rsidRDefault="00B62297" w:rsidP="00F33B54">
            <w:pPr>
              <w:rPr>
                <w:b/>
                <w:szCs w:val="22"/>
              </w:rPr>
            </w:pPr>
            <w:r w:rsidRPr="00CA7932">
              <w:rPr>
                <w:b/>
                <w:sz w:val="22"/>
                <w:szCs w:val="22"/>
              </w:rPr>
              <w:t>informacija</w:t>
            </w:r>
            <w:r w:rsidR="005B005B">
              <w:rPr>
                <w:b/>
                <w:sz w:val="22"/>
                <w:szCs w:val="22"/>
              </w:rPr>
              <w:t xml:space="preserve">    </w:t>
            </w:r>
            <w:r w:rsidR="00F848DE">
              <w:rPr>
                <w:b/>
                <w:sz w:val="22"/>
                <w:szCs w:val="22"/>
              </w:rPr>
              <w:t xml:space="preserve">               </w:t>
            </w:r>
            <w:r w:rsidR="00F33B54" w:rsidRPr="00F33B54">
              <w:rPr>
                <w:sz w:val="22"/>
                <w:szCs w:val="22"/>
              </w:rPr>
              <w:t>A</w:t>
            </w:r>
            <w:r w:rsidR="009C33C1" w:rsidRPr="00F33B54">
              <w:rPr>
                <w:sz w:val="22"/>
                <w:szCs w:val="22"/>
              </w:rPr>
              <w:t>ntikorupcinio vertinimo pažyma pridedama</w:t>
            </w:r>
            <w:r w:rsidR="00C7555E" w:rsidRPr="00F33B54">
              <w:rPr>
                <w:sz w:val="22"/>
                <w:szCs w:val="22"/>
              </w:rPr>
              <w:t>.</w:t>
            </w:r>
          </w:p>
        </w:tc>
      </w:tr>
      <w:tr w:rsidR="00B62297" w:rsidRPr="00CA7932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A7932" w:rsidRDefault="00B62297" w:rsidP="004D373B">
            <w:pPr>
              <w:rPr>
                <w:b/>
                <w:szCs w:val="22"/>
              </w:rPr>
            </w:pPr>
          </w:p>
        </w:tc>
      </w:tr>
      <w:tr w:rsidR="00B62297" w:rsidRPr="00CA7932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A7932" w:rsidRDefault="00B62297" w:rsidP="004D373B">
            <w:pPr>
              <w:rPr>
                <w:b/>
                <w:szCs w:val="22"/>
              </w:rPr>
            </w:pPr>
          </w:p>
        </w:tc>
      </w:tr>
    </w:tbl>
    <w:p w:rsidR="00B62297" w:rsidRPr="00CA7932" w:rsidRDefault="00B62297" w:rsidP="00B62297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CA7932">
        <w:rPr>
          <w:b/>
          <w:sz w:val="22"/>
          <w:szCs w:val="22"/>
        </w:rPr>
        <w:t>Informacija apie asmenį ir instituciją, atsakingą už poveikio vertinimą</w:t>
      </w:r>
    </w:p>
    <w:p w:rsidR="00B62297" w:rsidRPr="00CA7932" w:rsidRDefault="00B62297" w:rsidP="00B62297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F33B54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Andrius Girdziušas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F33B54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vyriausiasis specialistas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F33B54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F33B54">
              <w:rPr>
                <w:szCs w:val="22"/>
              </w:rPr>
              <w:t>Aplinkos apsaugos politikos įgyvendinimo koordinavimo</w:t>
            </w:r>
            <w:r w:rsidR="00A315CC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grupė 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8E9" w:rsidRPr="002958E9" w:rsidRDefault="00F33B54" w:rsidP="00F33B54">
            <w:pPr>
              <w:pStyle w:val="ListParagraph1"/>
              <w:ind w:left="0"/>
              <w:rPr>
                <w:szCs w:val="22"/>
              </w:rPr>
            </w:pPr>
            <w:r w:rsidRPr="00A9534A">
              <w:t xml:space="preserve">8 </w:t>
            </w:r>
            <w:r>
              <w:t>695</w:t>
            </w:r>
            <w:r w:rsidRPr="00A9534A">
              <w:t xml:space="preserve"> 6</w:t>
            </w:r>
            <w:r>
              <w:rPr>
                <w:lang w:val="en-US"/>
              </w:rPr>
              <w:t>2741</w:t>
            </w:r>
            <w:r w:rsidR="00BE76F7" w:rsidRPr="00BE76F7">
              <w:rPr>
                <w:szCs w:val="22"/>
              </w:rPr>
              <w:t xml:space="preserve">, el. p. </w:t>
            </w:r>
            <w:r>
              <w:rPr>
                <w:szCs w:val="22"/>
              </w:rPr>
              <w:t>andrius.girdziusas</w:t>
            </w:r>
            <w:r w:rsidR="00BE76F7" w:rsidRPr="00BE76F7">
              <w:rPr>
                <w:szCs w:val="22"/>
              </w:rPr>
              <w:t>@am.lt</w:t>
            </w:r>
            <w:r w:rsidR="00BE76F7" w:rsidRPr="00BE76F7">
              <w:rPr>
                <w:szCs w:val="22"/>
              </w:rPr>
              <w:tab/>
            </w:r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D3" w:rsidRDefault="000116D3">
      <w:r>
        <w:separator/>
      </w:r>
    </w:p>
  </w:endnote>
  <w:endnote w:type="continuationSeparator" w:id="0">
    <w:p w:rsidR="000116D3" w:rsidRDefault="0001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D3" w:rsidRDefault="000116D3">
      <w:r>
        <w:separator/>
      </w:r>
    </w:p>
  </w:footnote>
  <w:footnote w:type="continuationSeparator" w:id="0">
    <w:p w:rsidR="000116D3" w:rsidRDefault="0001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116D3"/>
    <w:rsid w:val="000327D8"/>
    <w:rsid w:val="00033AFF"/>
    <w:rsid w:val="000D0B88"/>
    <w:rsid w:val="000F2927"/>
    <w:rsid w:val="0013320C"/>
    <w:rsid w:val="00163364"/>
    <w:rsid w:val="00170E15"/>
    <w:rsid w:val="00191575"/>
    <w:rsid w:val="00192DDB"/>
    <w:rsid w:val="001A35EC"/>
    <w:rsid w:val="0020056A"/>
    <w:rsid w:val="00243EE2"/>
    <w:rsid w:val="002613A2"/>
    <w:rsid w:val="00282936"/>
    <w:rsid w:val="00285F7B"/>
    <w:rsid w:val="002947BF"/>
    <w:rsid w:val="002958E9"/>
    <w:rsid w:val="00296681"/>
    <w:rsid w:val="002A6D41"/>
    <w:rsid w:val="002B0D50"/>
    <w:rsid w:val="002C398D"/>
    <w:rsid w:val="002D482D"/>
    <w:rsid w:val="002F3A84"/>
    <w:rsid w:val="002F4E37"/>
    <w:rsid w:val="003147B1"/>
    <w:rsid w:val="00325481"/>
    <w:rsid w:val="00327F14"/>
    <w:rsid w:val="00340C15"/>
    <w:rsid w:val="0036644E"/>
    <w:rsid w:val="00383E0B"/>
    <w:rsid w:val="003A21B9"/>
    <w:rsid w:val="003B36FF"/>
    <w:rsid w:val="003E64B0"/>
    <w:rsid w:val="003F45EC"/>
    <w:rsid w:val="003F6488"/>
    <w:rsid w:val="004114EB"/>
    <w:rsid w:val="00412786"/>
    <w:rsid w:val="00455C18"/>
    <w:rsid w:val="00455EF2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1E5"/>
    <w:rsid w:val="00652B24"/>
    <w:rsid w:val="006564B6"/>
    <w:rsid w:val="00661EB3"/>
    <w:rsid w:val="0068370C"/>
    <w:rsid w:val="00731F54"/>
    <w:rsid w:val="007438F9"/>
    <w:rsid w:val="00755C68"/>
    <w:rsid w:val="00761D01"/>
    <w:rsid w:val="00790E41"/>
    <w:rsid w:val="00813CFB"/>
    <w:rsid w:val="00817A85"/>
    <w:rsid w:val="00831C6C"/>
    <w:rsid w:val="008B740B"/>
    <w:rsid w:val="008C07F3"/>
    <w:rsid w:val="00911DB0"/>
    <w:rsid w:val="00916F2F"/>
    <w:rsid w:val="00941574"/>
    <w:rsid w:val="009578CA"/>
    <w:rsid w:val="00965D46"/>
    <w:rsid w:val="00976C43"/>
    <w:rsid w:val="009772D0"/>
    <w:rsid w:val="009A2231"/>
    <w:rsid w:val="009A7AEB"/>
    <w:rsid w:val="009C33C1"/>
    <w:rsid w:val="009D2080"/>
    <w:rsid w:val="009F6915"/>
    <w:rsid w:val="009F77E1"/>
    <w:rsid w:val="00A11602"/>
    <w:rsid w:val="00A21C16"/>
    <w:rsid w:val="00A315CC"/>
    <w:rsid w:val="00A350FC"/>
    <w:rsid w:val="00A511BA"/>
    <w:rsid w:val="00A65A3E"/>
    <w:rsid w:val="00A85997"/>
    <w:rsid w:val="00AC4C4E"/>
    <w:rsid w:val="00AD658B"/>
    <w:rsid w:val="00AD70D5"/>
    <w:rsid w:val="00AE2E59"/>
    <w:rsid w:val="00AF5E06"/>
    <w:rsid w:val="00B224B7"/>
    <w:rsid w:val="00B57F49"/>
    <w:rsid w:val="00B62297"/>
    <w:rsid w:val="00B84562"/>
    <w:rsid w:val="00BD7B04"/>
    <w:rsid w:val="00BE7185"/>
    <w:rsid w:val="00BE76F7"/>
    <w:rsid w:val="00C304AC"/>
    <w:rsid w:val="00C60513"/>
    <w:rsid w:val="00C74C12"/>
    <w:rsid w:val="00C7555E"/>
    <w:rsid w:val="00C839CD"/>
    <w:rsid w:val="00C904DB"/>
    <w:rsid w:val="00CB2726"/>
    <w:rsid w:val="00CE2051"/>
    <w:rsid w:val="00CE72B2"/>
    <w:rsid w:val="00D03E7A"/>
    <w:rsid w:val="00D10E21"/>
    <w:rsid w:val="00D247C1"/>
    <w:rsid w:val="00D310D4"/>
    <w:rsid w:val="00D315F0"/>
    <w:rsid w:val="00D46F08"/>
    <w:rsid w:val="00D72C6B"/>
    <w:rsid w:val="00D72F58"/>
    <w:rsid w:val="00D86F1A"/>
    <w:rsid w:val="00D921D4"/>
    <w:rsid w:val="00DA3F33"/>
    <w:rsid w:val="00DA5A05"/>
    <w:rsid w:val="00DB1A27"/>
    <w:rsid w:val="00DC0EF9"/>
    <w:rsid w:val="00DE527D"/>
    <w:rsid w:val="00DF2387"/>
    <w:rsid w:val="00E232E1"/>
    <w:rsid w:val="00E241B8"/>
    <w:rsid w:val="00E315F3"/>
    <w:rsid w:val="00EC1555"/>
    <w:rsid w:val="00EC6970"/>
    <w:rsid w:val="00ED0441"/>
    <w:rsid w:val="00ED3D12"/>
    <w:rsid w:val="00EE76B7"/>
    <w:rsid w:val="00EF3D54"/>
    <w:rsid w:val="00F03222"/>
    <w:rsid w:val="00F30B07"/>
    <w:rsid w:val="00F31F9A"/>
    <w:rsid w:val="00F33B54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EF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E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2021-05-24T06:50:00Z</dcterms:created>
  <dc:creator>l.stumbriene</dc:creator>
  <cp:lastModifiedBy>Andrius Girdziušas</cp:lastModifiedBy>
  <dcterms:modified xsi:type="dcterms:W3CDTF">2021-05-24T06:50:00Z</dcterms:modified>
  <cp:revision>2</cp:revision>
</cp:coreProperties>
</file>