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3A5D4F" w14:textId="31F2D081" w:rsidR="00DF6ACE" w:rsidRPr="00DD25B2" w:rsidRDefault="00BC4199" w:rsidP="00647B9B">
      <w:pPr>
        <w:spacing w:after="0" w:line="240" w:lineRule="auto"/>
        <w:jc w:val="center"/>
        <w:rPr>
          <w:rFonts w:ascii="Times New Roman" w:hAnsi="Times New Roman" w:cs="Times New Roman"/>
          <w:b/>
        </w:rPr>
      </w:pPr>
      <w:r w:rsidRPr="00DD25B2">
        <w:rPr>
          <w:rFonts w:ascii="Times New Roman" w:hAnsi="Times New Roman" w:cs="Times New Roman"/>
          <w:b/>
        </w:rPr>
        <w:t>LIETUVOS RESPUBLIKOS VYRIAUSYBĖS NUTARIMO</w:t>
      </w:r>
    </w:p>
    <w:p w14:paraId="16F86A74" w14:textId="2A8A0DEE" w:rsidR="0021390F" w:rsidRPr="00DD25B2" w:rsidRDefault="00BC4199" w:rsidP="00647B9B">
      <w:pPr>
        <w:widowControl w:val="0"/>
        <w:spacing w:after="0" w:line="240" w:lineRule="auto"/>
        <w:jc w:val="center"/>
        <w:rPr>
          <w:rFonts w:ascii="Times New Roman" w:hAnsi="Times New Roman" w:cs="Times New Roman"/>
          <w:b/>
        </w:rPr>
      </w:pPr>
      <w:r w:rsidRPr="00DD25B2">
        <w:rPr>
          <w:rFonts w:ascii="Times New Roman" w:hAnsi="Times New Roman" w:cs="Times New Roman"/>
          <w:b/>
        </w:rPr>
        <w:t>DĖL LIETUVOS RESPUBLIKOS VYRIAUSYBĖS 2015 M. BIRŽELIO 17 D. NUTARIMO NR. 631 „DĖL KANDIDATŲ Į VALSTYBĖS AR SAVIVALDYBĖS ĮMONĖS, VALSTYBĖS AR SAVIVALDYBĖS VALDOMOS BENDROVĖS AR JOS DUKTERINĖS BENDROVĖS KOLEGIALŲ PRIEŽIŪROS AR VALDYMO ORGANĄ ATRANKOS APRAŠO PATVIRTINIMO“ PAKEITIMO PROJEKTO</w:t>
      </w:r>
    </w:p>
    <w:p w14:paraId="1DC04D2C" w14:textId="70F6F6E0" w:rsidR="0021390F" w:rsidRDefault="00BC4199" w:rsidP="005D421F">
      <w:pPr>
        <w:pStyle w:val="NoSpacing"/>
        <w:jc w:val="center"/>
        <w:rPr>
          <w:rFonts w:eastAsiaTheme="minorHAnsi"/>
          <w:b/>
          <w:sz w:val="22"/>
          <w:szCs w:val="22"/>
        </w:rPr>
      </w:pPr>
      <w:r w:rsidRPr="00DD25B2">
        <w:rPr>
          <w:rFonts w:eastAsiaTheme="minorHAnsi"/>
          <w:b/>
          <w:sz w:val="22"/>
          <w:szCs w:val="22"/>
        </w:rPr>
        <w:t>DERINIMO PAŽYMA</w:t>
      </w:r>
    </w:p>
    <w:p w14:paraId="4D69E623" w14:textId="77777777" w:rsidR="005D421F" w:rsidRPr="00DD25B2" w:rsidRDefault="005D421F" w:rsidP="0099525F">
      <w:pPr>
        <w:pStyle w:val="NoSpacing"/>
        <w:spacing w:after="120"/>
        <w:jc w:val="center"/>
        <w:rPr>
          <w:rFonts w:eastAsiaTheme="minorHAnsi"/>
          <w:b/>
          <w:sz w:val="22"/>
          <w:szCs w:val="22"/>
        </w:rPr>
      </w:pPr>
    </w:p>
    <w:tbl>
      <w:tblPr>
        <w:tblStyle w:val="TableGrid"/>
        <w:tblW w:w="14737" w:type="dxa"/>
        <w:tblLook w:val="04A0" w:firstRow="1" w:lastRow="0" w:firstColumn="1" w:lastColumn="0" w:noHBand="0" w:noVBand="1"/>
      </w:tblPr>
      <w:tblGrid>
        <w:gridCol w:w="1975"/>
        <w:gridCol w:w="9000"/>
        <w:gridCol w:w="3762"/>
      </w:tblGrid>
      <w:tr w:rsidR="00ED0F72" w:rsidRPr="00EE2A3C" w14:paraId="40C8263B" w14:textId="77777777" w:rsidTr="00F676B9">
        <w:tc>
          <w:tcPr>
            <w:tcW w:w="1975" w:type="dxa"/>
          </w:tcPr>
          <w:p w14:paraId="40C82638" w14:textId="77777777" w:rsidR="00B40A78" w:rsidRPr="00EE2A3C" w:rsidRDefault="00B40A78">
            <w:pPr>
              <w:rPr>
                <w:rFonts w:ascii="Times New Roman" w:hAnsi="Times New Roman" w:cs="Times New Roman"/>
                <w:b/>
              </w:rPr>
            </w:pPr>
            <w:r w:rsidRPr="00EE2A3C">
              <w:rPr>
                <w:rFonts w:ascii="Times New Roman" w:hAnsi="Times New Roman" w:cs="Times New Roman"/>
                <w:b/>
              </w:rPr>
              <w:t>Institucijos pavadinimas (rašto data ir Nr.)</w:t>
            </w:r>
          </w:p>
        </w:tc>
        <w:tc>
          <w:tcPr>
            <w:tcW w:w="9000" w:type="dxa"/>
          </w:tcPr>
          <w:p w14:paraId="40C82639" w14:textId="77777777" w:rsidR="00B40A78" w:rsidRPr="00EE2A3C" w:rsidRDefault="00B40A78">
            <w:pPr>
              <w:rPr>
                <w:rFonts w:ascii="Times New Roman" w:hAnsi="Times New Roman" w:cs="Times New Roman"/>
                <w:b/>
              </w:rPr>
            </w:pPr>
            <w:r w:rsidRPr="00EE2A3C">
              <w:rPr>
                <w:rFonts w:ascii="Times New Roman" w:hAnsi="Times New Roman" w:cs="Times New Roman"/>
                <w:b/>
              </w:rPr>
              <w:t>Pastabos ir pasiūlymai</w:t>
            </w:r>
          </w:p>
        </w:tc>
        <w:tc>
          <w:tcPr>
            <w:tcW w:w="3762" w:type="dxa"/>
          </w:tcPr>
          <w:p w14:paraId="40C8263A" w14:textId="0ED13B9A" w:rsidR="00B40A78" w:rsidRPr="00EE2A3C" w:rsidRDefault="00BA45B6">
            <w:pPr>
              <w:rPr>
                <w:rFonts w:ascii="Times New Roman" w:hAnsi="Times New Roman" w:cs="Times New Roman"/>
                <w:b/>
              </w:rPr>
            </w:pPr>
            <w:r w:rsidRPr="00EE2A3C">
              <w:rPr>
                <w:rFonts w:ascii="Times New Roman" w:hAnsi="Times New Roman" w:cs="Times New Roman"/>
                <w:b/>
              </w:rPr>
              <w:t xml:space="preserve">Lietuvos Respublikos </w:t>
            </w:r>
            <w:r w:rsidR="00F540FA" w:rsidRPr="00EE2A3C">
              <w:rPr>
                <w:rFonts w:ascii="Times New Roman" w:hAnsi="Times New Roman" w:cs="Times New Roman"/>
                <w:b/>
              </w:rPr>
              <w:t xml:space="preserve">ekonomikos ir inovacijų </w:t>
            </w:r>
            <w:r w:rsidRPr="00EE2A3C">
              <w:rPr>
                <w:rFonts w:ascii="Times New Roman" w:hAnsi="Times New Roman" w:cs="Times New Roman"/>
                <w:b/>
              </w:rPr>
              <w:t xml:space="preserve">ministerijos argumentai </w:t>
            </w:r>
            <w:r w:rsidR="00B40A78" w:rsidRPr="00EE2A3C">
              <w:rPr>
                <w:rFonts w:ascii="Times New Roman" w:hAnsi="Times New Roman" w:cs="Times New Roman"/>
                <w:b/>
              </w:rPr>
              <w:t>dėl pastabų, į kurias neatsižvelgta</w:t>
            </w:r>
            <w:r w:rsidR="002E5C24" w:rsidRPr="00EE2A3C">
              <w:rPr>
                <w:rFonts w:ascii="Times New Roman" w:hAnsi="Times New Roman" w:cs="Times New Roman"/>
                <w:b/>
              </w:rPr>
              <w:t xml:space="preserve"> arba atsižvelgta iš dalies</w:t>
            </w:r>
          </w:p>
        </w:tc>
      </w:tr>
      <w:tr w:rsidR="00317F81" w:rsidRPr="00EE2A3C" w14:paraId="56B09D53" w14:textId="77777777" w:rsidTr="00F676B9">
        <w:tc>
          <w:tcPr>
            <w:tcW w:w="1975" w:type="dxa"/>
            <w:vMerge w:val="restart"/>
          </w:tcPr>
          <w:p w14:paraId="54AEED51" w14:textId="77777777" w:rsidR="00317F81" w:rsidRPr="00EE2A3C" w:rsidRDefault="00317F81" w:rsidP="00ED12FB">
            <w:pPr>
              <w:pStyle w:val="NoSpacing"/>
              <w:rPr>
                <w:sz w:val="22"/>
                <w:szCs w:val="22"/>
              </w:rPr>
            </w:pPr>
            <w:r w:rsidRPr="00EE2A3C">
              <w:rPr>
                <w:sz w:val="22"/>
                <w:szCs w:val="22"/>
              </w:rPr>
              <w:t>Lietuvos Respublikos energetikos ministerija</w:t>
            </w:r>
          </w:p>
          <w:p w14:paraId="07D10117" w14:textId="55D33117" w:rsidR="00317F81" w:rsidRPr="00EE2A3C" w:rsidRDefault="00317F81" w:rsidP="00ED12FB">
            <w:pPr>
              <w:pStyle w:val="NoSpacing"/>
              <w:rPr>
                <w:sz w:val="22"/>
                <w:szCs w:val="22"/>
              </w:rPr>
            </w:pPr>
            <w:r w:rsidRPr="00EE2A3C">
              <w:t>(2020-11-18 raštas Nr. (12.6-14 E)3-1873)</w:t>
            </w:r>
          </w:p>
        </w:tc>
        <w:tc>
          <w:tcPr>
            <w:tcW w:w="9000" w:type="dxa"/>
          </w:tcPr>
          <w:p w14:paraId="78237A83" w14:textId="701A69D9" w:rsidR="00317F81" w:rsidRPr="00EE2A3C" w:rsidRDefault="00317F81" w:rsidP="00575ABE">
            <w:pPr>
              <w:jc w:val="both"/>
              <w:rPr>
                <w:rFonts w:ascii="Times New Roman" w:hAnsi="Times New Roman" w:cs="Times New Roman"/>
              </w:rPr>
            </w:pPr>
            <w:r w:rsidRPr="00EE2A3C">
              <w:rPr>
                <w:rFonts w:ascii="Times New Roman" w:hAnsi="Times New Roman" w:cs="Times New Roman"/>
              </w:rPr>
              <w:t>Svarstytina, ar nereiktų Aprašo viso II skyriaus pripažinti netekusiu galios, kadangi jo nuostatos yra perkeltos į Lietuvos Respublikos valstybės ir savivaldybės įmonių įstatymą ir Įstatymą.</w:t>
            </w:r>
          </w:p>
        </w:tc>
        <w:tc>
          <w:tcPr>
            <w:tcW w:w="3762" w:type="dxa"/>
          </w:tcPr>
          <w:p w14:paraId="130F1F97" w14:textId="77777777" w:rsidR="00317F81" w:rsidRPr="00EE2A3C" w:rsidRDefault="00317F81" w:rsidP="00670BD8">
            <w:pPr>
              <w:jc w:val="both"/>
              <w:rPr>
                <w:rFonts w:ascii="Times New Roman" w:hAnsi="Times New Roman" w:cs="Times New Roman"/>
                <w:b/>
                <w:bCs/>
              </w:rPr>
            </w:pPr>
            <w:r w:rsidRPr="00EE2A3C">
              <w:rPr>
                <w:rFonts w:ascii="Times New Roman" w:hAnsi="Times New Roman" w:cs="Times New Roman"/>
                <w:b/>
                <w:bCs/>
              </w:rPr>
              <w:t>Neatsižvelgta.</w:t>
            </w:r>
          </w:p>
          <w:p w14:paraId="041FE569" w14:textId="2CE19C9D" w:rsidR="00317F81" w:rsidRPr="00EE2A3C" w:rsidRDefault="00317F81" w:rsidP="00575ABE">
            <w:pPr>
              <w:pStyle w:val="NoSpacing"/>
              <w:jc w:val="both"/>
              <w:rPr>
                <w:sz w:val="22"/>
                <w:szCs w:val="22"/>
              </w:rPr>
            </w:pPr>
            <w:r w:rsidRPr="00EE2A3C">
              <w:rPr>
                <w:sz w:val="22"/>
                <w:szCs w:val="22"/>
              </w:rPr>
              <w:t>Manome, kad tai nėra būtina, nes į įstatymus perkeltos ne visos Aprašo II skyriaus nuostatos.</w:t>
            </w:r>
          </w:p>
        </w:tc>
      </w:tr>
      <w:tr w:rsidR="00317F81" w:rsidRPr="00EE2A3C" w14:paraId="7A3F62EB" w14:textId="77777777" w:rsidTr="00F676B9">
        <w:tc>
          <w:tcPr>
            <w:tcW w:w="1975" w:type="dxa"/>
            <w:vMerge/>
          </w:tcPr>
          <w:p w14:paraId="4FBF2F0A" w14:textId="77777777" w:rsidR="00317F81" w:rsidRPr="00EE2A3C" w:rsidRDefault="00317F81" w:rsidP="00C55976">
            <w:pPr>
              <w:pStyle w:val="NoSpacing"/>
              <w:rPr>
                <w:sz w:val="22"/>
                <w:szCs w:val="22"/>
              </w:rPr>
            </w:pPr>
          </w:p>
        </w:tc>
        <w:tc>
          <w:tcPr>
            <w:tcW w:w="9000" w:type="dxa"/>
          </w:tcPr>
          <w:p w14:paraId="747C8100" w14:textId="76A40CF6" w:rsidR="00317F81" w:rsidRPr="00EE2A3C" w:rsidRDefault="00317F81" w:rsidP="00CF3939">
            <w:pPr>
              <w:autoSpaceDE w:val="0"/>
              <w:autoSpaceDN w:val="0"/>
              <w:adjustRightInd w:val="0"/>
              <w:jc w:val="both"/>
              <w:rPr>
                <w:rFonts w:ascii="Times New Roman" w:hAnsi="Times New Roman" w:cs="Times New Roman"/>
              </w:rPr>
            </w:pPr>
            <w:r w:rsidRPr="00EE2A3C">
              <w:rPr>
                <w:rFonts w:ascii="Times New Roman" w:hAnsi="Times New Roman" w:cs="Times New Roman"/>
                <w:color w:val="000000"/>
                <w:lang w:val="en-US"/>
              </w:rPr>
              <w:t xml:space="preserve">Nutarimo projekto 2.34 papunkčiu keičiamame Aprašo 52 punkte numatytas baigtinis sąrašas atvejų, kai atranką inicijuojantis asmuo gali neskirti kandidato kolegialaus organo nariu arba nesiūlyti už jį balsuoti visuotiniame akcininkų susirinkime: jei kandidatas nepateikia prašomų dokumentų; iš teisėsaugos, kontrolės, kitų institucijų, įstaigų ar įmonių gavus duomenų, keliančių pagrįstų abejonių dėl kandidato tinkamumo būti kolegialaus organo nariu; kandidatui iki išrinkimo ar paskyrimo kolegialaus organo nariu atsisakius eiti šias pareigas ar nepasirašius sutarties su įmone. Ši Aprašo nuostata riboja atranką inicijuojančio subjekto teisę motyvuotu </w:t>
            </w:r>
            <w:r w:rsidRPr="00EE2A3C">
              <w:rPr>
                <w:rFonts w:ascii="Times New Roman" w:hAnsi="Times New Roman" w:cs="Times New Roman"/>
                <w:lang w:val="en-US"/>
              </w:rPr>
              <w:t>sprendimu atsisakyti pasirinkti atrankos komisijos atrinktą ir formaliuosius reikalavimus atitinkantį kandidatą dėl kitų svarbių priežasčių (pvz. komisija atrinko kandidatą, kuris, gyvendamas užsienyje, sutinka dirbti tik nuotoliniu būdu, o atranką inicijuojančiam subjektui atrodo, kad tokia aplinkybė nėra priimtina siekiant suformuoti įsitraukusią komandą). Pažymėtina, kad bendrovę ir jos kolegialius organus sieja fiduciariniai (pasitikėjimo) santykiai, tad galutinį sprendimą dėl nario skyrimo priima atranką inicijuojantis subjektas, kurio galimybės skirti tinkamiausią asmenį neturėtų būti ribojamos. Todėl siūloma Aprašo 52 punktą papildyti po žodžių „nustatyta Aprašo 56 punkte,“ įrašant „</w:t>
            </w:r>
            <w:r w:rsidRPr="00EE2A3C">
              <w:rPr>
                <w:rFonts w:ascii="Times New Roman" w:hAnsi="Times New Roman" w:cs="Times New Roman"/>
                <w:b/>
                <w:bCs/>
                <w:lang w:val="en-US"/>
              </w:rPr>
              <w:t>arba atranką inicijuojančiam subjektui priėmus motyvuotą sprendimą atsisakyti skirti atrankos komisijos siūlomą kandidatą,</w:t>
            </w:r>
            <w:r w:rsidRPr="00EE2A3C">
              <w:rPr>
                <w:rFonts w:ascii="Times New Roman" w:hAnsi="Times New Roman" w:cs="Times New Roman"/>
                <w:lang w:val="en-US"/>
              </w:rPr>
              <w:t>“.</w:t>
            </w:r>
          </w:p>
        </w:tc>
        <w:tc>
          <w:tcPr>
            <w:tcW w:w="3762" w:type="dxa"/>
          </w:tcPr>
          <w:p w14:paraId="6382DBBC" w14:textId="77777777" w:rsidR="00317F81" w:rsidRPr="00EE2A3C" w:rsidRDefault="00317F81" w:rsidP="00CC6133">
            <w:pPr>
              <w:jc w:val="both"/>
              <w:rPr>
                <w:rFonts w:ascii="Times New Roman" w:hAnsi="Times New Roman" w:cs="Times New Roman"/>
                <w:b/>
                <w:bCs/>
              </w:rPr>
            </w:pPr>
            <w:r w:rsidRPr="00EE2A3C">
              <w:rPr>
                <w:rFonts w:ascii="Times New Roman" w:hAnsi="Times New Roman" w:cs="Times New Roman"/>
                <w:b/>
                <w:bCs/>
              </w:rPr>
              <w:t>Neatsižvelgta.</w:t>
            </w:r>
          </w:p>
          <w:p w14:paraId="676DCC31" w14:textId="3F069F33" w:rsidR="00317F81" w:rsidRPr="00EE2A3C" w:rsidRDefault="00317F81" w:rsidP="00670BD8">
            <w:pPr>
              <w:jc w:val="both"/>
              <w:rPr>
                <w:rFonts w:ascii="Times New Roman" w:hAnsi="Times New Roman" w:cs="Times New Roman"/>
                <w:b/>
                <w:bCs/>
              </w:rPr>
            </w:pPr>
            <w:r w:rsidRPr="009732DA">
              <w:rPr>
                <w:rFonts w:ascii="Times New Roman" w:eastAsia="Times New Roman" w:hAnsi="Times New Roman" w:cs="Times New Roman"/>
              </w:rPr>
              <w:t>Manytina, kad Aprašo 52 punkto papildymas siūloma nuostata sudarytų neribotas galimybes atranką inicijuojančiam subjektui atsisakyti skirti atrankos komisijos siūlomą kandidatą.</w:t>
            </w:r>
          </w:p>
        </w:tc>
      </w:tr>
      <w:tr w:rsidR="00D06FAA" w:rsidRPr="00EE2A3C" w14:paraId="0493C9D0" w14:textId="77777777" w:rsidTr="00F676B9">
        <w:tc>
          <w:tcPr>
            <w:tcW w:w="1975" w:type="dxa"/>
          </w:tcPr>
          <w:p w14:paraId="199C34E4" w14:textId="77777777" w:rsidR="004115CA" w:rsidRPr="00EE2A3C" w:rsidRDefault="004115CA" w:rsidP="004115CA">
            <w:pPr>
              <w:pStyle w:val="NoSpacing"/>
              <w:rPr>
                <w:sz w:val="22"/>
                <w:szCs w:val="22"/>
              </w:rPr>
            </w:pPr>
            <w:r w:rsidRPr="00EE2A3C">
              <w:rPr>
                <w:sz w:val="22"/>
                <w:szCs w:val="22"/>
              </w:rPr>
              <w:t>AB „Ignitis grupė“</w:t>
            </w:r>
          </w:p>
          <w:p w14:paraId="2DE39FB0" w14:textId="18A5C168" w:rsidR="00D06FAA" w:rsidRPr="00EE2A3C" w:rsidRDefault="004115CA" w:rsidP="004115CA">
            <w:pPr>
              <w:pStyle w:val="NoSpacing"/>
              <w:rPr>
                <w:sz w:val="22"/>
                <w:szCs w:val="22"/>
              </w:rPr>
            </w:pPr>
            <w:r w:rsidRPr="00EE2A3C">
              <w:rPr>
                <w:sz w:val="22"/>
                <w:szCs w:val="22"/>
              </w:rPr>
              <w:t>(2020-11-16 raštas Nr. SR-2020-217)</w:t>
            </w:r>
          </w:p>
        </w:tc>
        <w:tc>
          <w:tcPr>
            <w:tcW w:w="9000" w:type="dxa"/>
          </w:tcPr>
          <w:p w14:paraId="356C1958" w14:textId="44B6ADB1" w:rsidR="000F2F4B" w:rsidRPr="00EE2A3C" w:rsidRDefault="000F2F4B" w:rsidP="000F2F4B">
            <w:pPr>
              <w:jc w:val="both"/>
              <w:rPr>
                <w:rFonts w:ascii="Times New Roman" w:eastAsia="Arial" w:hAnsi="Times New Roman" w:cs="Times New Roman"/>
                <w:b/>
                <w:bCs/>
                <w:color w:val="000000" w:themeColor="text1"/>
              </w:rPr>
            </w:pPr>
            <w:r w:rsidRPr="00EE2A3C">
              <w:rPr>
                <w:rFonts w:ascii="Times New Roman" w:eastAsia="Arial" w:hAnsi="Times New Roman" w:cs="Times New Roman"/>
                <w:color w:val="000000" w:themeColor="text1"/>
              </w:rPr>
              <w:t>Nutarimo projekto 2.1 papunktyje nustatyta, kad dukterinėms bendrovėms Aprašo nuostatos taikomos privalomai. Nutarimo projekto 3 punkte siūloma nustatyti, kad su valstybės ir (ar) savivaldybės valdomomis bendrovėmis per dukterines bendroves susijusioms paskesnių eilių dukterinėms bendrovėms Aprašo nuostatos taikomos pagal taisyklę „</w:t>
            </w:r>
            <w:r w:rsidRPr="00EE2A3C">
              <w:rPr>
                <w:rFonts w:ascii="Times New Roman" w:eastAsia="Arial" w:hAnsi="Times New Roman" w:cs="Times New Roman"/>
                <w:i/>
                <w:iCs/>
                <w:color w:val="000000" w:themeColor="text1"/>
              </w:rPr>
              <w:t>laikykis arba paaiškink</w:t>
            </w:r>
            <w:r w:rsidRPr="00EE2A3C">
              <w:rPr>
                <w:rFonts w:ascii="Times New Roman" w:eastAsia="Arial" w:hAnsi="Times New Roman" w:cs="Times New Roman"/>
                <w:color w:val="000000" w:themeColor="text1"/>
              </w:rPr>
              <w:t>“, tačiau nėra aišku kokį lūkestį Nutarimo projekto rengėjai turėjo dėl Aprašo nuostatų taikymo Lietuvos Respublikoje įsteig</w:t>
            </w:r>
            <w:r w:rsidR="0006377F" w:rsidRPr="00EE2A3C">
              <w:rPr>
                <w:rFonts w:ascii="Times New Roman" w:eastAsia="Arial" w:hAnsi="Times New Roman" w:cs="Times New Roman"/>
                <w:color w:val="000000" w:themeColor="text1"/>
              </w:rPr>
              <w:t>t</w:t>
            </w:r>
            <w:r w:rsidRPr="00EE2A3C">
              <w:rPr>
                <w:rFonts w:ascii="Times New Roman" w:eastAsia="Arial" w:hAnsi="Times New Roman" w:cs="Times New Roman"/>
                <w:color w:val="000000" w:themeColor="text1"/>
              </w:rPr>
              <w:t xml:space="preserve">oms visų eilių dukterinėms bendrovėms. Pažymėtina kad kandidatų atrankos </w:t>
            </w:r>
            <w:r w:rsidRPr="00EE2A3C">
              <w:rPr>
                <w:rFonts w:ascii="Times New Roman" w:eastAsia="Arial" w:hAnsi="Times New Roman" w:cs="Times New Roman"/>
                <w:color w:val="000000" w:themeColor="text1"/>
              </w:rPr>
              <w:lastRenderedPageBreak/>
              <w:t xml:space="preserve">procesas, rengtas valstybei, kaip akcininkei, atstovaujamai skirtingų institucijų, šių institucijų atstovų patirčių ir kompetencijos skirtumams eliminuoti, užtikrinant aukštus skaidrumo reikalavimus. Siūlomas reguliavimas neturi paneigti privataus juridinio asmens statuso ir įpareigoti visų eilių dukterines bendroves laikytis arba pagrįsti, kodėl nesilaiko Aprašo nuostatų dėl kandidatų atrankos proceso. Aprašo 50 ir 52 punktų pakeitimais apskritai siūloma paneigti bendrovės kolegialaus organo teisę spręsti dėl siūlomo kandidato tinkamumo ir kompetencijos eiti siūlomas pareigas, o tik faktiškai (kaip siūloma Nutarimo projektu) tik formaliai paskirti atrankos komisijos atrinktą konkretų narį. Kandidatai į valstybės valdomos įmonės dukterinių ar paskesnės eilės dukterinių bendrovių kolegialius organus skiriami atrankos komisijos, kurios nesaisto įsipareigojimai dėl valstybės valdomos įmonės ar jos dukterinių ar paskesnės eilės dukterinių įmonių tikslų pasiekimo. Svarbu pažymėti, kad valstybės valdomos įmonės, kurios atsakingos prieš valstybę už joms keliamų lūkesčių įgyvendinimą, turi ribotas galimybes daryti lemiamą įtaką sprendimams dėl patronuojamų įmonių (dukterinių ar paskesnės eilės dukterinių įmonių) kolegialių organų narių atrankos. Patronuojamųjų bendrovių kolegialūs organai atsakingi už valstybės valdomos įmonės patronuojamosioms bendrovėms keliamų tikslų įgyvendinimą, tačiau eliminavus valstybės valdomos įmonės galimybę daryti lemiamą įtaką patronuojamųjų bendrovių kolegialių organų narių atrankos ir skyrimo procese, valstybės lūkesčių įgyvendinimas, o tuo pačiu ir akcininko teisių įgyvendinimas, yra apsunkinamas ir/ar nesudaro prielaidų tvariam įmonių grupės valdymui. </w:t>
            </w:r>
            <w:r w:rsidRPr="00EE2A3C">
              <w:rPr>
                <w:rFonts w:ascii="Times New Roman" w:eastAsia="Arial" w:hAnsi="Times New Roman" w:cs="Times New Roman"/>
                <w:b/>
                <w:bCs/>
                <w:color w:val="000000" w:themeColor="text1"/>
              </w:rPr>
              <w:t xml:space="preserve">Siūlome </w:t>
            </w:r>
            <w:r w:rsidRPr="00EE2A3C">
              <w:rPr>
                <w:rFonts w:ascii="Times New Roman" w:eastAsia="Arial" w:hAnsi="Times New Roman" w:cs="Times New Roman"/>
                <w:color w:val="000000" w:themeColor="text1"/>
              </w:rPr>
              <w:t>palikti teisę valstybės valdomai įmonei pačiai spręsti ar Aprašo nuostatas taikyti dėl jos bet kurios eilės konkrečios dukterinės bendrovės kolegialaus organo nario atrankos ir</w:t>
            </w:r>
            <w:r w:rsidRPr="00EE2A3C">
              <w:rPr>
                <w:rFonts w:ascii="Times New Roman" w:eastAsia="Arial" w:hAnsi="Times New Roman" w:cs="Times New Roman"/>
                <w:b/>
                <w:bCs/>
                <w:color w:val="000000" w:themeColor="text1"/>
              </w:rPr>
              <w:t xml:space="preserve"> pakeisti Nutarimo projekto 2 ir 3 punktus bei juos išdėstyti taip: </w:t>
            </w:r>
          </w:p>
          <w:p w14:paraId="0F1521F5" w14:textId="77777777" w:rsidR="000F2F4B" w:rsidRPr="00EE2A3C" w:rsidRDefault="000F2F4B" w:rsidP="000F2F4B">
            <w:pPr>
              <w:ind w:firstLine="567"/>
              <w:jc w:val="both"/>
              <w:rPr>
                <w:rFonts w:ascii="Times New Roman" w:eastAsia="Arial" w:hAnsi="Times New Roman" w:cs="Times New Roman"/>
                <w:strike/>
                <w:color w:val="000000" w:themeColor="text1"/>
              </w:rPr>
            </w:pPr>
            <w:r w:rsidRPr="00EE2A3C">
              <w:rPr>
                <w:rFonts w:ascii="Times New Roman" w:eastAsia="Arial" w:hAnsi="Times New Roman" w:cs="Times New Roman"/>
                <w:color w:val="000000" w:themeColor="text1"/>
              </w:rPr>
              <w:t>„2. Nustatyti, kad Aprašo nuostatos privalomos:</w:t>
            </w:r>
          </w:p>
          <w:p w14:paraId="38C47771" w14:textId="77777777" w:rsidR="000F2F4B" w:rsidRPr="00EE2A3C" w:rsidRDefault="000F2F4B" w:rsidP="000F2F4B">
            <w:pPr>
              <w:ind w:firstLine="567"/>
              <w:jc w:val="both"/>
              <w:rPr>
                <w:rFonts w:ascii="Times New Roman" w:eastAsia="Arial" w:hAnsi="Times New Roman" w:cs="Times New Roman"/>
                <w:strike/>
                <w:color w:val="000000" w:themeColor="text1"/>
              </w:rPr>
            </w:pPr>
            <w:r w:rsidRPr="00EE2A3C">
              <w:rPr>
                <w:rFonts w:ascii="Times New Roman" w:eastAsia="Arial" w:hAnsi="Times New Roman" w:cs="Times New Roman"/>
                <w:strike/>
                <w:color w:val="000000" w:themeColor="text1"/>
              </w:rPr>
              <w:t>2.1.</w:t>
            </w:r>
            <w:r w:rsidRPr="00EE2A3C">
              <w:rPr>
                <w:rFonts w:ascii="Times New Roman" w:eastAsia="Arial" w:hAnsi="Times New Roman" w:cs="Times New Roman"/>
                <w:color w:val="000000" w:themeColor="text1"/>
              </w:rPr>
              <w:t xml:space="preserve"> valstybės </w:t>
            </w:r>
            <w:r w:rsidRPr="00EE2A3C">
              <w:rPr>
                <w:rFonts w:ascii="Times New Roman" w:eastAsia="Arial" w:hAnsi="Times New Roman" w:cs="Times New Roman"/>
                <w:b/>
                <w:bCs/>
                <w:color w:val="000000" w:themeColor="text1"/>
              </w:rPr>
              <w:t>ir (ar) savivaldybės</w:t>
            </w:r>
            <w:r w:rsidRPr="00EE2A3C">
              <w:rPr>
                <w:rFonts w:ascii="Times New Roman" w:eastAsia="Arial" w:hAnsi="Times New Roman" w:cs="Times New Roman"/>
                <w:color w:val="000000" w:themeColor="text1"/>
              </w:rPr>
              <w:t xml:space="preserve"> valdomoms įmonėms, kaip jos apibrėžtos Valstybės ir savivaldybių turto valdymo, naudojimo ir disponavimo juo įstatyme, </w:t>
            </w:r>
            <w:r w:rsidRPr="00EE2A3C">
              <w:rPr>
                <w:rFonts w:ascii="Times New Roman" w:eastAsia="Arial" w:hAnsi="Times New Roman" w:cs="Times New Roman"/>
                <w:strike/>
                <w:color w:val="000000" w:themeColor="text1"/>
              </w:rPr>
              <w:t>ir valstybės valdomų bendrovių, kaip jos apibrėžtos Valstybės ir savivaldybių turto valdymo, naudojimo ir disponavimo juo įstatyme, dukterinėms bendrovėms, kurių akcijos, visuotiniame akcininkų susirinkime suteikiančios daugiau kaip 1/2 balsų, priklauso valstybės valdomai bendrovei;</w:t>
            </w:r>
          </w:p>
          <w:p w14:paraId="1071E195" w14:textId="14F6DF7E" w:rsidR="00D06FAA" w:rsidRPr="00EE2A3C" w:rsidRDefault="000F2F4B" w:rsidP="00671867">
            <w:pPr>
              <w:ind w:firstLine="567"/>
              <w:jc w:val="both"/>
              <w:rPr>
                <w:rFonts w:ascii="Times New Roman" w:eastAsia="Arial" w:hAnsi="Times New Roman" w:cs="Times New Roman"/>
                <w:color w:val="000000" w:themeColor="text1"/>
              </w:rPr>
            </w:pPr>
            <w:r w:rsidRPr="00EE2A3C">
              <w:rPr>
                <w:rFonts w:ascii="Times New Roman" w:eastAsia="Arial" w:hAnsi="Times New Roman" w:cs="Times New Roman"/>
                <w:strike/>
                <w:color w:val="000000" w:themeColor="text1"/>
              </w:rPr>
              <w:t>2.2. savivaldybės valdomoms įmonėms,  kaip jos apibrėžtos Valstybės ir savivaldybių turto valdymo, naudojimo ir disponavimo juo įstatyme, ir savivaldybės valdomų bendrovių, kaip jos apibrėžtos Valstybės ir savivaldybių turto valdymo, naudojimo ir disponavimo juo įstatyme, dukterinėms bendrovėms, kurių akcijos, visuotiniame akcininkų susirinkime suteikiančios daugiau kaip 1/2 balsų, priklauso savivaldybės valdomai bendrovei.</w:t>
            </w:r>
            <w:r w:rsidRPr="00EE2A3C">
              <w:rPr>
                <w:rFonts w:ascii="Times New Roman" w:eastAsia="Arial" w:hAnsi="Times New Roman" w:cs="Times New Roman"/>
                <w:color w:val="000000" w:themeColor="text1"/>
              </w:rPr>
              <w:t xml:space="preserve">3. Nustatyti, kad </w:t>
            </w:r>
            <w:r w:rsidRPr="00EE2A3C">
              <w:rPr>
                <w:rFonts w:ascii="Times New Roman" w:eastAsia="Arial" w:hAnsi="Times New Roman" w:cs="Times New Roman"/>
                <w:strike/>
                <w:color w:val="000000" w:themeColor="text1"/>
              </w:rPr>
              <w:t>su</w:t>
            </w:r>
            <w:r w:rsidRPr="00EE2A3C">
              <w:rPr>
                <w:rFonts w:ascii="Times New Roman" w:eastAsia="Arial" w:hAnsi="Times New Roman" w:cs="Times New Roman"/>
                <w:color w:val="000000" w:themeColor="text1"/>
              </w:rPr>
              <w:t xml:space="preserve"> valstybės ir (ar) savivaldybės </w:t>
            </w:r>
            <w:r w:rsidRPr="00EE2A3C">
              <w:rPr>
                <w:rFonts w:ascii="Times New Roman" w:eastAsia="Arial" w:hAnsi="Times New Roman" w:cs="Times New Roman"/>
                <w:strike/>
                <w:color w:val="000000" w:themeColor="text1"/>
              </w:rPr>
              <w:t>valdomomis bendrovėmis</w:t>
            </w:r>
            <w:r w:rsidRPr="00EE2A3C">
              <w:rPr>
                <w:rFonts w:ascii="Times New Roman" w:eastAsia="Arial" w:hAnsi="Times New Roman" w:cs="Times New Roman"/>
                <w:color w:val="000000" w:themeColor="text1"/>
              </w:rPr>
              <w:t xml:space="preserve"> </w:t>
            </w:r>
            <w:r w:rsidRPr="00EE2A3C">
              <w:rPr>
                <w:rFonts w:ascii="Times New Roman" w:eastAsia="Arial" w:hAnsi="Times New Roman" w:cs="Times New Roman"/>
                <w:b/>
                <w:bCs/>
                <w:color w:val="000000" w:themeColor="text1"/>
              </w:rPr>
              <w:t>valdomų bendrovių, kaip jos apibrėžtos Valstybės ir savivaldybių turto valdymo, naudojimo ir disponavimo juo įstatyme, dukterinėms bendrovėms ir</w:t>
            </w:r>
            <w:r w:rsidRPr="00EE2A3C">
              <w:rPr>
                <w:rFonts w:ascii="Times New Roman" w:eastAsia="Arial" w:hAnsi="Times New Roman" w:cs="Times New Roman"/>
                <w:color w:val="000000" w:themeColor="text1"/>
              </w:rPr>
              <w:t xml:space="preserve"> </w:t>
            </w:r>
            <w:r w:rsidRPr="00EE2A3C">
              <w:rPr>
                <w:rFonts w:ascii="Times New Roman" w:eastAsia="Arial" w:hAnsi="Times New Roman" w:cs="Times New Roman"/>
                <w:strike/>
                <w:color w:val="000000" w:themeColor="text1"/>
              </w:rPr>
              <w:t>per dukterines bendroves susijusioms</w:t>
            </w:r>
            <w:r w:rsidRPr="00EE2A3C">
              <w:rPr>
                <w:rFonts w:ascii="Times New Roman" w:eastAsia="Arial" w:hAnsi="Times New Roman" w:cs="Times New Roman"/>
                <w:color w:val="000000" w:themeColor="text1"/>
              </w:rPr>
              <w:t xml:space="preserve"> paskesnių eilių dukterinėms bendrovėms, </w:t>
            </w:r>
            <w:r w:rsidRPr="00EE2A3C">
              <w:rPr>
                <w:rFonts w:ascii="Times New Roman" w:eastAsia="Arial" w:hAnsi="Times New Roman" w:cs="Times New Roman"/>
                <w:b/>
                <w:bCs/>
                <w:color w:val="000000" w:themeColor="text1"/>
              </w:rPr>
              <w:t xml:space="preserve">esant atranką </w:t>
            </w:r>
            <w:r w:rsidRPr="00EE2A3C">
              <w:rPr>
                <w:rFonts w:ascii="Times New Roman" w:eastAsia="Arial" w:hAnsi="Times New Roman" w:cs="Times New Roman"/>
                <w:b/>
                <w:bCs/>
                <w:color w:val="000000" w:themeColor="text1"/>
              </w:rPr>
              <w:lastRenderedPageBreak/>
              <w:t>inicijuojančio subjekto sprendimui taikyti šias Aprašo nuostatas</w:t>
            </w:r>
            <w:r w:rsidRPr="00EE2A3C">
              <w:rPr>
                <w:rFonts w:ascii="Times New Roman" w:eastAsia="Arial" w:hAnsi="Times New Roman" w:cs="Times New Roman"/>
                <w:color w:val="000000" w:themeColor="text1"/>
              </w:rPr>
              <w:t>, Aprašo nuostatos taikomos  pagal taisyklę „laikykis arba paaiškink“.“</w:t>
            </w:r>
          </w:p>
        </w:tc>
        <w:tc>
          <w:tcPr>
            <w:tcW w:w="3762" w:type="dxa"/>
          </w:tcPr>
          <w:p w14:paraId="3111A0F0" w14:textId="0C57E365" w:rsidR="001E23A8" w:rsidRPr="00A47EDD" w:rsidRDefault="001E23A8" w:rsidP="009A3B90">
            <w:pPr>
              <w:pStyle w:val="NoSpacing"/>
              <w:jc w:val="both"/>
              <w:rPr>
                <w:b/>
                <w:bCs/>
                <w:sz w:val="22"/>
                <w:szCs w:val="22"/>
              </w:rPr>
            </w:pPr>
            <w:r w:rsidRPr="00A47EDD">
              <w:rPr>
                <w:b/>
                <w:bCs/>
                <w:sz w:val="22"/>
                <w:szCs w:val="22"/>
              </w:rPr>
              <w:lastRenderedPageBreak/>
              <w:t>Atsižvelgta iš dalies.</w:t>
            </w:r>
          </w:p>
          <w:p w14:paraId="1BF8A95D" w14:textId="77777777" w:rsidR="00FC20C7" w:rsidRPr="00A47EDD" w:rsidRDefault="00E3454F" w:rsidP="009A3B90">
            <w:pPr>
              <w:pStyle w:val="NoSpacing"/>
              <w:jc w:val="both"/>
              <w:rPr>
                <w:sz w:val="22"/>
                <w:szCs w:val="22"/>
              </w:rPr>
            </w:pPr>
            <w:r w:rsidRPr="00A47EDD">
              <w:rPr>
                <w:sz w:val="22"/>
                <w:szCs w:val="22"/>
              </w:rPr>
              <w:t>Lietuvos Respublikos valstybės ir savivaldybių turto valdymo, naudojimo ir disponavimo juo įstatym</w:t>
            </w:r>
            <w:r w:rsidR="008E43C9" w:rsidRPr="00A47EDD">
              <w:rPr>
                <w:sz w:val="22"/>
                <w:szCs w:val="22"/>
              </w:rPr>
              <w:t>o 23 str</w:t>
            </w:r>
            <w:r w:rsidR="00A96495" w:rsidRPr="00A47EDD">
              <w:rPr>
                <w:sz w:val="22"/>
                <w:szCs w:val="22"/>
              </w:rPr>
              <w:t>aipsnio</w:t>
            </w:r>
            <w:r w:rsidR="008E43C9" w:rsidRPr="00A47EDD">
              <w:rPr>
                <w:sz w:val="22"/>
                <w:szCs w:val="22"/>
              </w:rPr>
              <w:t xml:space="preserve"> 2 dalyje nustatyta, kad </w:t>
            </w:r>
            <w:r w:rsidR="003A7F22" w:rsidRPr="00A47EDD">
              <w:rPr>
                <w:i/>
                <w:iCs/>
                <w:sz w:val="22"/>
                <w:szCs w:val="22"/>
              </w:rPr>
              <w:t xml:space="preserve">Vyriausybė nustato, kokios šio </w:t>
            </w:r>
            <w:r w:rsidR="003A7F22" w:rsidRPr="00A47EDD">
              <w:rPr>
                <w:i/>
                <w:iCs/>
                <w:sz w:val="22"/>
                <w:szCs w:val="22"/>
              </w:rPr>
              <w:lastRenderedPageBreak/>
              <w:t>straipsnio 1 dalyje nurodytų Vyriausybės priimtų teisės aktų nuostatos taikomos be išimčių (įprastai) arba pagal taisyklę „laikykis arba paaiškink“ valstybės ir savivaldybių valdomų bendrovių dukterinėms akcinėms bendrovėms ir uždarosioms akcinėms bendrovėms, kaip jos suprantamos Lietuvos Respublikos akcinių bendrovių įstatymo 5 straipsnio 1 dalyje, taip pat visoms kitoms su valstybės ir (ar) savivaldybės valdomomis bendrovėmis per dukterines bendroves susijusioms paskesnių eilių dukterinėms bendrovėms, kaip jos suprantamos Akcinių bendrovių įstatymo 5 straipsnio 3 dalyje (toliau kartu – dukterinė bendrovė). Taisyklė „laikykis arba paaiškink“ suprantama taip, kad nukrypimas nuo Vyriausybės nustatytos tvarkos nuostatų turi būti racionaliai pagrįstas ir paaiškintas.</w:t>
            </w:r>
            <w:r w:rsidR="00C850C3" w:rsidRPr="00A47EDD">
              <w:rPr>
                <w:i/>
                <w:iCs/>
                <w:sz w:val="22"/>
                <w:szCs w:val="22"/>
              </w:rPr>
              <w:t xml:space="preserve"> </w:t>
            </w:r>
            <w:r w:rsidR="00893DDA" w:rsidRPr="00A47EDD">
              <w:rPr>
                <w:sz w:val="22"/>
                <w:szCs w:val="22"/>
              </w:rPr>
              <w:t>Taigi įstatymas leidžia</w:t>
            </w:r>
            <w:r w:rsidR="00C944DB" w:rsidRPr="00A47EDD">
              <w:rPr>
                <w:sz w:val="22"/>
                <w:szCs w:val="22"/>
              </w:rPr>
              <w:t xml:space="preserve"> Vyriausybės nutarimu nustatyti tik ar</w:t>
            </w:r>
            <w:r w:rsidR="00473BF5" w:rsidRPr="00A47EDD">
              <w:rPr>
                <w:sz w:val="22"/>
                <w:szCs w:val="22"/>
              </w:rPr>
              <w:t xml:space="preserve"> Aprašo nuostatos</w:t>
            </w:r>
            <w:r w:rsidR="00B10D2E" w:rsidRPr="00A47EDD">
              <w:rPr>
                <w:sz w:val="22"/>
                <w:szCs w:val="22"/>
              </w:rPr>
              <w:t xml:space="preserve"> dukterinėms ir paskesnių eilių dukterinėms bendrovėms taikomos</w:t>
            </w:r>
            <w:r w:rsidR="00C944DB" w:rsidRPr="00A47EDD">
              <w:rPr>
                <w:sz w:val="22"/>
                <w:szCs w:val="22"/>
              </w:rPr>
              <w:t xml:space="preserve"> be išimčių (įprastai), ar pagal taisyklę „laikykis arba paaiškink“</w:t>
            </w:r>
            <w:r w:rsidR="00836A1A" w:rsidRPr="00A47EDD">
              <w:rPr>
                <w:sz w:val="22"/>
                <w:szCs w:val="22"/>
              </w:rPr>
              <w:t>.</w:t>
            </w:r>
          </w:p>
          <w:p w14:paraId="7BE7BEE8" w14:textId="6BBD2544" w:rsidR="00EC47B1" w:rsidRPr="00A47EDD" w:rsidRDefault="00FE0F80" w:rsidP="009A3B90">
            <w:pPr>
              <w:pStyle w:val="NoSpacing"/>
              <w:jc w:val="both"/>
              <w:rPr>
                <w:sz w:val="22"/>
                <w:szCs w:val="22"/>
              </w:rPr>
            </w:pPr>
            <w:r w:rsidRPr="00A47EDD">
              <w:rPr>
                <w:sz w:val="22"/>
                <w:szCs w:val="22"/>
              </w:rPr>
              <w:t xml:space="preserve">Aprašo nuostatos </w:t>
            </w:r>
            <w:r w:rsidR="00B06B75" w:rsidRPr="00A47EDD">
              <w:rPr>
                <w:sz w:val="22"/>
                <w:szCs w:val="22"/>
              </w:rPr>
              <w:t>pa</w:t>
            </w:r>
            <w:r w:rsidRPr="00A47EDD">
              <w:rPr>
                <w:sz w:val="22"/>
                <w:szCs w:val="22"/>
              </w:rPr>
              <w:t>tikslin</w:t>
            </w:r>
            <w:r w:rsidR="00B06B75" w:rsidRPr="00A47EDD">
              <w:rPr>
                <w:sz w:val="22"/>
                <w:szCs w:val="22"/>
              </w:rPr>
              <w:t>tos</w:t>
            </w:r>
            <w:r w:rsidR="00B525AF" w:rsidRPr="00A47EDD">
              <w:rPr>
                <w:sz w:val="22"/>
                <w:szCs w:val="22"/>
              </w:rPr>
              <w:t xml:space="preserve">, siekiant, </w:t>
            </w:r>
            <w:r w:rsidR="004A42B1" w:rsidRPr="00A47EDD">
              <w:rPr>
                <w:sz w:val="22"/>
                <w:szCs w:val="22"/>
              </w:rPr>
              <w:t xml:space="preserve">sudaryti </w:t>
            </w:r>
            <w:r w:rsidR="004A42B1" w:rsidRPr="00A47EDD">
              <w:rPr>
                <w:rFonts w:eastAsia="Arial"/>
                <w:color w:val="000000" w:themeColor="text1"/>
                <w:sz w:val="22"/>
                <w:szCs w:val="22"/>
              </w:rPr>
              <w:t>galimybę</w:t>
            </w:r>
            <w:r w:rsidR="00566255" w:rsidRPr="00A47EDD">
              <w:rPr>
                <w:rFonts w:eastAsia="Arial"/>
                <w:color w:val="000000" w:themeColor="text1"/>
                <w:sz w:val="22"/>
                <w:szCs w:val="22"/>
              </w:rPr>
              <w:t xml:space="preserve"> patronuojančioms bendrovėms</w:t>
            </w:r>
            <w:r w:rsidR="004A42B1" w:rsidRPr="00A47EDD">
              <w:rPr>
                <w:rFonts w:eastAsia="Arial"/>
                <w:color w:val="000000" w:themeColor="text1"/>
                <w:sz w:val="22"/>
                <w:szCs w:val="22"/>
              </w:rPr>
              <w:t xml:space="preserve"> daryti lemiamą įtaką </w:t>
            </w:r>
            <w:r w:rsidR="00566255" w:rsidRPr="00A47EDD">
              <w:rPr>
                <w:rFonts w:eastAsia="Arial"/>
                <w:color w:val="000000" w:themeColor="text1"/>
                <w:sz w:val="22"/>
                <w:szCs w:val="22"/>
              </w:rPr>
              <w:t>dukterinių</w:t>
            </w:r>
            <w:r w:rsidR="004A42B1" w:rsidRPr="00A47EDD">
              <w:rPr>
                <w:rFonts w:eastAsia="Arial"/>
                <w:color w:val="000000" w:themeColor="text1"/>
                <w:sz w:val="22"/>
                <w:szCs w:val="22"/>
              </w:rPr>
              <w:t xml:space="preserve"> bendrovių kolegialių organų narių atrankos ir skyrimo procese</w:t>
            </w:r>
            <w:r w:rsidR="007D30F8" w:rsidRPr="00A47EDD">
              <w:rPr>
                <w:rFonts w:eastAsia="Arial"/>
                <w:color w:val="000000" w:themeColor="text1"/>
                <w:sz w:val="22"/>
                <w:szCs w:val="22"/>
              </w:rPr>
              <w:t>.</w:t>
            </w:r>
          </w:p>
        </w:tc>
      </w:tr>
      <w:tr w:rsidR="005E5158" w:rsidRPr="00EE2A3C" w14:paraId="4893ADB0" w14:textId="77777777" w:rsidTr="00F676B9">
        <w:tc>
          <w:tcPr>
            <w:tcW w:w="1975" w:type="dxa"/>
          </w:tcPr>
          <w:p w14:paraId="3BB13120" w14:textId="77777777" w:rsidR="005E5158" w:rsidRPr="00EE2A3C" w:rsidRDefault="005E5158" w:rsidP="00C55976">
            <w:pPr>
              <w:pStyle w:val="NoSpacing"/>
              <w:rPr>
                <w:sz w:val="22"/>
                <w:szCs w:val="22"/>
              </w:rPr>
            </w:pPr>
          </w:p>
        </w:tc>
        <w:tc>
          <w:tcPr>
            <w:tcW w:w="9000" w:type="dxa"/>
          </w:tcPr>
          <w:p w14:paraId="754A8207" w14:textId="77777777" w:rsidR="00250BC6" w:rsidRPr="00EE2A3C" w:rsidRDefault="00250BC6" w:rsidP="00250BC6">
            <w:pPr>
              <w:tabs>
                <w:tab w:val="left" w:pos="851"/>
              </w:tabs>
              <w:jc w:val="both"/>
              <w:rPr>
                <w:rFonts w:ascii="Times New Roman" w:hAnsi="Times New Roman" w:cs="Times New Roman"/>
              </w:rPr>
            </w:pPr>
            <w:r w:rsidRPr="00EE2A3C">
              <w:rPr>
                <w:rFonts w:ascii="Times New Roman" w:hAnsi="Times New Roman" w:cs="Times New Roman"/>
              </w:rPr>
              <w:t>Atsižvelgiant į išdėstytus argumentus,  taip pat siūlome papildyti Aprašo 52 punktą nuostata, kad pagrįsta priežastimi atrankos komisijos atrinkto asmens neskirti į atitinkamą kolegialų organą yra laikoma ir skiriančio organo atsisakymas paskirti atitinkamą kandidatą, pagrįstas patariamųjų organų patronuojančioje bendrovėje rekomendacijomis ir išvadomis.</w:t>
            </w:r>
          </w:p>
          <w:p w14:paraId="1DD07057" w14:textId="77777777" w:rsidR="00250BC6" w:rsidRPr="00EE2A3C" w:rsidRDefault="00250BC6" w:rsidP="00250BC6">
            <w:pPr>
              <w:tabs>
                <w:tab w:val="left" w:pos="851"/>
              </w:tabs>
              <w:jc w:val="both"/>
              <w:rPr>
                <w:rFonts w:ascii="Times New Roman" w:hAnsi="Times New Roman" w:cs="Times New Roman"/>
              </w:rPr>
            </w:pPr>
            <w:r w:rsidRPr="00EE2A3C">
              <w:rPr>
                <w:rFonts w:ascii="Times New Roman" w:hAnsi="Times New Roman" w:cs="Times New Roman"/>
              </w:rPr>
              <w:t>Svarbia aplinkybe Aprašo 52 punkto papildymui laikytina ir tai, kad valstybės valdomose bendrovėse kuriant patariamuosius skyrimo organus (komitetus), jų funkcijos apima pasiūlymų ir rekomendacijų dėl kolegialių organų skyrimo teikimą. Tuo tarpu, taikant Nutarimo projekto 2.23 papunktyje numatytą papildymą, patariamųjų komitetų kompetencija dėl kolegialių organų narių skyrimo, rekomendacijų skiriančiam organui teikimo dėl kandidatų tinkamumo yra ženkliai sumažinama, o tai kelia grėsmę gerosios valdysenos principų užtikrinimui valstybės valdomose įmonėse.</w:t>
            </w:r>
          </w:p>
          <w:p w14:paraId="67994978" w14:textId="77777777" w:rsidR="00250BC6" w:rsidRPr="00EE2A3C" w:rsidRDefault="00250BC6" w:rsidP="00250BC6">
            <w:pPr>
              <w:jc w:val="both"/>
              <w:rPr>
                <w:rFonts w:ascii="Times New Roman" w:hAnsi="Times New Roman" w:cs="Times New Roman"/>
              </w:rPr>
            </w:pPr>
            <w:r w:rsidRPr="00EE2A3C">
              <w:rPr>
                <w:rFonts w:ascii="Times New Roman" w:hAnsi="Times New Roman" w:cs="Times New Roman"/>
              </w:rPr>
              <w:t>Siūloma Aprašo 52 punktą išdėstyti taip:</w:t>
            </w:r>
          </w:p>
          <w:p w14:paraId="17B6790F" w14:textId="6788D69F" w:rsidR="005E5158" w:rsidRPr="00EE2A3C" w:rsidRDefault="00250BC6" w:rsidP="00B607B0">
            <w:pPr>
              <w:ind w:firstLine="567"/>
              <w:jc w:val="both"/>
              <w:rPr>
                <w:rFonts w:ascii="Times New Roman" w:hAnsi="Times New Roman" w:cs="Times New Roman"/>
              </w:rPr>
            </w:pPr>
            <w:r w:rsidRPr="00EE2A3C">
              <w:rPr>
                <w:rFonts w:ascii="Times New Roman" w:hAnsi="Times New Roman" w:cs="Times New Roman"/>
              </w:rPr>
              <w:t xml:space="preserve">„52. Kandidatui nepateikus prašomų dokumentų, iš teisėsaugos, kontrolės, kitų institucijų, įstaigų ar įmonių, </w:t>
            </w:r>
            <w:r w:rsidRPr="00EE2A3C">
              <w:rPr>
                <w:rFonts w:ascii="Times New Roman" w:hAnsi="Times New Roman" w:cs="Times New Roman"/>
                <w:b/>
                <w:bCs/>
              </w:rPr>
              <w:t>atranką inicijuojančio subjekto kolegialaus organo ar komiteto,</w:t>
            </w:r>
            <w:r w:rsidRPr="00EE2A3C">
              <w:rPr>
                <w:rFonts w:ascii="Times New Roman" w:hAnsi="Times New Roman" w:cs="Times New Roman"/>
              </w:rPr>
              <w:t xml:space="preserve"> gavus duomenų, keliančių pagrįstų abejonių dėl kandidato tinkamumo būti kolegialaus organo nariu, kandidatui iki išrinkimo ar paskyrimo kolegialaus organo nariu atsisakius eiti šias pareigas ar nepasirašius sutarties su įmone, kaip nustatyta Aprašo 56 punkte, atranką inicijuojantis subjektas nepriima Aprašo 50 punkte nurodyto sprendimo arba, jei toks sprendimas jau priimtas – pripažįsta jį netekusiu galios. Šiuo atveju kartojamos Aprašo 51 punkte nurodytos procedūros kito eilės tvarka laimėtojų eilėje įrašyto kandidato atžvilgiu. Jei laimėtojų eilėje nėra įrašyto kandidato, kurio atžvilgiu turėtų būti kartojamos Aprašo 51 punkte nurodytos procedūros, tuomet taikoma Aprašo 57 punkte nurodyta procedūra.”</w:t>
            </w:r>
          </w:p>
        </w:tc>
        <w:tc>
          <w:tcPr>
            <w:tcW w:w="3762" w:type="dxa"/>
          </w:tcPr>
          <w:p w14:paraId="01055AE3" w14:textId="77777777" w:rsidR="005E5158" w:rsidRPr="00EE2A3C" w:rsidRDefault="00B1723F" w:rsidP="009A3B90">
            <w:pPr>
              <w:pStyle w:val="NoSpacing"/>
              <w:jc w:val="both"/>
              <w:rPr>
                <w:b/>
                <w:bCs/>
                <w:sz w:val="22"/>
                <w:szCs w:val="22"/>
              </w:rPr>
            </w:pPr>
            <w:r w:rsidRPr="00EE2A3C">
              <w:rPr>
                <w:b/>
                <w:bCs/>
                <w:sz w:val="22"/>
                <w:szCs w:val="22"/>
              </w:rPr>
              <w:t>Neatsižvelgta.</w:t>
            </w:r>
          </w:p>
          <w:p w14:paraId="4E4F0585" w14:textId="701E0944" w:rsidR="00B1723F" w:rsidRPr="00EE2A3C" w:rsidRDefault="00D8757D" w:rsidP="009A3B90">
            <w:pPr>
              <w:pStyle w:val="NoSpacing"/>
              <w:jc w:val="both"/>
              <w:rPr>
                <w:sz w:val="22"/>
                <w:szCs w:val="22"/>
              </w:rPr>
            </w:pPr>
            <w:r w:rsidRPr="00A61578">
              <w:rPr>
                <w:sz w:val="22"/>
                <w:szCs w:val="22"/>
              </w:rPr>
              <w:t>Manytina, kad</w:t>
            </w:r>
            <w:r w:rsidR="001A43A8" w:rsidRPr="00A61578">
              <w:rPr>
                <w:sz w:val="22"/>
                <w:szCs w:val="22"/>
              </w:rPr>
              <w:t xml:space="preserve"> siūloma nuostata būtų perteklinė, nes ir</w:t>
            </w:r>
            <w:r w:rsidR="00120229" w:rsidRPr="00A61578">
              <w:rPr>
                <w:sz w:val="22"/>
                <w:szCs w:val="22"/>
              </w:rPr>
              <w:t xml:space="preserve"> pagal galiojančią</w:t>
            </w:r>
            <w:r w:rsidR="00FF08EC" w:rsidRPr="00A61578">
              <w:rPr>
                <w:sz w:val="22"/>
                <w:szCs w:val="22"/>
              </w:rPr>
              <w:t xml:space="preserve"> Aprašo 52 punkto </w:t>
            </w:r>
            <w:r w:rsidR="00120229" w:rsidRPr="00A61578">
              <w:rPr>
                <w:sz w:val="22"/>
                <w:szCs w:val="22"/>
              </w:rPr>
              <w:t>redakciją</w:t>
            </w:r>
            <w:r w:rsidR="00C1048C" w:rsidRPr="00A61578">
              <w:rPr>
                <w:sz w:val="22"/>
                <w:szCs w:val="22"/>
              </w:rPr>
              <w:t xml:space="preserve"> atranką inicijuojantis subjektas, gavęs</w:t>
            </w:r>
            <w:r w:rsidR="00EE0A75" w:rsidRPr="00A61578">
              <w:rPr>
                <w:sz w:val="22"/>
                <w:szCs w:val="22"/>
              </w:rPr>
              <w:t xml:space="preserve"> iš </w:t>
            </w:r>
            <w:r w:rsidR="003946AA" w:rsidRPr="00A61578">
              <w:rPr>
                <w:sz w:val="22"/>
                <w:szCs w:val="22"/>
              </w:rPr>
              <w:t>bet kokios įmonės</w:t>
            </w:r>
            <w:r w:rsidR="00EB1927" w:rsidRPr="00A61578">
              <w:rPr>
                <w:sz w:val="22"/>
                <w:szCs w:val="22"/>
              </w:rPr>
              <w:t xml:space="preserve"> (įskaitant ir save, jeigu tai patronuojanti įmonė)</w:t>
            </w:r>
            <w:r w:rsidR="003946AA" w:rsidRPr="00A61578">
              <w:rPr>
                <w:sz w:val="22"/>
                <w:szCs w:val="22"/>
              </w:rPr>
              <w:t xml:space="preserve"> duomenų</w:t>
            </w:r>
            <w:r w:rsidR="00496711" w:rsidRPr="00A61578">
              <w:rPr>
                <w:sz w:val="22"/>
                <w:szCs w:val="22"/>
              </w:rPr>
              <w:t>, keliančių pagrįstų abejonių dėl kandidato tinkamumo būti kolegialaus organo nariu</w:t>
            </w:r>
            <w:r w:rsidR="0092542E" w:rsidRPr="00A61578">
              <w:rPr>
                <w:sz w:val="22"/>
                <w:szCs w:val="22"/>
              </w:rPr>
              <w:t xml:space="preserve">, </w:t>
            </w:r>
            <w:r w:rsidR="0092542E" w:rsidRPr="00A61578">
              <w:rPr>
                <w:rFonts w:eastAsiaTheme="minorHAnsi"/>
                <w:sz w:val="22"/>
                <w:szCs w:val="22"/>
              </w:rPr>
              <w:t>nepriima Aprašo 50 punkte nurodyto sprendimo arba, jei toks sprendimas jau priimtas – pripažįsta jį netekusiu galios.</w:t>
            </w:r>
          </w:p>
        </w:tc>
      </w:tr>
    </w:tbl>
    <w:p w14:paraId="7CBBB96F" w14:textId="77777777" w:rsidR="00236BE5" w:rsidRDefault="00236BE5" w:rsidP="00B40A78">
      <w:pPr>
        <w:jc w:val="center"/>
        <w:rPr>
          <w:rFonts w:ascii="Times New Roman" w:hAnsi="Times New Roman" w:cs="Times New Roman"/>
        </w:rPr>
      </w:pPr>
    </w:p>
    <w:p w14:paraId="40C8264A" w14:textId="371D5E69" w:rsidR="00B40A78" w:rsidRPr="00DD25B2" w:rsidRDefault="00B40A78" w:rsidP="00B40A78">
      <w:pPr>
        <w:jc w:val="center"/>
        <w:rPr>
          <w:rFonts w:ascii="Times New Roman" w:hAnsi="Times New Roman" w:cs="Times New Roman"/>
        </w:rPr>
      </w:pPr>
      <w:r w:rsidRPr="00DD25B2">
        <w:rPr>
          <w:rFonts w:ascii="Times New Roman" w:hAnsi="Times New Roman" w:cs="Times New Roman"/>
        </w:rPr>
        <w:t>____________________</w:t>
      </w:r>
    </w:p>
    <w:sectPr w:rsidR="00B40A78" w:rsidRPr="00DD25B2" w:rsidSect="00575ABE">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814E0" w14:textId="77777777" w:rsidR="00F84413" w:rsidRDefault="00F84413" w:rsidP="00B40A78">
      <w:pPr>
        <w:spacing w:after="0" w:line="240" w:lineRule="auto"/>
      </w:pPr>
      <w:r>
        <w:separator/>
      </w:r>
    </w:p>
  </w:endnote>
  <w:endnote w:type="continuationSeparator" w:id="0">
    <w:p w14:paraId="2759CE1C" w14:textId="77777777" w:rsidR="00F84413" w:rsidRDefault="00F84413" w:rsidP="00B4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82652" w14:textId="77777777" w:rsidR="00575ABE" w:rsidRDefault="00575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82653" w14:textId="77777777" w:rsidR="00575ABE" w:rsidRDefault="00575A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82655" w14:textId="77777777" w:rsidR="00575ABE" w:rsidRDefault="00575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7B12B" w14:textId="77777777" w:rsidR="00F84413" w:rsidRDefault="00F84413" w:rsidP="00B40A78">
      <w:pPr>
        <w:spacing w:after="0" w:line="240" w:lineRule="auto"/>
      </w:pPr>
      <w:r>
        <w:separator/>
      </w:r>
    </w:p>
  </w:footnote>
  <w:footnote w:type="continuationSeparator" w:id="0">
    <w:p w14:paraId="31884367" w14:textId="77777777" w:rsidR="00F84413" w:rsidRDefault="00F84413" w:rsidP="00B40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8264F" w14:textId="77777777" w:rsidR="00575ABE" w:rsidRDefault="00575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9263808"/>
      <w:docPartObj>
        <w:docPartGallery w:val="Page Numbers (Top of Page)"/>
        <w:docPartUnique/>
      </w:docPartObj>
    </w:sdtPr>
    <w:sdtEndPr>
      <w:rPr>
        <w:rFonts w:ascii="Times New Roman" w:hAnsi="Times New Roman" w:cs="Times New Roman"/>
        <w:noProof/>
        <w:sz w:val="24"/>
        <w:szCs w:val="24"/>
      </w:rPr>
    </w:sdtEndPr>
    <w:sdtContent>
      <w:p w14:paraId="40C82650" w14:textId="77777777" w:rsidR="00575ABE" w:rsidRPr="00575ABE" w:rsidRDefault="00575ABE">
        <w:pPr>
          <w:pStyle w:val="Header"/>
          <w:jc w:val="center"/>
          <w:rPr>
            <w:rFonts w:ascii="Times New Roman" w:hAnsi="Times New Roman" w:cs="Times New Roman"/>
            <w:sz w:val="24"/>
            <w:szCs w:val="24"/>
          </w:rPr>
        </w:pPr>
        <w:r w:rsidRPr="00575ABE">
          <w:rPr>
            <w:rFonts w:ascii="Times New Roman" w:hAnsi="Times New Roman" w:cs="Times New Roman"/>
            <w:sz w:val="24"/>
            <w:szCs w:val="24"/>
          </w:rPr>
          <w:fldChar w:fldCharType="begin"/>
        </w:r>
        <w:r w:rsidRPr="00575ABE">
          <w:rPr>
            <w:rFonts w:ascii="Times New Roman" w:hAnsi="Times New Roman" w:cs="Times New Roman"/>
            <w:sz w:val="24"/>
            <w:szCs w:val="24"/>
          </w:rPr>
          <w:instrText xml:space="preserve"> PAGE   \* MERGEFORMAT </w:instrText>
        </w:r>
        <w:r w:rsidRPr="00575ABE">
          <w:rPr>
            <w:rFonts w:ascii="Times New Roman" w:hAnsi="Times New Roman" w:cs="Times New Roman"/>
            <w:sz w:val="24"/>
            <w:szCs w:val="24"/>
          </w:rPr>
          <w:fldChar w:fldCharType="separate"/>
        </w:r>
        <w:r w:rsidR="004D5FC5">
          <w:rPr>
            <w:rFonts w:ascii="Times New Roman" w:hAnsi="Times New Roman" w:cs="Times New Roman"/>
            <w:noProof/>
            <w:sz w:val="24"/>
            <w:szCs w:val="24"/>
          </w:rPr>
          <w:t>2</w:t>
        </w:r>
        <w:r w:rsidRPr="00575ABE">
          <w:rPr>
            <w:rFonts w:ascii="Times New Roman" w:hAnsi="Times New Roman" w:cs="Times New Roman"/>
            <w:noProof/>
            <w:sz w:val="24"/>
            <w:szCs w:val="24"/>
          </w:rPr>
          <w:fldChar w:fldCharType="end"/>
        </w:r>
      </w:p>
    </w:sdtContent>
  </w:sdt>
  <w:p w14:paraId="40C82651" w14:textId="77777777" w:rsidR="00575ABE" w:rsidRDefault="00575A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82654" w14:textId="77777777" w:rsidR="00575ABE" w:rsidRDefault="00575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025EA3"/>
    <w:multiLevelType w:val="hybridMultilevel"/>
    <w:tmpl w:val="08BC599A"/>
    <w:lvl w:ilvl="0" w:tplc="595A3D38">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A78"/>
    <w:rsid w:val="000024C8"/>
    <w:rsid w:val="00006BBB"/>
    <w:rsid w:val="00011C6C"/>
    <w:rsid w:val="0001539E"/>
    <w:rsid w:val="00016608"/>
    <w:rsid w:val="0001740F"/>
    <w:rsid w:val="00021476"/>
    <w:rsid w:val="00052CCE"/>
    <w:rsid w:val="00052E5F"/>
    <w:rsid w:val="00055E0D"/>
    <w:rsid w:val="0006377F"/>
    <w:rsid w:val="000717C4"/>
    <w:rsid w:val="00073448"/>
    <w:rsid w:val="00076598"/>
    <w:rsid w:val="00076AAE"/>
    <w:rsid w:val="00077FAE"/>
    <w:rsid w:val="00080396"/>
    <w:rsid w:val="00080406"/>
    <w:rsid w:val="000930A8"/>
    <w:rsid w:val="000A4BCD"/>
    <w:rsid w:val="000A726B"/>
    <w:rsid w:val="000B7AA7"/>
    <w:rsid w:val="000C272D"/>
    <w:rsid w:val="000C66ED"/>
    <w:rsid w:val="000C72EA"/>
    <w:rsid w:val="000E180E"/>
    <w:rsid w:val="000E6AC5"/>
    <w:rsid w:val="000F1CE1"/>
    <w:rsid w:val="000F2F4B"/>
    <w:rsid w:val="000F34FC"/>
    <w:rsid w:val="000F4CFB"/>
    <w:rsid w:val="00101EB0"/>
    <w:rsid w:val="00104E17"/>
    <w:rsid w:val="00117C8C"/>
    <w:rsid w:val="00120229"/>
    <w:rsid w:val="001248DC"/>
    <w:rsid w:val="00137D3B"/>
    <w:rsid w:val="00140730"/>
    <w:rsid w:val="0014337F"/>
    <w:rsid w:val="001445F0"/>
    <w:rsid w:val="00153BA8"/>
    <w:rsid w:val="00157415"/>
    <w:rsid w:val="001603D4"/>
    <w:rsid w:val="00161C06"/>
    <w:rsid w:val="001751C3"/>
    <w:rsid w:val="001862B5"/>
    <w:rsid w:val="00194936"/>
    <w:rsid w:val="00194B53"/>
    <w:rsid w:val="001A43A8"/>
    <w:rsid w:val="001A5439"/>
    <w:rsid w:val="001A56B3"/>
    <w:rsid w:val="001A6F9A"/>
    <w:rsid w:val="001B0AE5"/>
    <w:rsid w:val="001B50F4"/>
    <w:rsid w:val="001B5850"/>
    <w:rsid w:val="001D3817"/>
    <w:rsid w:val="001D48DC"/>
    <w:rsid w:val="001E061D"/>
    <w:rsid w:val="001E23A8"/>
    <w:rsid w:val="0021390F"/>
    <w:rsid w:val="00220742"/>
    <w:rsid w:val="00222C7B"/>
    <w:rsid w:val="00226D72"/>
    <w:rsid w:val="00230FB1"/>
    <w:rsid w:val="0023594E"/>
    <w:rsid w:val="00236ACA"/>
    <w:rsid w:val="00236BE5"/>
    <w:rsid w:val="002421EA"/>
    <w:rsid w:val="002446D3"/>
    <w:rsid w:val="00250BC6"/>
    <w:rsid w:val="002635E1"/>
    <w:rsid w:val="00271A2F"/>
    <w:rsid w:val="00275874"/>
    <w:rsid w:val="00277385"/>
    <w:rsid w:val="00284EEE"/>
    <w:rsid w:val="002879AE"/>
    <w:rsid w:val="002932F1"/>
    <w:rsid w:val="002A4C38"/>
    <w:rsid w:val="002B0674"/>
    <w:rsid w:val="002B08D6"/>
    <w:rsid w:val="002C222C"/>
    <w:rsid w:val="002C24BC"/>
    <w:rsid w:val="002D25B6"/>
    <w:rsid w:val="002D63D3"/>
    <w:rsid w:val="002D65A5"/>
    <w:rsid w:val="002D6A9E"/>
    <w:rsid w:val="002E013F"/>
    <w:rsid w:val="002E5C24"/>
    <w:rsid w:val="002E5E0B"/>
    <w:rsid w:val="002F7752"/>
    <w:rsid w:val="0030264B"/>
    <w:rsid w:val="003055A1"/>
    <w:rsid w:val="003108EF"/>
    <w:rsid w:val="00314B75"/>
    <w:rsid w:val="0031656B"/>
    <w:rsid w:val="00317F81"/>
    <w:rsid w:val="003235B7"/>
    <w:rsid w:val="0034561C"/>
    <w:rsid w:val="00351C1E"/>
    <w:rsid w:val="00353679"/>
    <w:rsid w:val="003664AB"/>
    <w:rsid w:val="00372E88"/>
    <w:rsid w:val="00380276"/>
    <w:rsid w:val="00384D9C"/>
    <w:rsid w:val="00386CF6"/>
    <w:rsid w:val="00390C30"/>
    <w:rsid w:val="003914DE"/>
    <w:rsid w:val="003946AA"/>
    <w:rsid w:val="003A038D"/>
    <w:rsid w:val="003A0923"/>
    <w:rsid w:val="003A4144"/>
    <w:rsid w:val="003A47A4"/>
    <w:rsid w:val="003A6BDD"/>
    <w:rsid w:val="003A7F22"/>
    <w:rsid w:val="003B0936"/>
    <w:rsid w:val="003B49FB"/>
    <w:rsid w:val="003C57F4"/>
    <w:rsid w:val="003E0E5A"/>
    <w:rsid w:val="003E6DCB"/>
    <w:rsid w:val="00402030"/>
    <w:rsid w:val="00402EDE"/>
    <w:rsid w:val="0040363F"/>
    <w:rsid w:val="00405D1A"/>
    <w:rsid w:val="0040755A"/>
    <w:rsid w:val="004115CA"/>
    <w:rsid w:val="004128DB"/>
    <w:rsid w:val="00413264"/>
    <w:rsid w:val="00420974"/>
    <w:rsid w:val="00421F6A"/>
    <w:rsid w:val="00423F99"/>
    <w:rsid w:val="00424524"/>
    <w:rsid w:val="00424F86"/>
    <w:rsid w:val="004317E4"/>
    <w:rsid w:val="00431C90"/>
    <w:rsid w:val="004345C9"/>
    <w:rsid w:val="00440E2C"/>
    <w:rsid w:val="004426E2"/>
    <w:rsid w:val="00445FA7"/>
    <w:rsid w:val="00446A2B"/>
    <w:rsid w:val="004617BB"/>
    <w:rsid w:val="004629E7"/>
    <w:rsid w:val="0047220A"/>
    <w:rsid w:val="00473BF5"/>
    <w:rsid w:val="00474840"/>
    <w:rsid w:val="004814A5"/>
    <w:rsid w:val="00496711"/>
    <w:rsid w:val="004A1BD3"/>
    <w:rsid w:val="004A2748"/>
    <w:rsid w:val="004A42B1"/>
    <w:rsid w:val="004A4D26"/>
    <w:rsid w:val="004B00CB"/>
    <w:rsid w:val="004B4DC7"/>
    <w:rsid w:val="004B6EC0"/>
    <w:rsid w:val="004C3F38"/>
    <w:rsid w:val="004D5FC5"/>
    <w:rsid w:val="004F128C"/>
    <w:rsid w:val="005012C0"/>
    <w:rsid w:val="00502581"/>
    <w:rsid w:val="00502916"/>
    <w:rsid w:val="005079DA"/>
    <w:rsid w:val="00513FEF"/>
    <w:rsid w:val="005306FA"/>
    <w:rsid w:val="0053254D"/>
    <w:rsid w:val="005476A1"/>
    <w:rsid w:val="00547A83"/>
    <w:rsid w:val="00551AAB"/>
    <w:rsid w:val="0055235A"/>
    <w:rsid w:val="00563C28"/>
    <w:rsid w:val="00566255"/>
    <w:rsid w:val="005676EA"/>
    <w:rsid w:val="00575ABE"/>
    <w:rsid w:val="005778CE"/>
    <w:rsid w:val="005801B3"/>
    <w:rsid w:val="00586F90"/>
    <w:rsid w:val="00591845"/>
    <w:rsid w:val="00591EA2"/>
    <w:rsid w:val="00594E57"/>
    <w:rsid w:val="005A0C17"/>
    <w:rsid w:val="005A1534"/>
    <w:rsid w:val="005A4BA0"/>
    <w:rsid w:val="005A6014"/>
    <w:rsid w:val="005B1669"/>
    <w:rsid w:val="005B3CD9"/>
    <w:rsid w:val="005C0E3C"/>
    <w:rsid w:val="005D014E"/>
    <w:rsid w:val="005D421F"/>
    <w:rsid w:val="005E5158"/>
    <w:rsid w:val="005E6D9F"/>
    <w:rsid w:val="005F2998"/>
    <w:rsid w:val="00601D19"/>
    <w:rsid w:val="00605E25"/>
    <w:rsid w:val="00607016"/>
    <w:rsid w:val="006132AC"/>
    <w:rsid w:val="00627039"/>
    <w:rsid w:val="006328C7"/>
    <w:rsid w:val="00643B37"/>
    <w:rsid w:val="006477A2"/>
    <w:rsid w:val="00647B9B"/>
    <w:rsid w:val="006549C1"/>
    <w:rsid w:val="00660325"/>
    <w:rsid w:val="00666E7B"/>
    <w:rsid w:val="00667813"/>
    <w:rsid w:val="00670699"/>
    <w:rsid w:val="00670BD8"/>
    <w:rsid w:val="00671867"/>
    <w:rsid w:val="0067239F"/>
    <w:rsid w:val="00673D58"/>
    <w:rsid w:val="00677AC1"/>
    <w:rsid w:val="00686843"/>
    <w:rsid w:val="00695EBC"/>
    <w:rsid w:val="006C5667"/>
    <w:rsid w:val="006D0FE1"/>
    <w:rsid w:val="006D2FF7"/>
    <w:rsid w:val="006E5ACE"/>
    <w:rsid w:val="006F63CC"/>
    <w:rsid w:val="00703E32"/>
    <w:rsid w:val="00706B01"/>
    <w:rsid w:val="00715E50"/>
    <w:rsid w:val="00733F8A"/>
    <w:rsid w:val="00737D2C"/>
    <w:rsid w:val="00737D52"/>
    <w:rsid w:val="007411AD"/>
    <w:rsid w:val="00753443"/>
    <w:rsid w:val="007619D9"/>
    <w:rsid w:val="00772173"/>
    <w:rsid w:val="0077650B"/>
    <w:rsid w:val="00783744"/>
    <w:rsid w:val="00791C76"/>
    <w:rsid w:val="007930E5"/>
    <w:rsid w:val="00795806"/>
    <w:rsid w:val="007A5499"/>
    <w:rsid w:val="007C46DE"/>
    <w:rsid w:val="007D2CE0"/>
    <w:rsid w:val="007D30F8"/>
    <w:rsid w:val="007E7B5E"/>
    <w:rsid w:val="007F04A8"/>
    <w:rsid w:val="00805DF8"/>
    <w:rsid w:val="0082342B"/>
    <w:rsid w:val="0082354B"/>
    <w:rsid w:val="00830A0D"/>
    <w:rsid w:val="008329EB"/>
    <w:rsid w:val="00836A1A"/>
    <w:rsid w:val="008739F5"/>
    <w:rsid w:val="00891368"/>
    <w:rsid w:val="00891E0C"/>
    <w:rsid w:val="00893DDA"/>
    <w:rsid w:val="008B058B"/>
    <w:rsid w:val="008C6478"/>
    <w:rsid w:val="008D55CE"/>
    <w:rsid w:val="008D6C4F"/>
    <w:rsid w:val="008D7876"/>
    <w:rsid w:val="008E43C9"/>
    <w:rsid w:val="008E7628"/>
    <w:rsid w:val="00901E51"/>
    <w:rsid w:val="00906740"/>
    <w:rsid w:val="009116EF"/>
    <w:rsid w:val="0092542E"/>
    <w:rsid w:val="00925B17"/>
    <w:rsid w:val="00940724"/>
    <w:rsid w:val="009422BF"/>
    <w:rsid w:val="00962939"/>
    <w:rsid w:val="0096325F"/>
    <w:rsid w:val="0096368D"/>
    <w:rsid w:val="009732DA"/>
    <w:rsid w:val="009771A6"/>
    <w:rsid w:val="00984581"/>
    <w:rsid w:val="009933A7"/>
    <w:rsid w:val="0099525F"/>
    <w:rsid w:val="00996437"/>
    <w:rsid w:val="009A0D38"/>
    <w:rsid w:val="009A13DE"/>
    <w:rsid w:val="009A3B90"/>
    <w:rsid w:val="009B08BC"/>
    <w:rsid w:val="009B1D34"/>
    <w:rsid w:val="009B30CC"/>
    <w:rsid w:val="009B3675"/>
    <w:rsid w:val="009B44A5"/>
    <w:rsid w:val="009C277F"/>
    <w:rsid w:val="009C62A0"/>
    <w:rsid w:val="009D56AE"/>
    <w:rsid w:val="009D6C84"/>
    <w:rsid w:val="009F7012"/>
    <w:rsid w:val="00A10B08"/>
    <w:rsid w:val="00A12B32"/>
    <w:rsid w:val="00A16D42"/>
    <w:rsid w:val="00A25F3B"/>
    <w:rsid w:val="00A26580"/>
    <w:rsid w:val="00A34087"/>
    <w:rsid w:val="00A40A40"/>
    <w:rsid w:val="00A42767"/>
    <w:rsid w:val="00A42D7B"/>
    <w:rsid w:val="00A47773"/>
    <w:rsid w:val="00A47EDD"/>
    <w:rsid w:val="00A61578"/>
    <w:rsid w:val="00A61A73"/>
    <w:rsid w:val="00A67C31"/>
    <w:rsid w:val="00A70141"/>
    <w:rsid w:val="00A8287F"/>
    <w:rsid w:val="00A85EE0"/>
    <w:rsid w:val="00A90D90"/>
    <w:rsid w:val="00A96495"/>
    <w:rsid w:val="00AA0C6B"/>
    <w:rsid w:val="00AA576F"/>
    <w:rsid w:val="00AB07AC"/>
    <w:rsid w:val="00AB3740"/>
    <w:rsid w:val="00AC1268"/>
    <w:rsid w:val="00AD0340"/>
    <w:rsid w:val="00AD534C"/>
    <w:rsid w:val="00AD550E"/>
    <w:rsid w:val="00AF4DF6"/>
    <w:rsid w:val="00B06B75"/>
    <w:rsid w:val="00B0799C"/>
    <w:rsid w:val="00B10D2E"/>
    <w:rsid w:val="00B14D5A"/>
    <w:rsid w:val="00B15031"/>
    <w:rsid w:val="00B1723F"/>
    <w:rsid w:val="00B20436"/>
    <w:rsid w:val="00B23A6F"/>
    <w:rsid w:val="00B24B64"/>
    <w:rsid w:val="00B339F1"/>
    <w:rsid w:val="00B40A78"/>
    <w:rsid w:val="00B525AF"/>
    <w:rsid w:val="00B607B0"/>
    <w:rsid w:val="00B61AB3"/>
    <w:rsid w:val="00B646DE"/>
    <w:rsid w:val="00B66055"/>
    <w:rsid w:val="00B66E9C"/>
    <w:rsid w:val="00B7084A"/>
    <w:rsid w:val="00B841BF"/>
    <w:rsid w:val="00B84A2A"/>
    <w:rsid w:val="00B90DF9"/>
    <w:rsid w:val="00B920C0"/>
    <w:rsid w:val="00BA45B6"/>
    <w:rsid w:val="00BA7851"/>
    <w:rsid w:val="00BB0355"/>
    <w:rsid w:val="00BB40D3"/>
    <w:rsid w:val="00BB4EA5"/>
    <w:rsid w:val="00BB5757"/>
    <w:rsid w:val="00BC4199"/>
    <w:rsid w:val="00BD3F56"/>
    <w:rsid w:val="00BD5D56"/>
    <w:rsid w:val="00BE33D1"/>
    <w:rsid w:val="00BE4A70"/>
    <w:rsid w:val="00BE7B64"/>
    <w:rsid w:val="00BF584C"/>
    <w:rsid w:val="00C1048C"/>
    <w:rsid w:val="00C11BE6"/>
    <w:rsid w:val="00C11E0C"/>
    <w:rsid w:val="00C45E32"/>
    <w:rsid w:val="00C46C5F"/>
    <w:rsid w:val="00C54A61"/>
    <w:rsid w:val="00C55277"/>
    <w:rsid w:val="00C55976"/>
    <w:rsid w:val="00C6049B"/>
    <w:rsid w:val="00C638FE"/>
    <w:rsid w:val="00C828E9"/>
    <w:rsid w:val="00C850C3"/>
    <w:rsid w:val="00C86798"/>
    <w:rsid w:val="00C91930"/>
    <w:rsid w:val="00C944DB"/>
    <w:rsid w:val="00CA4E7C"/>
    <w:rsid w:val="00CA5954"/>
    <w:rsid w:val="00CB5B72"/>
    <w:rsid w:val="00CC01A0"/>
    <w:rsid w:val="00CC6133"/>
    <w:rsid w:val="00CC75D7"/>
    <w:rsid w:val="00CC7806"/>
    <w:rsid w:val="00CC7907"/>
    <w:rsid w:val="00CD331E"/>
    <w:rsid w:val="00CD6776"/>
    <w:rsid w:val="00CE3285"/>
    <w:rsid w:val="00CE5169"/>
    <w:rsid w:val="00CF3939"/>
    <w:rsid w:val="00D02CB0"/>
    <w:rsid w:val="00D057E7"/>
    <w:rsid w:val="00D06FAA"/>
    <w:rsid w:val="00D16EF2"/>
    <w:rsid w:val="00D175EA"/>
    <w:rsid w:val="00D177A2"/>
    <w:rsid w:val="00D227B8"/>
    <w:rsid w:val="00D22F7C"/>
    <w:rsid w:val="00D2635B"/>
    <w:rsid w:val="00D54578"/>
    <w:rsid w:val="00D574C4"/>
    <w:rsid w:val="00D5775C"/>
    <w:rsid w:val="00D63CAE"/>
    <w:rsid w:val="00D65F6A"/>
    <w:rsid w:val="00D67E85"/>
    <w:rsid w:val="00D84DD8"/>
    <w:rsid w:val="00D86E06"/>
    <w:rsid w:val="00D8757D"/>
    <w:rsid w:val="00D92D81"/>
    <w:rsid w:val="00D97E98"/>
    <w:rsid w:val="00DA1368"/>
    <w:rsid w:val="00DA7EF8"/>
    <w:rsid w:val="00DB4F14"/>
    <w:rsid w:val="00DB5A9D"/>
    <w:rsid w:val="00DC2248"/>
    <w:rsid w:val="00DD25B2"/>
    <w:rsid w:val="00DD38B4"/>
    <w:rsid w:val="00DD4425"/>
    <w:rsid w:val="00DE06AA"/>
    <w:rsid w:val="00DE4DC7"/>
    <w:rsid w:val="00DF0E71"/>
    <w:rsid w:val="00DF2EF8"/>
    <w:rsid w:val="00DF6ACE"/>
    <w:rsid w:val="00E0779B"/>
    <w:rsid w:val="00E171E0"/>
    <w:rsid w:val="00E17651"/>
    <w:rsid w:val="00E3454F"/>
    <w:rsid w:val="00E35A60"/>
    <w:rsid w:val="00E41544"/>
    <w:rsid w:val="00E44EEC"/>
    <w:rsid w:val="00E50D6A"/>
    <w:rsid w:val="00E64A62"/>
    <w:rsid w:val="00E65947"/>
    <w:rsid w:val="00E65C38"/>
    <w:rsid w:val="00E67676"/>
    <w:rsid w:val="00E708AC"/>
    <w:rsid w:val="00E87329"/>
    <w:rsid w:val="00E91D17"/>
    <w:rsid w:val="00EA23B2"/>
    <w:rsid w:val="00EA4525"/>
    <w:rsid w:val="00EA4A34"/>
    <w:rsid w:val="00EA7A23"/>
    <w:rsid w:val="00EB1927"/>
    <w:rsid w:val="00EB2191"/>
    <w:rsid w:val="00EB3368"/>
    <w:rsid w:val="00EC21A9"/>
    <w:rsid w:val="00EC47B1"/>
    <w:rsid w:val="00EC5CB2"/>
    <w:rsid w:val="00ED04B2"/>
    <w:rsid w:val="00ED0F72"/>
    <w:rsid w:val="00ED12FB"/>
    <w:rsid w:val="00ED6551"/>
    <w:rsid w:val="00EE02C2"/>
    <w:rsid w:val="00EE0A75"/>
    <w:rsid w:val="00EE2A3C"/>
    <w:rsid w:val="00F01ACB"/>
    <w:rsid w:val="00F05A0B"/>
    <w:rsid w:val="00F11618"/>
    <w:rsid w:val="00F13707"/>
    <w:rsid w:val="00F35E25"/>
    <w:rsid w:val="00F40026"/>
    <w:rsid w:val="00F42A19"/>
    <w:rsid w:val="00F42E62"/>
    <w:rsid w:val="00F43430"/>
    <w:rsid w:val="00F444E6"/>
    <w:rsid w:val="00F4609D"/>
    <w:rsid w:val="00F513BF"/>
    <w:rsid w:val="00F53BA9"/>
    <w:rsid w:val="00F540FA"/>
    <w:rsid w:val="00F57BBC"/>
    <w:rsid w:val="00F57D52"/>
    <w:rsid w:val="00F62901"/>
    <w:rsid w:val="00F63D87"/>
    <w:rsid w:val="00F668FF"/>
    <w:rsid w:val="00F676B9"/>
    <w:rsid w:val="00F7104D"/>
    <w:rsid w:val="00F778B3"/>
    <w:rsid w:val="00F813B7"/>
    <w:rsid w:val="00F84413"/>
    <w:rsid w:val="00F94647"/>
    <w:rsid w:val="00F96FA7"/>
    <w:rsid w:val="00FA1846"/>
    <w:rsid w:val="00FA3BB6"/>
    <w:rsid w:val="00FA6E01"/>
    <w:rsid w:val="00FA7F1F"/>
    <w:rsid w:val="00FB0ADB"/>
    <w:rsid w:val="00FB137A"/>
    <w:rsid w:val="00FB3D86"/>
    <w:rsid w:val="00FC20C7"/>
    <w:rsid w:val="00FC22F5"/>
    <w:rsid w:val="00FC3E40"/>
    <w:rsid w:val="00FD013C"/>
    <w:rsid w:val="00FD3662"/>
    <w:rsid w:val="00FD6D54"/>
    <w:rsid w:val="00FE0F80"/>
    <w:rsid w:val="00FF08EC"/>
    <w:rsid w:val="00FF1B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2635"/>
  <w15:docId w15:val="{AD9C3300-AFD5-47B1-872B-7C2EAFA6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0A78"/>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40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40A78"/>
    <w:rPr>
      <w:color w:val="0000FF"/>
      <w:u w:val="single"/>
    </w:rPr>
  </w:style>
  <w:style w:type="paragraph" w:styleId="FootnoteText">
    <w:name w:val="footnote text"/>
    <w:basedOn w:val="Normal"/>
    <w:link w:val="FootnoteTextChar"/>
    <w:uiPriority w:val="99"/>
    <w:semiHidden/>
    <w:unhideWhenUsed/>
    <w:rsid w:val="00B40A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0A78"/>
    <w:rPr>
      <w:sz w:val="20"/>
      <w:szCs w:val="20"/>
    </w:rPr>
  </w:style>
  <w:style w:type="character" w:styleId="FootnoteReference">
    <w:name w:val="footnote reference"/>
    <w:basedOn w:val="DefaultParagraphFont"/>
    <w:uiPriority w:val="99"/>
    <w:semiHidden/>
    <w:unhideWhenUsed/>
    <w:rsid w:val="00B40A78"/>
    <w:rPr>
      <w:vertAlign w:val="superscript"/>
    </w:rPr>
  </w:style>
  <w:style w:type="paragraph" w:styleId="Header">
    <w:name w:val="header"/>
    <w:basedOn w:val="Normal"/>
    <w:link w:val="HeaderChar"/>
    <w:uiPriority w:val="99"/>
    <w:unhideWhenUsed/>
    <w:rsid w:val="00575A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75ABE"/>
  </w:style>
  <w:style w:type="paragraph" w:styleId="Footer">
    <w:name w:val="footer"/>
    <w:basedOn w:val="Normal"/>
    <w:link w:val="FooterChar"/>
    <w:uiPriority w:val="99"/>
    <w:unhideWhenUsed/>
    <w:rsid w:val="00575A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75ABE"/>
  </w:style>
  <w:style w:type="paragraph" w:styleId="BalloonText">
    <w:name w:val="Balloon Text"/>
    <w:basedOn w:val="Normal"/>
    <w:link w:val="BalloonTextChar"/>
    <w:uiPriority w:val="99"/>
    <w:semiHidden/>
    <w:unhideWhenUsed/>
    <w:rsid w:val="00236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ACA"/>
    <w:rPr>
      <w:rFonts w:ascii="Tahoma" w:hAnsi="Tahoma" w:cs="Tahoma"/>
      <w:sz w:val="16"/>
      <w:szCs w:val="16"/>
    </w:rPr>
  </w:style>
  <w:style w:type="paragraph" w:customStyle="1" w:styleId="Default">
    <w:name w:val="Default"/>
    <w:rsid w:val="00F42E6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91E0C"/>
    <w:pPr>
      <w:widowControl w:val="0"/>
      <w:autoSpaceDE w:val="0"/>
      <w:autoSpaceDN w:val="0"/>
      <w:adjustRightInd w:val="0"/>
      <w:spacing w:after="0" w:line="240" w:lineRule="auto"/>
      <w:ind w:left="720"/>
      <w:contextualSpacing/>
    </w:pPr>
    <w:rPr>
      <w:rFonts w:ascii="Verdana" w:eastAsia="Times New Roman" w:hAnsi="Verdana" w:cs="Times New Roman"/>
      <w:sz w:val="20"/>
      <w:szCs w:val="20"/>
      <w:lang w:val="en-US"/>
    </w:rPr>
  </w:style>
  <w:style w:type="character" w:styleId="CommentReference">
    <w:name w:val="annotation reference"/>
    <w:basedOn w:val="DefaultParagraphFont"/>
    <w:uiPriority w:val="99"/>
    <w:semiHidden/>
    <w:unhideWhenUsed/>
    <w:rsid w:val="00DB4F14"/>
    <w:rPr>
      <w:sz w:val="16"/>
      <w:szCs w:val="16"/>
    </w:rPr>
  </w:style>
  <w:style w:type="paragraph" w:styleId="CommentText">
    <w:name w:val="annotation text"/>
    <w:basedOn w:val="Normal"/>
    <w:link w:val="CommentTextChar"/>
    <w:uiPriority w:val="99"/>
    <w:semiHidden/>
    <w:unhideWhenUsed/>
    <w:rsid w:val="00DB4F14"/>
    <w:pPr>
      <w:spacing w:line="240" w:lineRule="auto"/>
    </w:pPr>
    <w:rPr>
      <w:sz w:val="20"/>
      <w:szCs w:val="20"/>
    </w:rPr>
  </w:style>
  <w:style w:type="character" w:customStyle="1" w:styleId="CommentTextChar">
    <w:name w:val="Comment Text Char"/>
    <w:basedOn w:val="DefaultParagraphFont"/>
    <w:link w:val="CommentText"/>
    <w:uiPriority w:val="99"/>
    <w:semiHidden/>
    <w:rsid w:val="00DB4F14"/>
    <w:rPr>
      <w:sz w:val="20"/>
      <w:szCs w:val="20"/>
    </w:rPr>
  </w:style>
  <w:style w:type="paragraph" w:styleId="CommentSubject">
    <w:name w:val="annotation subject"/>
    <w:basedOn w:val="CommentText"/>
    <w:next w:val="CommentText"/>
    <w:link w:val="CommentSubjectChar"/>
    <w:uiPriority w:val="99"/>
    <w:semiHidden/>
    <w:unhideWhenUsed/>
    <w:rsid w:val="00DB4F14"/>
    <w:rPr>
      <w:b/>
      <w:bCs/>
    </w:rPr>
  </w:style>
  <w:style w:type="character" w:customStyle="1" w:styleId="CommentSubjectChar">
    <w:name w:val="Comment Subject Char"/>
    <w:basedOn w:val="CommentTextChar"/>
    <w:link w:val="CommentSubject"/>
    <w:uiPriority w:val="99"/>
    <w:semiHidden/>
    <w:rsid w:val="00DB4F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F96EA9296B0464DA41EB7348BEB2B19" ma:contentTypeVersion="5" ma:contentTypeDescription="Kurkite naują dokumentą." ma:contentTypeScope="" ma:versionID="abde5e1ea298dd4906db028f82e08a02">
  <xsd:schema xmlns:xsd="http://www.w3.org/2001/XMLSchema" xmlns:xs="http://www.w3.org/2001/XMLSchema" xmlns:p="http://schemas.microsoft.com/office/2006/metadata/properties" xmlns:ns3="123db897-47e3-4971-97ee-bf27b87056d7" targetNamespace="http://schemas.microsoft.com/office/2006/metadata/properties" ma:root="true" ma:fieldsID="21de9ad36b75de5d5c0102efd64ea24d" ns3:_="">
    <xsd:import namespace="123db897-47e3-4971-97ee-bf27b87056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b897-47e3-4971-97ee-bf27b8705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CC8CD-3536-477D-B199-176069195D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206178-C280-4887-8712-CF8BB732F13A}">
  <ds:schemaRefs>
    <ds:schemaRef ds:uri="http://schemas.openxmlformats.org/officeDocument/2006/bibliography"/>
  </ds:schemaRefs>
</ds:datastoreItem>
</file>

<file path=customXml/itemProps3.xml><?xml version="1.0" encoding="utf-8"?>
<ds:datastoreItem xmlns:ds="http://schemas.openxmlformats.org/officeDocument/2006/customXml" ds:itemID="{ADA55D24-5819-49CA-B112-5F272F9FCC19}">
  <ds:schemaRefs>
    <ds:schemaRef ds:uri="http://schemas.microsoft.com/sharepoint/v3/contenttype/forms"/>
  </ds:schemaRefs>
</ds:datastoreItem>
</file>

<file path=customXml/itemProps4.xml><?xml version="1.0" encoding="utf-8"?>
<ds:datastoreItem xmlns:ds="http://schemas.openxmlformats.org/officeDocument/2006/customXml" ds:itemID="{55568FD0-2670-45EB-845E-E79620AEC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b897-47e3-4971-97ee-bf27b8705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2021-03-19T07:43:00Z</dcterms:created>
  <dc:creator>Adrianas Mečkovskis</dc:creator>
  <cp:lastModifiedBy>Živilė</cp:lastModifiedBy>
  <cp:lastPrinted>2019-12-13T12:44:00Z</cp:lastPrinted>
  <dcterms:modified xsi:type="dcterms:W3CDTF">2021-03-19T08:08:00Z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0x0101009F96EA9296B0464DA41EB7348BEB2B19</vt:lpwstr>
  </property>
</Properties>
</file>