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D1814" w14:textId="77777777" w:rsidR="00C41B65" w:rsidRDefault="00485D22">
      <w:pPr>
        <w:pStyle w:val="Kopija"/>
        <w:spacing w:line="276" w:lineRule="auto"/>
        <w:ind w:right="279"/>
      </w:pPr>
      <w:bookmarkStart w:id="0" w:name="_GoBack"/>
      <w:bookmarkEnd w:id="0"/>
      <w:r>
        <w:t>Lietuvos Respublikos kultūros ministerijai                          2020-11-     Nr. (1.6E) 2T-</w:t>
      </w:r>
    </w:p>
    <w:p w14:paraId="49E17275" w14:textId="77777777" w:rsidR="00C41B65" w:rsidRDefault="00485D22">
      <w:pPr>
        <w:pStyle w:val="Kopija"/>
        <w:spacing w:line="276" w:lineRule="auto"/>
        <w:ind w:right="279"/>
      </w:pPr>
      <w:r>
        <w:tab/>
      </w:r>
      <w:r>
        <w:tab/>
      </w:r>
      <w:r>
        <w:tab/>
        <w:t xml:space="preserve">                           Į 2020-11-04 Nr. S2-3163</w:t>
      </w:r>
    </w:p>
    <w:p w14:paraId="68F0DF5F" w14:textId="77777777" w:rsidR="00C41B65" w:rsidRDefault="00485D22">
      <w:pPr>
        <w:pStyle w:val="Kopija"/>
        <w:spacing w:line="276" w:lineRule="auto"/>
        <w:ind w:right="279"/>
      </w:pPr>
      <w:r>
        <w:tab/>
      </w:r>
      <w:r>
        <w:tab/>
      </w:r>
      <w:r>
        <w:tab/>
      </w:r>
      <w:r>
        <w:tab/>
        <w:t xml:space="preserve">  </w:t>
      </w:r>
    </w:p>
    <w:p w14:paraId="7BB63CCA" w14:textId="77777777" w:rsidR="00C41B65" w:rsidRDefault="00C41B65">
      <w:pPr>
        <w:pStyle w:val="Kopija"/>
        <w:spacing w:line="276" w:lineRule="auto"/>
        <w:ind w:right="279"/>
      </w:pPr>
    </w:p>
    <w:p w14:paraId="19470633" w14:textId="77777777" w:rsidR="00C41B65" w:rsidRDefault="00485D22">
      <w:pPr>
        <w:spacing w:line="276" w:lineRule="auto"/>
        <w:jc w:val="both"/>
        <w:rPr>
          <w:b/>
        </w:rPr>
      </w:pPr>
      <w:r>
        <w:rPr>
          <w:rFonts w:eastAsiaTheme="minorHAnsi"/>
          <w:b/>
          <w:bCs/>
          <w:lang w:val="lt-LT"/>
        </w:rPr>
        <w:t xml:space="preserve">DĖL LIETUVOS RESPUBLIKOS VYRIAUSYBĖS NUTARIMO </w:t>
      </w:r>
      <w:r>
        <w:rPr>
          <w:b/>
          <w:lang w:val="lt-LT"/>
        </w:rPr>
        <w:t xml:space="preserve">„DĖL LIETUVOS RESPUBLIKOS ASOCIACIJŲ ĮSTATYMO NR. IX-1969 1, 9 STRAIPSNIŲ PAKEITIMO IR ĮSTATYMO PAPILDYMO </w:t>
      </w:r>
      <w:r>
        <w:rPr>
          <w:b/>
          <w:color w:val="000000"/>
          <w:lang w:val="lt-LT" w:eastAsia="lt-LT"/>
        </w:rPr>
        <w:t>9</w:t>
      </w:r>
      <w:r>
        <w:rPr>
          <w:b/>
          <w:color w:val="000000"/>
          <w:vertAlign w:val="superscript"/>
          <w:lang w:val="lt-LT" w:eastAsia="lt-LT"/>
        </w:rPr>
        <w:t xml:space="preserve">1 </w:t>
      </w:r>
      <w:r>
        <w:rPr>
          <w:b/>
          <w:lang w:val="lt-LT"/>
        </w:rPr>
        <w:t xml:space="preserve">STRAIPSNIU ĮSTATYMO PROJEKTO NR. XIIIP-4448(6)” </w:t>
      </w:r>
      <w:r>
        <w:rPr>
          <w:rFonts w:eastAsiaTheme="minorHAnsi"/>
          <w:b/>
          <w:bCs/>
          <w:lang w:val="lt-LT"/>
        </w:rPr>
        <w:t>PROJEKTO</w:t>
      </w:r>
    </w:p>
    <w:p w14:paraId="54C58CE5" w14:textId="77777777" w:rsidR="00C41B65" w:rsidRDefault="00C41B65">
      <w:pPr>
        <w:spacing w:line="276" w:lineRule="auto"/>
        <w:ind w:firstLine="720"/>
        <w:jc w:val="both"/>
        <w:rPr>
          <w:lang w:val="lt-LT"/>
        </w:rPr>
      </w:pPr>
    </w:p>
    <w:p w14:paraId="39BB1A23" w14:textId="77777777" w:rsidR="00C41B65" w:rsidRDefault="00485D22">
      <w:pPr>
        <w:spacing w:line="360" w:lineRule="auto"/>
        <w:ind w:firstLine="851"/>
        <w:jc w:val="both"/>
        <w:rPr>
          <w:lang w:val="lt-LT"/>
        </w:rPr>
      </w:pPr>
      <w:r>
        <w:rPr>
          <w:lang w:val="lt-LT"/>
        </w:rPr>
        <w:t xml:space="preserve">Lietuvos Respublikos teisingumo ministerija, pagal kompetenciją išnagrinėjusi </w:t>
      </w:r>
      <w:hyperlink r:id="rId10" w:history="1">
        <w:r>
          <w:rPr>
            <w:rStyle w:val="FollowedHyperlink"/>
            <w:lang w:val="lt-LT"/>
          </w:rPr>
          <w:t xml:space="preserve">Lietuvos Respublikos Vyriausybės nutarimo „Dėl Lietuvos Respublikos asociacijų įstatymo Nr. IX-1969 1, 9 straipsnių pakeitimo ir įstatymo papildymo </w:t>
        </w:r>
        <w:r>
          <w:rPr>
            <w:rStyle w:val="FollowedHyperlink"/>
            <w:lang w:val="lt-LT" w:eastAsia="lt-LT"/>
          </w:rPr>
          <w:t>9</w:t>
        </w:r>
        <w:r>
          <w:rPr>
            <w:rStyle w:val="FollowedHyperlink"/>
            <w:vertAlign w:val="superscript"/>
            <w:lang w:val="lt-LT" w:eastAsia="lt-LT"/>
          </w:rPr>
          <w:t xml:space="preserve">1 </w:t>
        </w:r>
        <w:r>
          <w:rPr>
            <w:rStyle w:val="FollowedHyperlink"/>
            <w:lang w:val="lt-LT"/>
          </w:rPr>
          <w:t>straipsniu įstatymo projekto Nr. XIIIP-4448(6)”  projektą</w:t>
        </w:r>
      </w:hyperlink>
      <w:r>
        <w:rPr>
          <w:lang w:val="lt-LT"/>
        </w:rPr>
        <w:t xml:space="preserve"> (toliau – Nutarimo projektas), teikia išvadą.</w:t>
      </w:r>
    </w:p>
    <w:p w14:paraId="59E68E99" w14:textId="77777777" w:rsidR="00C41B65" w:rsidRDefault="00485D22">
      <w:pPr>
        <w:spacing w:line="360" w:lineRule="auto"/>
        <w:ind w:firstLine="851"/>
        <w:jc w:val="both"/>
        <w:rPr>
          <w:lang w:val="lt-LT"/>
        </w:rPr>
      </w:pPr>
      <w:r>
        <w:rPr>
          <w:lang w:val="lt-LT"/>
        </w:rPr>
        <w:t>Visų pirma, pastebėtina, kad Lietuvos Respublikos Vyriausybės pozicija, vertinant visą derinti pateikto teisės akto turinį, Nutarimo projekte nėra pakankamai aiški ir apibrėžta.</w:t>
      </w:r>
    </w:p>
    <w:p w14:paraId="7CF97445" w14:textId="77777777" w:rsidR="00C41B65" w:rsidRDefault="00485D22">
      <w:pPr>
        <w:pStyle w:val="ListParagraph"/>
        <w:numPr>
          <w:ilvl w:val="0"/>
          <w:numId w:val="1"/>
        </w:numPr>
        <w:tabs>
          <w:tab w:val="left" w:pos="993"/>
          <w:tab w:val="left" w:pos="1134"/>
        </w:tabs>
        <w:spacing w:line="360" w:lineRule="auto"/>
        <w:ind w:left="0" w:firstLine="851"/>
        <w:jc w:val="both"/>
        <w:rPr>
          <w:lang w:val="lt-LT"/>
        </w:rPr>
      </w:pPr>
      <w:r>
        <w:rPr>
          <w:lang w:val="lt-LT"/>
        </w:rPr>
        <w:t xml:space="preserve">Nutarimo projekto </w:t>
      </w:r>
      <w:r>
        <w:rPr>
          <w:rFonts w:eastAsia="Calibri"/>
          <w:lang w:val="lt-LT" w:eastAsia="lt-LT"/>
        </w:rPr>
        <w:t>antrojoje pastraipoje</w:t>
      </w:r>
      <w:r>
        <w:rPr>
          <w:lang w:val="lt-LT"/>
        </w:rPr>
        <w:t xml:space="preserve"> formuluojama Vyriausybės pozicija nepritarti </w:t>
      </w:r>
      <w:hyperlink r:id="rId11" w:history="1">
        <w:r>
          <w:rPr>
            <w:rStyle w:val="Hyperlink"/>
            <w:lang w:val="lt-LT"/>
          </w:rPr>
          <w:t xml:space="preserve">Lietuvos Respublikos asociacijų įstatymo Nr. IX-1969 1, 9 straipsnių pakeitimo ir įstatymo papildymo </w:t>
        </w:r>
        <w:r>
          <w:rPr>
            <w:rStyle w:val="Hyperlink"/>
            <w:lang w:val="lt-LT" w:eastAsia="lt-LT"/>
          </w:rPr>
          <w:t>9</w:t>
        </w:r>
        <w:r>
          <w:rPr>
            <w:rStyle w:val="Hyperlink"/>
            <w:vertAlign w:val="superscript"/>
            <w:lang w:val="lt-LT" w:eastAsia="lt-LT"/>
          </w:rPr>
          <w:t xml:space="preserve">1 </w:t>
        </w:r>
        <w:r>
          <w:rPr>
            <w:rStyle w:val="Hyperlink"/>
            <w:lang w:val="lt-LT"/>
          </w:rPr>
          <w:t>straipsniu įstatymo projektui Nr. XIIIP-4448(6)</w:t>
        </w:r>
      </w:hyperlink>
      <w:r>
        <w:rPr>
          <w:rStyle w:val="FollowedHyperlink"/>
          <w:lang w:val="lt-LT"/>
        </w:rPr>
        <w:t xml:space="preserve"> </w:t>
      </w:r>
      <w:r>
        <w:rPr>
          <w:lang w:val="lt-LT"/>
        </w:rPr>
        <w:t>(toliau – Įstatymo projektas).</w:t>
      </w:r>
      <w:r>
        <w:rPr>
          <w:rFonts w:eastAsia="Calibri"/>
          <w:lang w:val="lt-LT" w:eastAsia="lt-LT"/>
        </w:rPr>
        <w:t xml:space="preserve"> Pažymėtina, kad tokiu atveju turi būti nurodomi </w:t>
      </w:r>
      <w:r>
        <w:rPr>
          <w:color w:val="000000"/>
          <w:shd w:val="clear" w:color="auto" w:fill="FFFFFF"/>
          <w:lang w:val="lt-LT"/>
        </w:rPr>
        <w:t>esminiai Vyriausybės nepritarimo argumentai dėl vertinamo Įstatymo projekto tikslų, jiems įgyvendinti siūlomų teisinio reguliavimo priemonių ir (ar) galimų neigiamų pasekmių, o ne pastebėjimai dėl atskirų Įstatymo projekto nuostatų neaiškumo ar poreikio jas tikslinti.</w:t>
      </w:r>
      <w:r>
        <w:rPr>
          <w:rFonts w:eastAsia="Calibri"/>
          <w:lang w:val="lt-LT" w:eastAsia="lt-LT"/>
        </w:rPr>
        <w:t xml:space="preserve"> Todėl manytina, kad Nutarimo projekte dėstant Vyriausybės poziciją nepritarti Įstatymo projektui, Nutarimo projekto  4</w:t>
      </w:r>
      <w:r>
        <w:rPr>
          <w:rFonts w:eastAsia="Calibri"/>
          <w:lang w:eastAsia="lt-LT"/>
        </w:rPr>
        <w:t>-</w:t>
      </w:r>
      <w:r>
        <w:rPr>
          <w:rFonts w:eastAsia="Calibri"/>
          <w:lang w:val="lt-LT" w:eastAsia="lt-LT"/>
        </w:rPr>
        <w:t xml:space="preserve">8 punktuose siūlomos pastabos dėl atskirų Įstatymo projekto nuostatų tobulinimo yra netikslingos ir  nebeaktualios. </w:t>
      </w:r>
    </w:p>
    <w:p w14:paraId="08EE8277" w14:textId="77777777" w:rsidR="00C41B65" w:rsidRDefault="00485D22">
      <w:pPr>
        <w:spacing w:line="360" w:lineRule="auto"/>
        <w:ind w:firstLine="851"/>
        <w:jc w:val="both"/>
        <w:rPr>
          <w:rFonts w:eastAsia="Calibri"/>
          <w:lang w:val="lt-LT" w:eastAsia="lt-LT"/>
        </w:rPr>
      </w:pPr>
      <w:r>
        <w:rPr>
          <w:rFonts w:eastAsia="Calibri"/>
          <w:lang w:val="lt-LT" w:eastAsia="lt-LT"/>
        </w:rPr>
        <w:lastRenderedPageBreak/>
        <w:t xml:space="preserve">Atitinkamai, siekiant aiškumo ir konkretumo, siūlytina patikslinti ir labiau išplėtoti nepritarimo Įstatymo projektui motyvus, juos susiejant su Įstatymo projekto tikslais ir jiems įgyvendinti siūlomų teisinių priemonių tinkamumu. </w:t>
      </w:r>
    </w:p>
    <w:p w14:paraId="410FCB66" w14:textId="77777777" w:rsidR="00C41B65" w:rsidRDefault="00485D22">
      <w:pPr>
        <w:numPr>
          <w:ilvl w:val="0"/>
          <w:numId w:val="1"/>
        </w:numPr>
        <w:spacing w:line="360" w:lineRule="auto"/>
        <w:ind w:left="0" w:firstLine="851"/>
        <w:jc w:val="both"/>
        <w:rPr>
          <w:color w:val="000000"/>
          <w:lang w:val="lt-LT" w:eastAsia="lt-LT"/>
        </w:rPr>
      </w:pPr>
      <w:r>
        <w:rPr>
          <w:color w:val="000000"/>
          <w:lang w:val="lt-LT" w:eastAsia="lt-LT"/>
        </w:rPr>
        <w:t>Nutarimo projekte teigiama, kad asociacijų finansavimą iš valstybės biudžeto lėšų, kai siekiama finansuoti tam tikras programas, reguliuoja kiti specialieji teisės aktai (Lietuvos kultūros tarybos, Kultūros rėmimo fondo įstatymai ir kt.), su kuriais minėti siūlymai nėra suderinti. Manytina, kad šis argumentas galėtų būti vienas iš nepritarimo argumentų, todėl jis turėtų būti labiau išplėtotas bei pagrįstas. Kita vertus, kartu turėtų būti įvertintina ir tai, kad nurodytas argumentas savarankiškai nebūtų pakankamas (nebent siūlomas reguliavimas laikytinas visiškai pertekliniu) siekiant pagrįsti Vyriausybės poziciją nepritarti Įstatymo projektui ir lygiai taip pat galėtų būti taikomas siūlant Įstatymo projektą tikslinti, kartu keičiant ir kitus įs</w:t>
      </w:r>
      <w:r w:rsidRPr="0051289E">
        <w:rPr>
          <w:color w:val="000000"/>
          <w:lang w:val="lt-LT" w:eastAsia="lt-LT"/>
        </w:rPr>
        <w:t xml:space="preserve">tatymus (tai pat ir tuo atveju, jei būtų perkeliamas visas su asociacijų finansavimu iš valstybės biudžeto lėšų susijęs įstatyminis reglamentavimas į Asociacijų įstatymą). </w:t>
      </w:r>
    </w:p>
    <w:p w14:paraId="15FADC6D" w14:textId="77777777" w:rsidR="00C41B65" w:rsidRDefault="00485D22">
      <w:pPr>
        <w:numPr>
          <w:ilvl w:val="0"/>
          <w:numId w:val="1"/>
        </w:numPr>
        <w:spacing w:line="360" w:lineRule="auto"/>
        <w:ind w:left="0" w:firstLine="851"/>
        <w:jc w:val="both"/>
      </w:pPr>
      <w:r>
        <w:rPr>
          <w:rFonts w:eastAsia="Calibri"/>
          <w:lang w:val="lt-LT" w:eastAsia="lt-LT"/>
        </w:rPr>
        <w:t>Nutarimo projekto 1 punkte nurodytas teiginys „</w:t>
      </w:r>
      <w:r>
        <w:rPr>
          <w:color w:val="000000"/>
          <w:lang w:val="lt-LT" w:eastAsia="lt-LT"/>
        </w:rPr>
        <w:t xml:space="preserve">Nėra aišku kokiu būdu teikiamos nuostatos yra susijusios su asociacijų įstatymo turiniu”, įvertinant tai, kad keičiama ir Asociacijų įstatymo 1 straipsnyje apibrėžiama šio įstatymo paskirtis, laikytinas nepagrįstu: pastebėtina, kad Įstatymo projektu ir yra siekiama praplėsti minėto įstatymo turinį, be kita ko, papildant jį asociacijų finansavimo iš valstybės biudžeto aspektais. Taip pat manytina, kad turėtų būti peržiūrėtas ir Nutarimo projekto 1 punkte siūlomas argumentas „Be to, </w:t>
      </w:r>
      <w:r>
        <w:rPr>
          <w:i/>
          <w:color w:val="000000"/>
          <w:lang w:val="lt-LT" w:eastAsia="lt-LT"/>
        </w:rPr>
        <w:t>toks reguliavimas</w:t>
      </w:r>
      <w:r>
        <w:rPr>
          <w:color w:val="000000"/>
          <w:lang w:val="lt-LT" w:eastAsia="lt-LT"/>
        </w:rPr>
        <w:t xml:space="preserve"> yra tiesiogiai susijęs su asmenų teisių apimties reguliavimu, todėl nei valstybės biudžeto lėšų skyrimo, nei jų gavimo požiūriu, projektu </w:t>
      </w:r>
      <w:r>
        <w:rPr>
          <w:i/>
          <w:color w:val="000000"/>
          <w:lang w:val="lt-LT" w:eastAsia="lt-LT"/>
        </w:rPr>
        <w:t>neteikiamas</w:t>
      </w:r>
      <w:r>
        <w:rPr>
          <w:color w:val="000000"/>
          <w:lang w:val="lt-LT" w:eastAsia="lt-LT"/>
        </w:rPr>
        <w:t xml:space="preserve"> reguliavimas negali būti įtvirtintas poįstatyminiais teisės aktais“, sukonkretinant, apie kokį konkretų reguliavimą yra kalbama (Nutarimo projekte prieš šį teiginį esančiame teiginyje kalbama apie įstatyminį reglamentavimą, o aptariamame – apie kitus teisės aktus, todėl daroma išvada, kad kalbama ne apie tą patį, kad galima būtų nurodyti „toks“), o žodis „neteikiamas“ tikslintinas į „siūlomas“. Pastebėtina kad minėtas teiginys iš esmės paneigia šiuo metu esančią ir taikomą nevalstybinių subjektų finansavimo tvarką bei valstybės biudžeto asignavimų valdytojų teisę organizuoti atitinkamų projektų ir programų finansavimą (taip pat ir administruojant Europos Sąjungos struktūrinius fondus ar įgyvendinant atskiras iš valstybės biudžeto finansuojamas programas).</w:t>
      </w:r>
    </w:p>
    <w:p w14:paraId="53E7094E" w14:textId="77777777" w:rsidR="00C41B65" w:rsidRDefault="00485D22">
      <w:pPr>
        <w:numPr>
          <w:ilvl w:val="0"/>
          <w:numId w:val="1"/>
        </w:numPr>
        <w:tabs>
          <w:tab w:val="left" w:pos="851"/>
        </w:tabs>
        <w:spacing w:line="360" w:lineRule="auto"/>
        <w:ind w:left="0" w:firstLine="851"/>
        <w:jc w:val="both"/>
        <w:rPr>
          <w:lang w:val="lt-LT"/>
        </w:rPr>
      </w:pPr>
      <w:r>
        <w:rPr>
          <w:rFonts w:eastAsia="Calibri"/>
          <w:lang w:val="lt-LT" w:eastAsia="lt-LT"/>
        </w:rPr>
        <w:t>Abejotinas</w:t>
      </w:r>
      <w:r>
        <w:rPr>
          <w:rFonts w:eastAsia="Calibri"/>
          <w:lang w:eastAsia="lt-LT"/>
        </w:rPr>
        <w:t xml:space="preserve"> </w:t>
      </w:r>
      <w:r>
        <w:rPr>
          <w:rFonts w:eastAsia="Calibri"/>
          <w:lang w:val="lt-LT" w:eastAsia="lt-LT"/>
        </w:rPr>
        <w:t>Nutarimo projekto 3 punkte nurodytas argumentas „</w:t>
      </w:r>
      <w:r>
        <w:rPr>
          <w:color w:val="000000"/>
          <w:lang w:val="lt-LT" w:eastAsia="lt-LT"/>
        </w:rPr>
        <w:t xml:space="preserve">Toks pakeitimas prieštarauja asociacijų laisvės principui, kadangi renkant ar skiriant valdymo organus, asociacijos nariai yra laisvi patys pasirinkti, ką rinkti, nes asociacijos yra nepriklausomos, turinčios laisvę priimti sprendimus pačios. Papildomi suvaržymai ir apribojimai gali pakenkti asociacijų laisvei veikti ir vykdyti savo veiklą.” Siūlomu reglamentavimu siekiama įtvirtinti reikalavimus tik tokių </w:t>
      </w:r>
      <w:r>
        <w:rPr>
          <w:color w:val="000000"/>
          <w:lang w:val="lt-LT" w:eastAsia="lt-LT"/>
        </w:rPr>
        <w:lastRenderedPageBreak/>
        <w:t xml:space="preserve">asociacijų valdymo organų nariams ir kitiems atitinkamas pareigas einantiems asmenims, kurios sieks finansavimo iš valstybės biudžeto lėšų, todėl manytina, kad toks siūlymas nepažeistų asociacijų veiklos laisvės principo rinkti ar skirti savo valdymo organus, o tik apribotų asociacijų galimybes gauti valstybės finansavimą, kai jos neatitinka įstatyminių sąlygų. </w:t>
      </w:r>
    </w:p>
    <w:p w14:paraId="615CC8A8" w14:textId="77777777" w:rsidR="00C41B65" w:rsidRDefault="00485D22">
      <w:pPr>
        <w:numPr>
          <w:ilvl w:val="0"/>
          <w:numId w:val="1"/>
        </w:numPr>
        <w:tabs>
          <w:tab w:val="left" w:pos="851"/>
        </w:tabs>
        <w:spacing w:line="360" w:lineRule="auto"/>
        <w:ind w:left="0" w:firstLine="851"/>
        <w:jc w:val="both"/>
        <w:rPr>
          <w:rStyle w:val="CommentReference"/>
          <w:sz w:val="24"/>
          <w:szCs w:val="24"/>
          <w:lang w:val="lt-LT"/>
        </w:rPr>
      </w:pPr>
      <w:r>
        <w:rPr>
          <w:rFonts w:eastAsia="Calibri"/>
          <w:lang w:val="lt-LT" w:eastAsia="lt-LT"/>
        </w:rPr>
        <w:t xml:space="preserve">Tuo atveju jeigu, Nutarimo projekto rengėjų nuomone, iš esmės pritartina vertinamo Įstatymo projekto tikslams, tačiau siūlomos teisinio reguliavimo priemonės yra tobulintinos, Vyriausybės pozicija turėtų būti formuluojama taip – iš esmės pritarti Įstatymo projektui ir pateikti pastabas bei pasiūlymus dėl šiame projekte siūlomo teisinio reguliavimo priemonių tobulinimo. </w:t>
      </w:r>
    </w:p>
    <w:p w14:paraId="3F8AAE45" w14:textId="77777777" w:rsidR="00C41B65" w:rsidRDefault="00485D22">
      <w:pPr>
        <w:numPr>
          <w:ilvl w:val="0"/>
          <w:numId w:val="1"/>
        </w:numPr>
        <w:tabs>
          <w:tab w:val="left" w:pos="851"/>
        </w:tabs>
        <w:spacing w:line="360" w:lineRule="auto"/>
        <w:ind w:left="0" w:firstLine="851"/>
        <w:jc w:val="both"/>
        <w:rPr>
          <w:rStyle w:val="CommentReference"/>
          <w:sz w:val="24"/>
          <w:szCs w:val="24"/>
        </w:rPr>
      </w:pPr>
      <w:r>
        <w:rPr>
          <w:rStyle w:val="CommentReference"/>
          <w:sz w:val="24"/>
          <w:szCs w:val="24"/>
          <w:lang w:val="lt-LT"/>
        </w:rPr>
        <w:t>Nepriklausomai nuo Vyriausybės formuluojamos pozicijos, turėtų būti įvertinamas ir Įstatymo projekto įgyvendinimo finansavimo aspektas, įvertinant valstybės biudžeto galimybes tam skirti lėšų. Pastebėtina, kad šis aspektas Įstatymo projekto aiškinamajame rašte neįvertintas, nepagrįstai teigiant, kad Įstatymo projekto įgyvendinimas papildomų valstybės biudžeto lėšų nepareikalaus, nors Įstatymo projektas tiesiogiai susijęs su valstybės biudžeto lėšų skyrimu asociacijoms, o tokio reguliavimo priėmimas galėtų sukelti pagrįstą asociacijų lūkestį į numatyto finansavimo vykdymą.</w:t>
      </w:r>
    </w:p>
    <w:p w14:paraId="464C73B8" w14:textId="28F33325" w:rsidR="00C41B65" w:rsidRDefault="00485D22">
      <w:pPr>
        <w:tabs>
          <w:tab w:val="left" w:pos="851"/>
        </w:tabs>
        <w:spacing w:line="360" w:lineRule="auto"/>
        <w:jc w:val="both"/>
        <w:rPr>
          <w:rStyle w:val="CommentReference"/>
          <w:sz w:val="24"/>
          <w:szCs w:val="24"/>
          <w:lang w:val="lt-LT" w:eastAsia="lt-LT"/>
        </w:rPr>
      </w:pPr>
      <w:r>
        <w:rPr>
          <w:rStyle w:val="CommentReference"/>
          <w:lang w:val="lt-LT" w:eastAsia="lt-LT"/>
        </w:rPr>
        <w:tab/>
      </w:r>
      <w:r>
        <w:rPr>
          <w:rStyle w:val="CommentReference"/>
          <w:sz w:val="24"/>
          <w:szCs w:val="24"/>
          <w:lang w:val="lt-LT" w:eastAsia="lt-LT"/>
        </w:rPr>
        <w:t xml:space="preserve">Papildomai pastebėtina, kad galiojantis finansavimo iš valstybės biudžeto lėšų skirtingų teisinių formų juridinių asmenų programoms ir (ar) projektams reguliavimas yra fragmentiškas. Manytina, kad valstybės biudžeto lėšų skyrimas yra aktualus ne tik </w:t>
      </w:r>
      <w:r>
        <w:rPr>
          <w:color w:val="201F1E"/>
          <w:shd w:val="clear" w:color="auto" w:fill="FFFFFF"/>
          <w:lang w:val="lt-LT"/>
        </w:rPr>
        <w:t xml:space="preserve">asociacijoms, bet ir kitų formų juridiniams asmenims, todėl reglamentavus tik asociacijoms iš valstybės biudžeto teikiamo finansavimo aspektus, liktų nesureguliuoti </w:t>
      </w:r>
      <w:r w:rsidR="00643F91">
        <w:rPr>
          <w:color w:val="201F1E"/>
          <w:shd w:val="clear" w:color="auto" w:fill="FFFFFF"/>
          <w:lang w:val="lt-LT"/>
        </w:rPr>
        <w:t xml:space="preserve">reikalavimai </w:t>
      </w:r>
      <w:r>
        <w:rPr>
          <w:color w:val="201F1E"/>
          <w:shd w:val="clear" w:color="auto" w:fill="FFFFFF"/>
          <w:lang w:val="lt-LT"/>
        </w:rPr>
        <w:t>kitų teisinių formų juridinių asmenų</w:t>
      </w:r>
      <w:r w:rsidR="00643F91">
        <w:rPr>
          <w:color w:val="201F1E"/>
          <w:shd w:val="clear" w:color="auto" w:fill="FFFFFF"/>
          <w:lang w:val="lt-LT"/>
        </w:rPr>
        <w:t>, taip pat</w:t>
      </w:r>
      <w:r>
        <w:rPr>
          <w:color w:val="201F1E"/>
          <w:shd w:val="clear" w:color="auto" w:fill="FFFFFF"/>
          <w:lang w:val="lt-LT"/>
        </w:rPr>
        <w:t xml:space="preserve"> finans</w:t>
      </w:r>
      <w:r w:rsidR="00643F91">
        <w:rPr>
          <w:color w:val="201F1E"/>
          <w:shd w:val="clear" w:color="auto" w:fill="FFFFFF"/>
          <w:lang w:val="lt-LT"/>
        </w:rPr>
        <w:t xml:space="preserve">uojamų </w:t>
      </w:r>
      <w:r>
        <w:rPr>
          <w:color w:val="201F1E"/>
          <w:shd w:val="clear" w:color="auto" w:fill="FFFFFF"/>
          <w:lang w:val="lt-LT"/>
        </w:rPr>
        <w:t xml:space="preserve"> iš valstybės biudžeto lėšų</w:t>
      </w:r>
      <w:r w:rsidR="00643F91">
        <w:rPr>
          <w:color w:val="201F1E"/>
          <w:shd w:val="clear" w:color="auto" w:fill="FFFFFF"/>
          <w:lang w:val="lt-LT"/>
        </w:rPr>
        <w:t xml:space="preserve">, </w:t>
      </w:r>
      <w:r>
        <w:rPr>
          <w:color w:val="201F1E"/>
          <w:shd w:val="clear" w:color="auto" w:fill="FFFFFF"/>
          <w:lang w:val="lt-LT"/>
        </w:rPr>
        <w:t xml:space="preserve"> </w:t>
      </w:r>
      <w:r w:rsidR="00643F91">
        <w:rPr>
          <w:color w:val="201F1E"/>
          <w:shd w:val="clear" w:color="auto" w:fill="FFFFFF"/>
          <w:lang w:val="lt-LT"/>
        </w:rPr>
        <w:t>vadovų, projektų vadovų</w:t>
      </w:r>
      <w:r w:rsidR="00643F91" w:rsidRPr="00643F91">
        <w:rPr>
          <w:color w:val="201F1E"/>
          <w:shd w:val="clear" w:color="auto" w:fill="FFFFFF"/>
          <w:lang w:val="lt-LT"/>
        </w:rPr>
        <w:t xml:space="preserve">, </w:t>
      </w:r>
      <w:r w:rsidR="00643F91">
        <w:rPr>
          <w:color w:val="201F1E"/>
          <w:shd w:val="clear" w:color="auto" w:fill="FFFFFF"/>
          <w:lang w:val="lt-LT"/>
        </w:rPr>
        <w:t>kolegialių valdymo organų narių reputacijai, informacijos</w:t>
      </w:r>
      <w:r w:rsidR="00643F91" w:rsidRPr="00643F91">
        <w:rPr>
          <w:color w:val="201F1E"/>
          <w:shd w:val="clear" w:color="auto" w:fill="FFFFFF"/>
          <w:lang w:val="lt-LT"/>
        </w:rPr>
        <w:t xml:space="preserve"> apie įgyvendinamus ir įgyvendintus projektus </w:t>
      </w:r>
      <w:r w:rsidR="00643F91">
        <w:rPr>
          <w:color w:val="201F1E"/>
          <w:shd w:val="clear" w:color="auto" w:fill="FFFFFF"/>
          <w:lang w:val="lt-LT"/>
        </w:rPr>
        <w:t xml:space="preserve">viešinimo reikalavimai, nenurodyti </w:t>
      </w:r>
      <w:r>
        <w:rPr>
          <w:color w:val="201F1E"/>
          <w:shd w:val="clear" w:color="auto" w:fill="FFFFFF"/>
          <w:lang w:val="lt-LT"/>
        </w:rPr>
        <w:t>atvejai</w:t>
      </w:r>
      <w:r w:rsidR="00643F91">
        <w:rPr>
          <w:color w:val="201F1E"/>
          <w:shd w:val="clear" w:color="auto" w:fill="FFFFFF"/>
          <w:lang w:val="lt-LT"/>
        </w:rPr>
        <w:t>, kada valstybės finansavimas apskritai negali būti skirtas, o jau paskirtas – nutrauktas</w:t>
      </w:r>
      <w:r>
        <w:rPr>
          <w:color w:val="201F1E"/>
          <w:shd w:val="clear" w:color="auto" w:fill="FFFFFF"/>
          <w:lang w:val="lt-LT"/>
        </w:rPr>
        <w:t>. Atsižvelgiant į tai, Teisingumo ministerija būtų už kompleksišką finansavimo iš valstybės biudžeto skyrimo klausimo reglamentavimą.</w:t>
      </w:r>
    </w:p>
    <w:p w14:paraId="7E002DD6" w14:textId="77777777" w:rsidR="00C41B65" w:rsidRDefault="00C41B65">
      <w:pPr>
        <w:tabs>
          <w:tab w:val="right" w:pos="9638"/>
        </w:tabs>
        <w:spacing w:line="276" w:lineRule="auto"/>
        <w:rPr>
          <w:lang w:val="lt-LT"/>
        </w:rPr>
      </w:pPr>
    </w:p>
    <w:p w14:paraId="67EB5C55" w14:textId="77777777" w:rsidR="00C41B65" w:rsidRDefault="00485D22">
      <w:pPr>
        <w:tabs>
          <w:tab w:val="right" w:pos="9638"/>
        </w:tabs>
        <w:spacing w:line="276" w:lineRule="auto"/>
        <w:rPr>
          <w:lang w:val="lt-LT"/>
        </w:rPr>
      </w:pPr>
      <w:r>
        <w:rPr>
          <w:lang w:val="lt-LT"/>
        </w:rPr>
        <w:t xml:space="preserve">Teisingumo ministras                                                                                              Elvinas Jankevičius </w:t>
      </w:r>
    </w:p>
    <w:p w14:paraId="4B4210CE" w14:textId="77777777" w:rsidR="00C41B65" w:rsidRDefault="00C41B65">
      <w:pPr>
        <w:spacing w:line="276" w:lineRule="auto"/>
        <w:rPr>
          <w:sz w:val="20"/>
          <w:lang w:val="lt-LT"/>
        </w:rPr>
      </w:pPr>
    </w:p>
    <w:p w14:paraId="408B8634" w14:textId="77777777" w:rsidR="00C41B65" w:rsidRDefault="00C41B65">
      <w:pPr>
        <w:spacing w:after="0" w:line="240" w:lineRule="auto"/>
        <w:rPr>
          <w:sz w:val="20"/>
          <w:lang w:val="lt-LT"/>
        </w:rPr>
      </w:pPr>
    </w:p>
    <w:p w14:paraId="43A84ACA" w14:textId="77777777" w:rsidR="00C41B65" w:rsidRDefault="00C41B65">
      <w:pPr>
        <w:spacing w:after="0" w:line="240" w:lineRule="auto"/>
        <w:rPr>
          <w:sz w:val="20"/>
          <w:lang w:val="lt-LT"/>
        </w:rPr>
      </w:pPr>
    </w:p>
    <w:p w14:paraId="2A49EF51" w14:textId="77777777" w:rsidR="00C41B65" w:rsidRDefault="00C41B65">
      <w:pPr>
        <w:spacing w:after="0" w:line="240" w:lineRule="auto"/>
        <w:rPr>
          <w:sz w:val="20"/>
          <w:lang w:val="lt-LT"/>
        </w:rPr>
      </w:pPr>
    </w:p>
    <w:p w14:paraId="716EB849" w14:textId="77777777" w:rsidR="00C41B65" w:rsidRDefault="00C41B65">
      <w:pPr>
        <w:spacing w:after="0" w:line="240" w:lineRule="auto"/>
        <w:rPr>
          <w:sz w:val="20"/>
          <w:lang w:val="lt-LT"/>
        </w:rPr>
      </w:pPr>
    </w:p>
    <w:p w14:paraId="3FA0BBC2" w14:textId="77777777" w:rsidR="00C41B65" w:rsidRDefault="00C41B65">
      <w:pPr>
        <w:spacing w:after="0" w:line="240" w:lineRule="auto"/>
        <w:rPr>
          <w:sz w:val="20"/>
          <w:lang w:val="lt-LT"/>
        </w:rPr>
      </w:pPr>
    </w:p>
    <w:p w14:paraId="144FE968" w14:textId="77777777" w:rsidR="00C41B65" w:rsidRDefault="00485D22">
      <w:pPr>
        <w:tabs>
          <w:tab w:val="decimal" w:pos="9638"/>
        </w:tabs>
        <w:spacing w:after="0" w:line="240" w:lineRule="auto"/>
        <w:rPr>
          <w:rStyle w:val="Internetosaitas"/>
          <w:color w:val="auto"/>
          <w:sz w:val="20"/>
          <w:szCs w:val="20"/>
          <w:u w:val="none"/>
        </w:rPr>
      </w:pPr>
      <w:r>
        <w:rPr>
          <w:sz w:val="20"/>
          <w:szCs w:val="20"/>
        </w:rPr>
        <w:t xml:space="preserve">Eglė Betingienė, (8 5) 266 2882, el. p. </w:t>
      </w:r>
      <w:hyperlink r:id="rId12">
        <w:r>
          <w:rPr>
            <w:rStyle w:val="Internetosaitas"/>
            <w:color w:val="auto"/>
            <w:sz w:val="20"/>
            <w:szCs w:val="20"/>
            <w:u w:val="none"/>
          </w:rPr>
          <w:t>egle.betingiene@tm.lt</w:t>
        </w:r>
      </w:hyperlink>
      <w:r>
        <w:rPr>
          <w:rStyle w:val="Internetosaitas"/>
          <w:color w:val="auto"/>
          <w:sz w:val="20"/>
          <w:szCs w:val="20"/>
          <w:u w:val="none"/>
        </w:rPr>
        <w:t xml:space="preserve"> </w:t>
      </w:r>
    </w:p>
    <w:p w14:paraId="58B9EBC8" w14:textId="77777777" w:rsidR="00C41B65" w:rsidRDefault="00485D22">
      <w:pPr>
        <w:spacing w:after="0" w:line="240" w:lineRule="auto"/>
        <w:jc w:val="both"/>
        <w:rPr>
          <w:rFonts w:ascii="Tahoma" w:hAnsi="Tahoma" w:cs="Tahoma"/>
          <w:sz w:val="17"/>
          <w:szCs w:val="17"/>
        </w:rPr>
      </w:pPr>
      <w:r>
        <w:rPr>
          <w:sz w:val="20"/>
          <w:szCs w:val="20"/>
          <w:lang w:val="lt-LT"/>
        </w:rPr>
        <w:t>Jolita Šlikienė, tel. (</w:t>
      </w:r>
      <w:r>
        <w:rPr>
          <w:sz w:val="20"/>
          <w:szCs w:val="20"/>
        </w:rPr>
        <w:t>8 5</w:t>
      </w:r>
      <w:r>
        <w:rPr>
          <w:sz w:val="20"/>
          <w:szCs w:val="20"/>
          <w:lang w:val="lt-LT"/>
        </w:rPr>
        <w:t xml:space="preserve">) 266 2918, el. p. </w:t>
      </w:r>
      <w:r>
        <w:rPr>
          <w:sz w:val="20"/>
          <w:szCs w:val="20"/>
        </w:rPr>
        <w:t>jolita.slikiene@tm.lt</w:t>
      </w:r>
      <w:r>
        <w:rPr>
          <w:rFonts w:ascii="Tahoma" w:hAnsi="Tahoma" w:cs="Tahoma"/>
          <w:sz w:val="17"/>
          <w:szCs w:val="17"/>
        </w:rPr>
        <w:t xml:space="preserve"> </w:t>
      </w:r>
    </w:p>
    <w:p w14:paraId="6F974FEA" w14:textId="77777777" w:rsidR="00C41B65" w:rsidRDefault="00485D22">
      <w:pPr>
        <w:tabs>
          <w:tab w:val="decimal" w:pos="9638"/>
        </w:tabs>
      </w:pPr>
      <w:r>
        <w:rPr>
          <w:color w:val="000000" w:themeColor="text1"/>
          <w:sz w:val="20"/>
          <w:lang w:val="lt-LT"/>
        </w:rPr>
        <w:tab/>
        <w:t xml:space="preserve">   </w:t>
      </w:r>
    </w:p>
    <w:sectPr w:rsidR="00C41B65">
      <w:headerReference w:type="default" r:id="rId13"/>
      <w:footerReference w:type="default" r:id="rId14"/>
      <w:headerReference w:type="first" r:id="rId15"/>
      <w:footerReference w:type="first" r:id="rId16"/>
      <w:pgSz w:w="11906" w:h="16838"/>
      <w:pgMar w:top="1134" w:right="567" w:bottom="567" w:left="1701" w:header="567" w:footer="391"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F51D8" w14:textId="77777777" w:rsidR="00C52CDB" w:rsidRDefault="00C52CDB">
      <w:pPr>
        <w:spacing w:after="0" w:line="240" w:lineRule="auto"/>
      </w:pPr>
      <w:r>
        <w:separator/>
      </w:r>
    </w:p>
  </w:endnote>
  <w:endnote w:type="continuationSeparator" w:id="0">
    <w:p w14:paraId="60DD4056" w14:textId="77777777" w:rsidR="00C52CDB" w:rsidRDefault="00C5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C2C9F" w14:textId="77777777" w:rsidR="00C41B65" w:rsidRDefault="00C41B6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FA66D" w14:textId="77777777" w:rsidR="00C41B65" w:rsidRDefault="00485D22">
    <w:pPr>
      <w:pStyle w:val="Footer"/>
      <w:jc w:val="right"/>
    </w:pPr>
    <w:r>
      <w:rPr>
        <w:noProof/>
        <w:lang w:val="lt-LT" w:eastAsia="lt-LT"/>
      </w:rPr>
      <w:drawing>
        <wp:inline distT="0" distB="0" distL="0" distR="0" wp14:anchorId="576036D4" wp14:editId="212445EC">
          <wp:extent cx="1085215" cy="817245"/>
          <wp:effectExtent l="0" t="0" r="0" b="0"/>
          <wp:docPr id="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2"/>
                  <pic:cNvPicPr>
                    <a:picLocks noChangeAspect="1" noChangeArrowheads="1"/>
                  </pic:cNvPicPr>
                </pic:nvPicPr>
                <pic:blipFill>
                  <a:blip r:embed="rId1"/>
                  <a:stretch>
                    <a:fillRect/>
                  </a:stretch>
                </pic:blipFill>
                <pic:spPr>
                  <a:xfrm>
                    <a:off x="0" y="0"/>
                    <a:ext cx="1085215" cy="817245"/>
                  </a:xfrm>
                  <a:prstGeom prst="rect">
                    <a:avLst/>
                  </a:prstGeom>
                </pic:spPr>
              </pic:pic>
            </a:graphicData>
          </a:graphic>
        </wp:inline>
      </w:drawing>
    </w:r>
  </w:p>
  <w:p w14:paraId="13705D4C" w14:textId="77777777" w:rsidR="00C41B65" w:rsidRDefault="00C41B6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83C78" w14:textId="77777777" w:rsidR="00C52CDB" w:rsidRDefault="00C52CDB">
      <w:pPr>
        <w:spacing w:after="0" w:line="240" w:lineRule="auto"/>
      </w:pPr>
      <w:r>
        <w:separator/>
      </w:r>
    </w:p>
  </w:footnote>
  <w:footnote w:type="continuationSeparator" w:id="0">
    <w:p w14:paraId="6E671F8D" w14:textId="77777777" w:rsidR="00C52CDB" w:rsidRDefault="00C52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552086"/>
    </w:sdtPr>
    <w:sdtEndPr/>
    <w:sdtContent>
      <w:p w14:paraId="7442FF11" w14:textId="77777777" w:rsidR="00C41B65" w:rsidRDefault="00485D22">
        <w:pPr>
          <w:pStyle w:val="Header"/>
          <w:jc w:val="center"/>
        </w:pPr>
        <w:r>
          <w:fldChar w:fldCharType="begin"/>
        </w:r>
        <w:r>
          <w:instrText>PAGE</w:instrText>
        </w:r>
        <w:r>
          <w:fldChar w:fldCharType="separate"/>
        </w:r>
        <w:r w:rsidR="001F7266">
          <w:rPr>
            <w:noProof/>
          </w:rPr>
          <w:t>3</w:t>
        </w:r>
        <w:r>
          <w:fldChar w:fldCharType="end"/>
        </w:r>
      </w:p>
    </w:sdtContent>
  </w:sdt>
  <w:p w14:paraId="49402CD5" w14:textId="77777777" w:rsidR="00C41B65" w:rsidRDefault="00C41B65">
    <w:pPr>
      <w:pStyle w:val="Header"/>
      <w:tabs>
        <w:tab w:val="clear" w:pos="4153"/>
        <w:tab w:val="clear" w:pos="830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AB98D" w14:textId="77777777" w:rsidR="00C41B65" w:rsidRDefault="00485D22">
    <w:pPr>
      <w:tabs>
        <w:tab w:val="right" w:pos="8306"/>
      </w:tabs>
      <w:spacing w:after="0" w:line="240" w:lineRule="auto"/>
      <w:jc w:val="center"/>
      <w:rPr>
        <w:sz w:val="20"/>
        <w:lang w:val="lt-LT"/>
      </w:rPr>
    </w:pPr>
    <w:r>
      <w:rPr>
        <w:noProof/>
        <w:lang w:val="lt-LT" w:eastAsia="lt-LT"/>
      </w:rPr>
      <w:drawing>
        <wp:inline distT="0" distB="0" distL="0" distR="0" wp14:anchorId="35CCC7CD" wp14:editId="0C19DDD7">
          <wp:extent cx="563880" cy="556260"/>
          <wp:effectExtent l="0" t="0" r="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a:picLocks noChangeAspect="1" noChangeArrowheads="1"/>
                  </pic:cNvPicPr>
                </pic:nvPicPr>
                <pic:blipFill>
                  <a:blip r:embed="rId1"/>
                  <a:stretch>
                    <a:fillRect/>
                  </a:stretch>
                </pic:blipFill>
                <pic:spPr>
                  <a:xfrm>
                    <a:off x="0" y="0"/>
                    <a:ext cx="563880" cy="556260"/>
                  </a:xfrm>
                  <a:prstGeom prst="rect">
                    <a:avLst/>
                  </a:prstGeom>
                </pic:spPr>
              </pic:pic>
            </a:graphicData>
          </a:graphic>
        </wp:inline>
      </w:drawing>
    </w:r>
  </w:p>
  <w:p w14:paraId="0E8D025C" w14:textId="77777777" w:rsidR="00C41B65" w:rsidRDefault="00C41B65">
    <w:pPr>
      <w:tabs>
        <w:tab w:val="right" w:pos="8306"/>
      </w:tabs>
      <w:spacing w:after="0" w:line="240" w:lineRule="auto"/>
      <w:jc w:val="center"/>
      <w:rPr>
        <w:sz w:val="16"/>
        <w:lang w:val="lt-LT"/>
      </w:rPr>
    </w:pPr>
  </w:p>
  <w:p w14:paraId="52A041E0" w14:textId="77777777" w:rsidR="00C41B65" w:rsidRDefault="00485D22">
    <w:pPr>
      <w:spacing w:after="0" w:line="240" w:lineRule="auto"/>
      <w:jc w:val="center"/>
      <w:rPr>
        <w:b/>
        <w:bCs/>
        <w:sz w:val="26"/>
        <w:lang w:val="lt-LT"/>
      </w:rPr>
    </w:pPr>
    <w:r>
      <w:rPr>
        <w:b/>
        <w:bCs/>
        <w:sz w:val="26"/>
        <w:lang w:val="lt-LT"/>
      </w:rPr>
      <w:t>LIETUVOS RESPUBLIKOS TEISINGUMO MINISTERIJA</w:t>
    </w:r>
  </w:p>
  <w:p w14:paraId="690C0447" w14:textId="77777777" w:rsidR="00C41B65" w:rsidRDefault="00C41B65">
    <w:pPr>
      <w:spacing w:after="0" w:line="240" w:lineRule="auto"/>
      <w:jc w:val="center"/>
      <w:rPr>
        <w:b/>
        <w:bCs/>
        <w:sz w:val="26"/>
        <w:lang w:val="lt-LT"/>
      </w:rPr>
    </w:pPr>
  </w:p>
  <w:p w14:paraId="0D0D0E7C" w14:textId="77777777" w:rsidR="00C41B65" w:rsidRDefault="00485D22">
    <w:pPr>
      <w:pBdr>
        <w:bottom w:val="single" w:sz="4" w:space="1" w:color="000000"/>
      </w:pBdr>
      <w:spacing w:after="0" w:line="240" w:lineRule="auto"/>
      <w:jc w:val="center"/>
      <w:rPr>
        <w:sz w:val="20"/>
        <w:lang w:val="lt-LT"/>
      </w:rPr>
    </w:pPr>
    <w:r>
      <w:rPr>
        <w:sz w:val="20"/>
        <w:lang w:val="lt-LT"/>
      </w:rPr>
      <w:t xml:space="preserve">Biudžetinė įstaiga, Gedimino pr. 30, LT-01104 Vilnius, </w:t>
    </w:r>
  </w:p>
  <w:p w14:paraId="48F153BC" w14:textId="77777777" w:rsidR="00C41B65" w:rsidRDefault="00485D22">
    <w:pPr>
      <w:pBdr>
        <w:bottom w:val="single" w:sz="4" w:space="1" w:color="000000"/>
      </w:pBdr>
      <w:spacing w:after="0" w:line="240" w:lineRule="auto"/>
      <w:jc w:val="center"/>
      <w:rPr>
        <w:sz w:val="20"/>
        <w:lang w:val="lt-LT"/>
      </w:rPr>
    </w:pPr>
    <w:r>
      <w:rPr>
        <w:sz w:val="20"/>
        <w:lang w:val="lt-LT"/>
      </w:rPr>
      <w:t>tel. (8 5) 266 2984, faks. (8 5) 262 5940, el. p. rastine@tm.lt,</w:t>
    </w:r>
  </w:p>
  <w:p w14:paraId="6D261EF9" w14:textId="77777777" w:rsidR="00C41B65" w:rsidRDefault="00485D22">
    <w:pPr>
      <w:pBdr>
        <w:bottom w:val="single" w:sz="4" w:space="1" w:color="000000"/>
      </w:pBdr>
      <w:spacing w:after="0" w:line="240" w:lineRule="auto"/>
      <w:jc w:val="center"/>
      <w:rPr>
        <w:sz w:val="20"/>
        <w:szCs w:val="20"/>
        <w:lang w:val="lt-LT"/>
      </w:rPr>
    </w:pPr>
    <w:r>
      <w:rPr>
        <w:sz w:val="20"/>
        <w:lang w:val="lt-LT"/>
      </w:rPr>
      <w:t xml:space="preserve">atsisk. sąskaita </w:t>
    </w:r>
    <w:r>
      <w:rPr>
        <w:sz w:val="20"/>
        <w:szCs w:val="20"/>
        <w:lang w:val="lt-LT" w:eastAsia="ar-SA"/>
      </w:rPr>
      <w:t>LT5740100510 04670211</w:t>
    </w:r>
    <w:r>
      <w:rPr>
        <w:sz w:val="20"/>
        <w:lang w:val="lt-LT"/>
      </w:rPr>
      <w:t xml:space="preserve"> </w:t>
    </w:r>
    <w:r>
      <w:rPr>
        <w:color w:val="333333"/>
        <w:sz w:val="20"/>
        <w:szCs w:val="20"/>
        <w:lang w:val="lt-LT" w:eastAsia="ar-SA"/>
      </w:rPr>
      <w:t>Luminor Bank AS</w:t>
    </w:r>
    <w:r>
      <w:rPr>
        <w:sz w:val="20"/>
        <w:szCs w:val="20"/>
        <w:lang w:val="lt-LT"/>
      </w:rPr>
      <w:t xml:space="preserve">, banko kodas </w:t>
    </w:r>
    <w:r>
      <w:rPr>
        <w:color w:val="333333"/>
        <w:sz w:val="20"/>
        <w:szCs w:val="20"/>
        <w:lang w:val="lt-LT" w:eastAsia="ar-SA"/>
      </w:rPr>
      <w:t>40100</w:t>
    </w:r>
    <w:r>
      <w:rPr>
        <w:sz w:val="20"/>
        <w:szCs w:val="20"/>
        <w:lang w:val="lt-LT"/>
      </w:rPr>
      <w:t>.</w:t>
    </w:r>
  </w:p>
  <w:p w14:paraId="6A7F21D4" w14:textId="77777777" w:rsidR="00C41B65" w:rsidRDefault="00485D22">
    <w:pPr>
      <w:pBdr>
        <w:bottom w:val="single" w:sz="4" w:space="1" w:color="000000"/>
      </w:pBdr>
      <w:spacing w:after="0" w:line="240" w:lineRule="auto"/>
      <w:jc w:val="center"/>
      <w:rPr>
        <w:sz w:val="20"/>
        <w:lang w:val="lt-LT"/>
      </w:rPr>
    </w:pPr>
    <w:r>
      <w:rPr>
        <w:sz w:val="20"/>
        <w:lang w:val="lt-LT"/>
      </w:rPr>
      <w:t>Duomenys kaupiami ir saugomi Juridinių asmenų registre, kodas 188604955</w:t>
    </w:r>
  </w:p>
  <w:p w14:paraId="2A41A718" w14:textId="77777777" w:rsidR="00C41B65" w:rsidRDefault="00C41B65">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A745C"/>
    <w:multiLevelType w:val="multilevel"/>
    <w:tmpl w:val="395A745C"/>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85"/>
    <w:rsid w:val="00024B3D"/>
    <w:rsid w:val="000B4DF5"/>
    <w:rsid w:val="000C4E72"/>
    <w:rsid w:val="000F58EC"/>
    <w:rsid w:val="00103336"/>
    <w:rsid w:val="00132F76"/>
    <w:rsid w:val="00147763"/>
    <w:rsid w:val="0015309E"/>
    <w:rsid w:val="001812E4"/>
    <w:rsid w:val="001817D2"/>
    <w:rsid w:val="001A36DD"/>
    <w:rsid w:val="001A3807"/>
    <w:rsid w:val="001F7266"/>
    <w:rsid w:val="002016EB"/>
    <w:rsid w:val="00230347"/>
    <w:rsid w:val="00254FCC"/>
    <w:rsid w:val="00300CF8"/>
    <w:rsid w:val="00315BAC"/>
    <w:rsid w:val="00357AEE"/>
    <w:rsid w:val="00381A82"/>
    <w:rsid w:val="003A5D33"/>
    <w:rsid w:val="003B3775"/>
    <w:rsid w:val="003F0E65"/>
    <w:rsid w:val="00411EEE"/>
    <w:rsid w:val="00466088"/>
    <w:rsid w:val="00474A4C"/>
    <w:rsid w:val="00476398"/>
    <w:rsid w:val="00485D22"/>
    <w:rsid w:val="004B2A6C"/>
    <w:rsid w:val="004C1B47"/>
    <w:rsid w:val="004E3FFA"/>
    <w:rsid w:val="00511AF9"/>
    <w:rsid w:val="0051289E"/>
    <w:rsid w:val="00525690"/>
    <w:rsid w:val="005600A2"/>
    <w:rsid w:val="00563C36"/>
    <w:rsid w:val="0056720D"/>
    <w:rsid w:val="005C3D78"/>
    <w:rsid w:val="005E11BD"/>
    <w:rsid w:val="005E7756"/>
    <w:rsid w:val="00643F91"/>
    <w:rsid w:val="00693DE6"/>
    <w:rsid w:val="006F0C0C"/>
    <w:rsid w:val="0074228F"/>
    <w:rsid w:val="00872093"/>
    <w:rsid w:val="009060FD"/>
    <w:rsid w:val="009128B1"/>
    <w:rsid w:val="00931A81"/>
    <w:rsid w:val="009501BB"/>
    <w:rsid w:val="00951550"/>
    <w:rsid w:val="00957BB2"/>
    <w:rsid w:val="009630C2"/>
    <w:rsid w:val="0098223D"/>
    <w:rsid w:val="0098286B"/>
    <w:rsid w:val="00995DE1"/>
    <w:rsid w:val="009A1626"/>
    <w:rsid w:val="009B72FB"/>
    <w:rsid w:val="009B787E"/>
    <w:rsid w:val="009C19F0"/>
    <w:rsid w:val="009C1FCC"/>
    <w:rsid w:val="009F2272"/>
    <w:rsid w:val="009F562B"/>
    <w:rsid w:val="00A41A61"/>
    <w:rsid w:val="00A45CF6"/>
    <w:rsid w:val="00A6581F"/>
    <w:rsid w:val="00A7370E"/>
    <w:rsid w:val="00AB5730"/>
    <w:rsid w:val="00AC1296"/>
    <w:rsid w:val="00AF0D30"/>
    <w:rsid w:val="00B13128"/>
    <w:rsid w:val="00B20628"/>
    <w:rsid w:val="00B3304E"/>
    <w:rsid w:val="00B54D18"/>
    <w:rsid w:val="00B85E13"/>
    <w:rsid w:val="00C04E1D"/>
    <w:rsid w:val="00C11402"/>
    <w:rsid w:val="00C41B65"/>
    <w:rsid w:val="00C504AC"/>
    <w:rsid w:val="00C52CDB"/>
    <w:rsid w:val="00C72B6C"/>
    <w:rsid w:val="00CC0A05"/>
    <w:rsid w:val="00CF420C"/>
    <w:rsid w:val="00D20DD0"/>
    <w:rsid w:val="00DC1313"/>
    <w:rsid w:val="00DF4242"/>
    <w:rsid w:val="00E466B5"/>
    <w:rsid w:val="00EB0229"/>
    <w:rsid w:val="00EE1185"/>
    <w:rsid w:val="00F45326"/>
    <w:rsid w:val="00F70A9C"/>
    <w:rsid w:val="00FC0C03"/>
    <w:rsid w:val="00FC379B"/>
    <w:rsid w:val="0A831444"/>
    <w:rsid w:val="0DD24334"/>
    <w:rsid w:val="1DCB3BF9"/>
    <w:rsid w:val="1F5B009D"/>
    <w:rsid w:val="2EDE12DA"/>
    <w:rsid w:val="32EF72B0"/>
    <w:rsid w:val="393D12C3"/>
    <w:rsid w:val="54FC3AC7"/>
    <w:rsid w:val="601F74B4"/>
    <w:rsid w:val="6AD6504F"/>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semiHidden="0" w:unhideWhenUsed="0" w:qFormat="1"/>
    <w:lsdException w:name="footer" w:semiHidden="0" w:qFormat="1"/>
    <w:lsdException w:name="caption" w:semiHidden="0" w:uiPriority="0" w:unhideWhenUsed="0" w:qFormat="1"/>
    <w:lsdException w:name="annotation reference" w:uiPriority="0" w:qFormat="1"/>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unhideWhenUsed/>
    <w:qFormat/>
    <w:rPr>
      <w:rFonts w:ascii="Tahoma" w:hAnsi="Tahoma" w:cs="Tahoma"/>
      <w:sz w:val="16"/>
      <w:szCs w:val="16"/>
    </w:rPr>
  </w:style>
  <w:style w:type="paragraph" w:styleId="BodyText">
    <w:name w:val="Body Text"/>
    <w:basedOn w:val="Normal"/>
    <w:qFormat/>
    <w:pPr>
      <w:spacing w:after="140" w:line="276" w:lineRule="auto"/>
    </w:pPr>
  </w:style>
  <w:style w:type="paragraph" w:styleId="Caption">
    <w:name w:val="caption"/>
    <w:basedOn w:val="Normal"/>
    <w:next w:val="Normal"/>
    <w:qFormat/>
    <w:pPr>
      <w:suppressLineNumbers/>
      <w:spacing w:before="120" w:after="120"/>
    </w:pPr>
    <w:rPr>
      <w:rFonts w:cs="Lucida Sans"/>
      <w:i/>
      <w:iCs/>
    </w:rPr>
  </w:style>
  <w:style w:type="paragraph" w:styleId="CommentText">
    <w:name w:val="annotation text"/>
    <w:basedOn w:val="Normal"/>
    <w:semiHidden/>
    <w:unhideWhenUsed/>
    <w:qFormat/>
    <w:rPr>
      <w:sz w:val="20"/>
      <w:szCs w:val="20"/>
    </w:rPr>
  </w:style>
  <w:style w:type="paragraph" w:styleId="CommentSubject">
    <w:name w:val="annotation subject"/>
    <w:basedOn w:val="CommentText"/>
    <w:next w:val="CommentText"/>
    <w:uiPriority w:val="99"/>
    <w:semiHidden/>
    <w:unhideWhenUsed/>
    <w:qFormat/>
    <w:rPr>
      <w:b/>
      <w:bCs/>
    </w:rPr>
  </w:style>
  <w:style w:type="paragraph" w:styleId="Footer">
    <w:name w:val="footer"/>
    <w:basedOn w:val="Normal"/>
    <w:uiPriority w:val="99"/>
    <w:unhideWhenUsed/>
    <w:qFormat/>
    <w:pPr>
      <w:tabs>
        <w:tab w:val="center" w:pos="4819"/>
        <w:tab w:val="right" w:pos="9638"/>
      </w:tabs>
    </w:pPr>
  </w:style>
  <w:style w:type="paragraph" w:styleId="FootnoteText">
    <w:name w:val="footnote text"/>
    <w:basedOn w:val="Normal"/>
    <w:uiPriority w:val="99"/>
    <w:semiHidden/>
    <w:unhideWhenUsed/>
    <w:qFormat/>
    <w:rPr>
      <w:sz w:val="20"/>
      <w:szCs w:val="20"/>
    </w:rPr>
  </w:style>
  <w:style w:type="paragraph" w:styleId="Header">
    <w:name w:val="header"/>
    <w:basedOn w:val="Normal"/>
    <w:uiPriority w:val="99"/>
    <w:qFormat/>
    <w:pPr>
      <w:tabs>
        <w:tab w:val="center" w:pos="4153"/>
        <w:tab w:val="right" w:pos="8306"/>
      </w:tabs>
    </w:pPr>
    <w:rPr>
      <w:lang w:val="lt-LT"/>
    </w:rPr>
  </w:style>
  <w:style w:type="paragraph" w:styleId="List">
    <w:name w:val="List"/>
    <w:basedOn w:val="BodyText"/>
    <w:qFormat/>
    <w:rPr>
      <w:rFonts w:cs="Lucida Sans"/>
    </w:rPr>
  </w:style>
  <w:style w:type="character" w:styleId="CommentReference">
    <w:name w:val="annotation reference"/>
    <w:basedOn w:val="DefaultParagraphFont"/>
    <w:semiHidden/>
    <w:unhideWhenUsed/>
    <w:qFormat/>
    <w:rPr>
      <w:sz w:val="16"/>
      <w:szCs w:val="16"/>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qFormat/>
    <w:rPr>
      <w:color w:val="0000FF" w:themeColor="hyperlink"/>
      <w:u w:val="single"/>
    </w:rPr>
  </w:style>
  <w:style w:type="character" w:customStyle="1" w:styleId="Internetosaitas">
    <w:name w:val="Interneto saitas"/>
    <w:basedOn w:val="DefaultParagraphFont"/>
    <w:qFormat/>
    <w:rPr>
      <w:color w:val="0000FF"/>
      <w:u w:val="single"/>
    </w:rPr>
  </w:style>
  <w:style w:type="character" w:customStyle="1" w:styleId="AntratsDiagrama">
    <w:name w:val="Antraštės Diagrama"/>
    <w:basedOn w:val="DefaultParagraphFont"/>
    <w:uiPriority w:val="99"/>
    <w:qFormat/>
    <w:rPr>
      <w:rFonts w:ascii="Times New Roman" w:eastAsia="Times New Roman" w:hAnsi="Times New Roman" w:cs="Times New Roman"/>
      <w:sz w:val="24"/>
      <w:szCs w:val="24"/>
    </w:rPr>
  </w:style>
  <w:style w:type="character" w:customStyle="1" w:styleId="DebesliotekstasDiagrama">
    <w:name w:val="Debesėlio tekstas Diagrama"/>
    <w:basedOn w:val="DefaultParagraphFont"/>
    <w:uiPriority w:val="99"/>
    <w:semiHidden/>
    <w:qFormat/>
    <w:rPr>
      <w:rFonts w:ascii="Tahoma" w:eastAsia="Times New Roman" w:hAnsi="Tahoma" w:cs="Tahoma"/>
      <w:sz w:val="16"/>
      <w:szCs w:val="16"/>
      <w:lang w:val="en-US"/>
    </w:rPr>
  </w:style>
  <w:style w:type="character" w:customStyle="1" w:styleId="PoratDiagrama">
    <w:name w:val="Poraštė Diagrama"/>
    <w:basedOn w:val="DefaultParagraphFont"/>
    <w:uiPriority w:val="99"/>
    <w:qFormat/>
    <w:rPr>
      <w:rFonts w:ascii="Times New Roman" w:eastAsia="Times New Roman" w:hAnsi="Times New Roman" w:cs="Times New Roman"/>
      <w:sz w:val="24"/>
      <w:szCs w:val="24"/>
      <w:lang w:val="en-US"/>
    </w:rPr>
  </w:style>
  <w:style w:type="character" w:customStyle="1" w:styleId="KomentarotekstasDiagrama">
    <w:name w:val="Komentaro tekstas Diagrama"/>
    <w:basedOn w:val="DefaultParagraphFont"/>
    <w:semiHidden/>
    <w:qFormat/>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uiPriority w:val="99"/>
    <w:semiHidden/>
    <w:qFormat/>
    <w:rPr>
      <w:rFonts w:ascii="Times New Roman" w:eastAsia="Times New Roman" w:hAnsi="Times New Roman" w:cs="Times New Roman"/>
      <w:b/>
      <w:bCs/>
      <w:sz w:val="20"/>
      <w:szCs w:val="20"/>
      <w:lang w:val="en-US"/>
    </w:rPr>
  </w:style>
  <w:style w:type="character" w:customStyle="1" w:styleId="PuslapioinaostekstasDiagrama">
    <w:name w:val="Puslapio išnašos tekstas Diagrama"/>
    <w:basedOn w:val="DefaultParagraphFont"/>
    <w:uiPriority w:val="99"/>
    <w:semiHidden/>
    <w:qFormat/>
    <w:rPr>
      <w:rFonts w:ascii="Times New Roman" w:eastAsia="Times New Roman" w:hAnsi="Times New Roman" w:cs="Times New Roman"/>
      <w:sz w:val="20"/>
      <w:szCs w:val="20"/>
      <w:lang w:val="en-US"/>
    </w:rPr>
  </w:style>
  <w:style w:type="character" w:customStyle="1" w:styleId="Inaosprieraias">
    <w:name w:val="Išnašos prieraišas"/>
    <w:qFormat/>
    <w:rPr>
      <w:vertAlign w:val="superscript"/>
    </w:rPr>
  </w:style>
  <w:style w:type="character" w:customStyle="1" w:styleId="FootnoteCharacters">
    <w:name w:val="Footnote Characters"/>
    <w:basedOn w:val="DefaultParagraphFont"/>
    <w:uiPriority w:val="99"/>
    <w:semiHidden/>
    <w:unhideWhenUsed/>
    <w:qFormat/>
    <w:rPr>
      <w:vertAlign w:val="superscript"/>
    </w:rPr>
  </w:style>
  <w:style w:type="character" w:customStyle="1" w:styleId="Inaosramenys">
    <w:name w:val="Išnašos rašmenys"/>
    <w:qFormat/>
  </w:style>
  <w:style w:type="character" w:customStyle="1" w:styleId="Galinsinaosprieraias">
    <w:name w:val="Galinės išnašos prieraišas"/>
    <w:qFormat/>
    <w:rPr>
      <w:vertAlign w:val="superscript"/>
    </w:rPr>
  </w:style>
  <w:style w:type="character" w:customStyle="1" w:styleId="Galinsinaosramenys">
    <w:name w:val="Galinės išnašos rašmenys"/>
    <w:qFormat/>
  </w:style>
  <w:style w:type="paragraph" w:customStyle="1" w:styleId="Antrat1">
    <w:name w:val="Antraštė1"/>
    <w:basedOn w:val="Normal"/>
    <w:next w:val="BodyText"/>
    <w:qFormat/>
    <w:pPr>
      <w:keepNext/>
      <w:spacing w:before="240" w:after="120"/>
    </w:pPr>
    <w:rPr>
      <w:rFonts w:ascii="Liberation Sans" w:eastAsia="Microsoft YaHei" w:hAnsi="Liberation Sans" w:cs="Lucida Sans"/>
      <w:sz w:val="28"/>
      <w:szCs w:val="28"/>
    </w:rPr>
  </w:style>
  <w:style w:type="paragraph" w:customStyle="1" w:styleId="Rodykl">
    <w:name w:val="Rodyklė"/>
    <w:basedOn w:val="Normal"/>
    <w:qFormat/>
    <w:pPr>
      <w:suppressLineNumbers/>
    </w:pPr>
    <w:rPr>
      <w:rFonts w:cs="Lucida Sans"/>
    </w:rPr>
  </w:style>
  <w:style w:type="paragraph" w:customStyle="1" w:styleId="Puslapinantratirporat">
    <w:name w:val="Puslapinė antraštė ir poraštė"/>
    <w:basedOn w:val="Normal"/>
    <w:qFormat/>
  </w:style>
  <w:style w:type="paragraph" w:customStyle="1" w:styleId="Institucija">
    <w:name w:val="Institucija"/>
    <w:basedOn w:val="Header"/>
    <w:qFormat/>
    <w:pPr>
      <w:tabs>
        <w:tab w:val="clear" w:pos="4153"/>
        <w:tab w:val="clear" w:pos="8306"/>
      </w:tabs>
      <w:jc w:val="center"/>
    </w:pPr>
    <w:rPr>
      <w:b/>
      <w:bCs/>
      <w:sz w:val="26"/>
    </w:rPr>
  </w:style>
  <w:style w:type="paragraph" w:customStyle="1" w:styleId="Pavadinimas1">
    <w:name w:val="Pavadinimas1"/>
    <w:basedOn w:val="Normal"/>
    <w:qFormat/>
    <w:pPr>
      <w:spacing w:before="40" w:after="40"/>
      <w:ind w:right="1959"/>
    </w:pPr>
    <w:rPr>
      <w:caps/>
      <w:lang w:val="lt-LT"/>
    </w:rPr>
  </w:style>
  <w:style w:type="paragraph" w:customStyle="1" w:styleId="Adresas">
    <w:name w:val="Adresas"/>
    <w:basedOn w:val="Normal"/>
    <w:qFormat/>
    <w:pPr>
      <w:ind w:right="318"/>
    </w:pPr>
    <w:rPr>
      <w:lang w:val="lt-LT"/>
    </w:rPr>
  </w:style>
  <w:style w:type="paragraph" w:customStyle="1" w:styleId="Kopija">
    <w:name w:val="Kopija"/>
    <w:basedOn w:val="Adresas"/>
    <w:qFormat/>
    <w:pPr>
      <w:ind w:right="3999"/>
    </w:pPr>
  </w:style>
  <w:style w:type="paragraph" w:styleId="ListParagraph">
    <w:name w:val="List Paragraph"/>
    <w:basedOn w:val="Normal"/>
    <w:uiPriority w:val="34"/>
    <w:qFormat/>
    <w:pPr>
      <w:ind w:left="720"/>
      <w:contextualSpacing/>
    </w:pPr>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semiHidden="0" w:unhideWhenUsed="0" w:qFormat="1"/>
    <w:lsdException w:name="footer" w:semiHidden="0" w:qFormat="1"/>
    <w:lsdException w:name="caption" w:semiHidden="0" w:uiPriority="0" w:unhideWhenUsed="0" w:qFormat="1"/>
    <w:lsdException w:name="annotation reference" w:uiPriority="0" w:qFormat="1"/>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unhideWhenUsed/>
    <w:qFormat/>
    <w:rPr>
      <w:rFonts w:ascii="Tahoma" w:hAnsi="Tahoma" w:cs="Tahoma"/>
      <w:sz w:val="16"/>
      <w:szCs w:val="16"/>
    </w:rPr>
  </w:style>
  <w:style w:type="paragraph" w:styleId="BodyText">
    <w:name w:val="Body Text"/>
    <w:basedOn w:val="Normal"/>
    <w:qFormat/>
    <w:pPr>
      <w:spacing w:after="140" w:line="276" w:lineRule="auto"/>
    </w:pPr>
  </w:style>
  <w:style w:type="paragraph" w:styleId="Caption">
    <w:name w:val="caption"/>
    <w:basedOn w:val="Normal"/>
    <w:next w:val="Normal"/>
    <w:qFormat/>
    <w:pPr>
      <w:suppressLineNumbers/>
      <w:spacing w:before="120" w:after="120"/>
    </w:pPr>
    <w:rPr>
      <w:rFonts w:cs="Lucida Sans"/>
      <w:i/>
      <w:iCs/>
    </w:rPr>
  </w:style>
  <w:style w:type="paragraph" w:styleId="CommentText">
    <w:name w:val="annotation text"/>
    <w:basedOn w:val="Normal"/>
    <w:semiHidden/>
    <w:unhideWhenUsed/>
    <w:qFormat/>
    <w:rPr>
      <w:sz w:val="20"/>
      <w:szCs w:val="20"/>
    </w:rPr>
  </w:style>
  <w:style w:type="paragraph" w:styleId="CommentSubject">
    <w:name w:val="annotation subject"/>
    <w:basedOn w:val="CommentText"/>
    <w:next w:val="CommentText"/>
    <w:uiPriority w:val="99"/>
    <w:semiHidden/>
    <w:unhideWhenUsed/>
    <w:qFormat/>
    <w:rPr>
      <w:b/>
      <w:bCs/>
    </w:rPr>
  </w:style>
  <w:style w:type="paragraph" w:styleId="Footer">
    <w:name w:val="footer"/>
    <w:basedOn w:val="Normal"/>
    <w:uiPriority w:val="99"/>
    <w:unhideWhenUsed/>
    <w:qFormat/>
    <w:pPr>
      <w:tabs>
        <w:tab w:val="center" w:pos="4819"/>
        <w:tab w:val="right" w:pos="9638"/>
      </w:tabs>
    </w:pPr>
  </w:style>
  <w:style w:type="paragraph" w:styleId="FootnoteText">
    <w:name w:val="footnote text"/>
    <w:basedOn w:val="Normal"/>
    <w:uiPriority w:val="99"/>
    <w:semiHidden/>
    <w:unhideWhenUsed/>
    <w:qFormat/>
    <w:rPr>
      <w:sz w:val="20"/>
      <w:szCs w:val="20"/>
    </w:rPr>
  </w:style>
  <w:style w:type="paragraph" w:styleId="Header">
    <w:name w:val="header"/>
    <w:basedOn w:val="Normal"/>
    <w:uiPriority w:val="99"/>
    <w:qFormat/>
    <w:pPr>
      <w:tabs>
        <w:tab w:val="center" w:pos="4153"/>
        <w:tab w:val="right" w:pos="8306"/>
      </w:tabs>
    </w:pPr>
    <w:rPr>
      <w:lang w:val="lt-LT"/>
    </w:rPr>
  </w:style>
  <w:style w:type="paragraph" w:styleId="List">
    <w:name w:val="List"/>
    <w:basedOn w:val="BodyText"/>
    <w:qFormat/>
    <w:rPr>
      <w:rFonts w:cs="Lucida Sans"/>
    </w:rPr>
  </w:style>
  <w:style w:type="character" w:styleId="CommentReference">
    <w:name w:val="annotation reference"/>
    <w:basedOn w:val="DefaultParagraphFont"/>
    <w:semiHidden/>
    <w:unhideWhenUsed/>
    <w:qFormat/>
    <w:rPr>
      <w:sz w:val="16"/>
      <w:szCs w:val="16"/>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qFormat/>
    <w:rPr>
      <w:color w:val="0000FF" w:themeColor="hyperlink"/>
      <w:u w:val="single"/>
    </w:rPr>
  </w:style>
  <w:style w:type="character" w:customStyle="1" w:styleId="Internetosaitas">
    <w:name w:val="Interneto saitas"/>
    <w:basedOn w:val="DefaultParagraphFont"/>
    <w:qFormat/>
    <w:rPr>
      <w:color w:val="0000FF"/>
      <w:u w:val="single"/>
    </w:rPr>
  </w:style>
  <w:style w:type="character" w:customStyle="1" w:styleId="AntratsDiagrama">
    <w:name w:val="Antraštės Diagrama"/>
    <w:basedOn w:val="DefaultParagraphFont"/>
    <w:uiPriority w:val="99"/>
    <w:qFormat/>
    <w:rPr>
      <w:rFonts w:ascii="Times New Roman" w:eastAsia="Times New Roman" w:hAnsi="Times New Roman" w:cs="Times New Roman"/>
      <w:sz w:val="24"/>
      <w:szCs w:val="24"/>
    </w:rPr>
  </w:style>
  <w:style w:type="character" w:customStyle="1" w:styleId="DebesliotekstasDiagrama">
    <w:name w:val="Debesėlio tekstas Diagrama"/>
    <w:basedOn w:val="DefaultParagraphFont"/>
    <w:uiPriority w:val="99"/>
    <w:semiHidden/>
    <w:qFormat/>
    <w:rPr>
      <w:rFonts w:ascii="Tahoma" w:eastAsia="Times New Roman" w:hAnsi="Tahoma" w:cs="Tahoma"/>
      <w:sz w:val="16"/>
      <w:szCs w:val="16"/>
      <w:lang w:val="en-US"/>
    </w:rPr>
  </w:style>
  <w:style w:type="character" w:customStyle="1" w:styleId="PoratDiagrama">
    <w:name w:val="Poraštė Diagrama"/>
    <w:basedOn w:val="DefaultParagraphFont"/>
    <w:uiPriority w:val="99"/>
    <w:qFormat/>
    <w:rPr>
      <w:rFonts w:ascii="Times New Roman" w:eastAsia="Times New Roman" w:hAnsi="Times New Roman" w:cs="Times New Roman"/>
      <w:sz w:val="24"/>
      <w:szCs w:val="24"/>
      <w:lang w:val="en-US"/>
    </w:rPr>
  </w:style>
  <w:style w:type="character" w:customStyle="1" w:styleId="KomentarotekstasDiagrama">
    <w:name w:val="Komentaro tekstas Diagrama"/>
    <w:basedOn w:val="DefaultParagraphFont"/>
    <w:semiHidden/>
    <w:qFormat/>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uiPriority w:val="99"/>
    <w:semiHidden/>
    <w:qFormat/>
    <w:rPr>
      <w:rFonts w:ascii="Times New Roman" w:eastAsia="Times New Roman" w:hAnsi="Times New Roman" w:cs="Times New Roman"/>
      <w:b/>
      <w:bCs/>
      <w:sz w:val="20"/>
      <w:szCs w:val="20"/>
      <w:lang w:val="en-US"/>
    </w:rPr>
  </w:style>
  <w:style w:type="character" w:customStyle="1" w:styleId="PuslapioinaostekstasDiagrama">
    <w:name w:val="Puslapio išnašos tekstas Diagrama"/>
    <w:basedOn w:val="DefaultParagraphFont"/>
    <w:uiPriority w:val="99"/>
    <w:semiHidden/>
    <w:qFormat/>
    <w:rPr>
      <w:rFonts w:ascii="Times New Roman" w:eastAsia="Times New Roman" w:hAnsi="Times New Roman" w:cs="Times New Roman"/>
      <w:sz w:val="20"/>
      <w:szCs w:val="20"/>
      <w:lang w:val="en-US"/>
    </w:rPr>
  </w:style>
  <w:style w:type="character" w:customStyle="1" w:styleId="Inaosprieraias">
    <w:name w:val="Išnašos prieraišas"/>
    <w:qFormat/>
    <w:rPr>
      <w:vertAlign w:val="superscript"/>
    </w:rPr>
  </w:style>
  <w:style w:type="character" w:customStyle="1" w:styleId="FootnoteCharacters">
    <w:name w:val="Footnote Characters"/>
    <w:basedOn w:val="DefaultParagraphFont"/>
    <w:uiPriority w:val="99"/>
    <w:semiHidden/>
    <w:unhideWhenUsed/>
    <w:qFormat/>
    <w:rPr>
      <w:vertAlign w:val="superscript"/>
    </w:rPr>
  </w:style>
  <w:style w:type="character" w:customStyle="1" w:styleId="Inaosramenys">
    <w:name w:val="Išnašos rašmenys"/>
    <w:qFormat/>
  </w:style>
  <w:style w:type="character" w:customStyle="1" w:styleId="Galinsinaosprieraias">
    <w:name w:val="Galinės išnašos prieraišas"/>
    <w:qFormat/>
    <w:rPr>
      <w:vertAlign w:val="superscript"/>
    </w:rPr>
  </w:style>
  <w:style w:type="character" w:customStyle="1" w:styleId="Galinsinaosramenys">
    <w:name w:val="Galinės išnašos rašmenys"/>
    <w:qFormat/>
  </w:style>
  <w:style w:type="paragraph" w:customStyle="1" w:styleId="Antrat1">
    <w:name w:val="Antraštė1"/>
    <w:basedOn w:val="Normal"/>
    <w:next w:val="BodyText"/>
    <w:qFormat/>
    <w:pPr>
      <w:keepNext/>
      <w:spacing w:before="240" w:after="120"/>
    </w:pPr>
    <w:rPr>
      <w:rFonts w:ascii="Liberation Sans" w:eastAsia="Microsoft YaHei" w:hAnsi="Liberation Sans" w:cs="Lucida Sans"/>
      <w:sz w:val="28"/>
      <w:szCs w:val="28"/>
    </w:rPr>
  </w:style>
  <w:style w:type="paragraph" w:customStyle="1" w:styleId="Rodykl">
    <w:name w:val="Rodyklė"/>
    <w:basedOn w:val="Normal"/>
    <w:qFormat/>
    <w:pPr>
      <w:suppressLineNumbers/>
    </w:pPr>
    <w:rPr>
      <w:rFonts w:cs="Lucida Sans"/>
    </w:rPr>
  </w:style>
  <w:style w:type="paragraph" w:customStyle="1" w:styleId="Puslapinantratirporat">
    <w:name w:val="Puslapinė antraštė ir poraštė"/>
    <w:basedOn w:val="Normal"/>
    <w:qFormat/>
  </w:style>
  <w:style w:type="paragraph" w:customStyle="1" w:styleId="Institucija">
    <w:name w:val="Institucija"/>
    <w:basedOn w:val="Header"/>
    <w:qFormat/>
    <w:pPr>
      <w:tabs>
        <w:tab w:val="clear" w:pos="4153"/>
        <w:tab w:val="clear" w:pos="8306"/>
      </w:tabs>
      <w:jc w:val="center"/>
    </w:pPr>
    <w:rPr>
      <w:b/>
      <w:bCs/>
      <w:sz w:val="26"/>
    </w:rPr>
  </w:style>
  <w:style w:type="paragraph" w:customStyle="1" w:styleId="Pavadinimas1">
    <w:name w:val="Pavadinimas1"/>
    <w:basedOn w:val="Normal"/>
    <w:qFormat/>
    <w:pPr>
      <w:spacing w:before="40" w:after="40"/>
      <w:ind w:right="1959"/>
    </w:pPr>
    <w:rPr>
      <w:caps/>
      <w:lang w:val="lt-LT"/>
    </w:rPr>
  </w:style>
  <w:style w:type="paragraph" w:customStyle="1" w:styleId="Adresas">
    <w:name w:val="Adresas"/>
    <w:basedOn w:val="Normal"/>
    <w:qFormat/>
    <w:pPr>
      <w:ind w:right="318"/>
    </w:pPr>
    <w:rPr>
      <w:lang w:val="lt-LT"/>
    </w:rPr>
  </w:style>
  <w:style w:type="paragraph" w:customStyle="1" w:styleId="Kopija">
    <w:name w:val="Kopija"/>
    <w:basedOn w:val="Adresas"/>
    <w:qFormat/>
    <w:pPr>
      <w:ind w:right="3999"/>
    </w:pPr>
  </w:style>
  <w:style w:type="paragraph" w:styleId="ListParagraph">
    <w:name w:val="List Paragraph"/>
    <w:basedOn w:val="Normal"/>
    <w:uiPriority w:val="34"/>
    <w:qFormat/>
    <w:pPr>
      <w:ind w:left="720"/>
      <w:contextualSpacing/>
    </w:pPr>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seimas.lrs.lt/portal/legalAct/lt/TAP/4e9102401e8211eb9604df942ee8e443?jfwid=-kyruxh013"
                 TargetMode="External"
                 Type="http://schemas.openxmlformats.org/officeDocument/2006/relationships/hyperlink"/>
   <Relationship Id="rId11"
                 Target="https://e-seimas.lrs.lt/portal/legalAct/lt/TAP/6b16efc0f74911eab72ddb4a109da1b5?positionInSearchResults=2&amp;searchModelUUID=87f4ce68-f4c6-470f-a8db-938840d6ddb8"
                 TargetMode="External"
                 Type="http://schemas.openxmlformats.org/officeDocument/2006/relationships/hyperlink"/>
   <Relationship Id="rId12" Target="mailto:egle.betingiene@tm.lt"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footer2.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F20163-8A75-4249-9630-BBA72FD1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4868</Words>
  <Characters>2775</Characters>
  <Application>Microsoft Office Word</Application>
  <DocSecurity>4</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2020-11-25T09:08:00Z</dcterms:created>
  <dc:creator>m.zukiene</dc:creator>
  <cp:lastModifiedBy>Jolanta Meiduvienė</cp:lastModifiedBy>
  <cp:lastPrinted>2020-01-30T06:43:00Z</cp:lastPrinted>
  <dcterms:modified xsi:type="dcterms:W3CDTF">2020-11-25T09:08:00Z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2057-11.2.0.8684</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