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2E44" w14:textId="77777777" w:rsidR="0099651C" w:rsidRPr="0099651C" w:rsidRDefault="0099651C" w:rsidP="0099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TEISĖS AKTŲ PROJEKTŲ ANTIKORUPCINIO VERTINIMO PAŽYMA</w:t>
      </w:r>
    </w:p>
    <w:p w14:paraId="6093AD83" w14:textId="5BE961C7" w:rsidR="0099651C" w:rsidRDefault="0099651C" w:rsidP="009965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590276" w14:textId="6683F937" w:rsidR="004A2493" w:rsidRPr="0099651C" w:rsidRDefault="004A2493" w:rsidP="004A2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A2493">
        <w:rPr>
          <w:rFonts w:ascii="Times New Roman" w:eastAsia="Times New Roman" w:hAnsi="Times New Roman" w:cs="Times New Roman"/>
          <w:sz w:val="24"/>
          <w:szCs w:val="24"/>
          <w:lang w:eastAsia="lt-LT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rugsėjo </w:t>
      </w:r>
      <w:r w:rsidRPr="004A2493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 Nr. </w:t>
      </w:r>
      <w:r w:rsidRPr="004A2493">
        <w:rPr>
          <w:rFonts w:ascii="Times New Roman" w:eastAsia="Times New Roman" w:hAnsi="Times New Roman" w:cs="Times New Roman"/>
          <w:sz w:val="24"/>
          <w:szCs w:val="24"/>
          <w:lang w:eastAsia="lt-LT"/>
        </w:rPr>
        <w:t>6-2395</w:t>
      </w:r>
    </w:p>
    <w:p w14:paraId="1C745E06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akto projekto pavadinimas:</w:t>
      </w:r>
    </w:p>
    <w:p w14:paraId="3747C114" w14:textId="059E88C0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</w:t>
      </w:r>
      <w:r w:rsidR="00870A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kelių priežiūros ir plėtros programos įstatymo Nr. VIII-2032 2, 3 ir 9 </w:t>
      </w: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straipsni</w:t>
      </w:r>
      <w:r w:rsidR="00870A7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pakeitimo</w:t>
      </w:r>
      <w:r w:rsidR="006943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4 straipsnio pripažinimo netekusiu galios</w:t>
      </w: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65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įstatymo </w:t>
      </w: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projektas (toliau – Projektas).</w:t>
      </w:r>
    </w:p>
    <w:p w14:paraId="2B3AEBB4" w14:textId="65144D7E" w:rsidR="0099651C" w:rsidRPr="00870A7E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akto projekto rengimą koordinavo: Susisiekimo ministerijos Kelių ir oro transporto politikos grupės vyresnysis </w:t>
      </w:r>
      <w:r w:rsidRPr="00870A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patarėjas </w:t>
      </w:r>
      <w:r w:rsidR="00870A7E" w:rsidRPr="00870A7E">
        <w:rPr>
          <w:rFonts w:ascii="Times New Roman" w:hAnsi="Times New Roman" w:cs="Times New Roman"/>
          <w:sz w:val="24"/>
          <w:szCs w:val="24"/>
        </w:rPr>
        <w:t>Sergėjus Volkovas</w:t>
      </w:r>
      <w:r w:rsidRPr="00870A7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E712DBD" w14:textId="77777777" w:rsidR="0099651C" w:rsidRPr="0099651C" w:rsidRDefault="0099651C" w:rsidP="0099651C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651C">
        <w:rPr>
          <w:rFonts w:ascii="Times New Roman" w:eastAsia="Times New Roman" w:hAnsi="Times New Roman" w:cs="Times New Roman"/>
          <w:sz w:val="24"/>
          <w:szCs w:val="24"/>
          <w:lang w:eastAsia="lt-LT"/>
        </w:rPr>
        <w:t>Antikorupciniu požiūriu rizikingos teisės akto projekto nuostatos:</w:t>
      </w:r>
      <w:r w:rsidRPr="0099651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nėra.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3382"/>
        <w:gridCol w:w="3879"/>
        <w:gridCol w:w="3857"/>
        <w:gridCol w:w="2685"/>
      </w:tblGrid>
      <w:tr w:rsidR="0099651C" w:rsidRPr="0099651C" w14:paraId="5ED363C0" w14:textId="77777777" w:rsidTr="00D11417">
        <w:trPr>
          <w:trHeight w:val="23"/>
          <w:tblHeader/>
        </w:trPr>
        <w:tc>
          <w:tcPr>
            <w:tcW w:w="706" w:type="dxa"/>
            <w:vAlign w:val="center"/>
          </w:tcPr>
          <w:p w14:paraId="074EBAC3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382" w:type="dxa"/>
            <w:vAlign w:val="center"/>
          </w:tcPr>
          <w:p w14:paraId="725F8295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Kriterijus</w:t>
            </w:r>
          </w:p>
        </w:tc>
        <w:tc>
          <w:tcPr>
            <w:tcW w:w="3879" w:type="dxa"/>
            <w:vAlign w:val="center"/>
          </w:tcPr>
          <w:p w14:paraId="552193B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57" w:type="dxa"/>
            <w:vAlign w:val="center"/>
          </w:tcPr>
          <w:p w14:paraId="042D1B51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vAlign w:val="center"/>
          </w:tcPr>
          <w:p w14:paraId="517DB69C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Išvada dėl teisės akto projekto pakeitimų arba argumentų, kodėl neatsižvelgta į pastabą</w:t>
            </w:r>
          </w:p>
        </w:tc>
      </w:tr>
      <w:tr w:rsidR="0099651C" w:rsidRPr="0099651C" w14:paraId="27E50469" w14:textId="77777777" w:rsidTr="00D11417">
        <w:trPr>
          <w:trHeight w:val="23"/>
        </w:trPr>
        <w:tc>
          <w:tcPr>
            <w:tcW w:w="706" w:type="dxa"/>
          </w:tcPr>
          <w:p w14:paraId="6EA697DC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</w:p>
        </w:tc>
        <w:tc>
          <w:tcPr>
            <w:tcW w:w="3382" w:type="dxa"/>
          </w:tcPr>
          <w:p w14:paraId="081CCE5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</w:p>
        </w:tc>
        <w:tc>
          <w:tcPr>
            <w:tcW w:w="3879" w:type="dxa"/>
            <w:vAlign w:val="center"/>
          </w:tcPr>
          <w:p w14:paraId="54244CA6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vertintojas</w:t>
            </w:r>
          </w:p>
        </w:tc>
        <w:tc>
          <w:tcPr>
            <w:tcW w:w="3857" w:type="dxa"/>
            <w:vAlign w:val="center"/>
          </w:tcPr>
          <w:p w14:paraId="0F9D57DF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tiesioginis rengėjas</w:t>
            </w:r>
          </w:p>
        </w:tc>
        <w:tc>
          <w:tcPr>
            <w:tcW w:w="2685" w:type="dxa"/>
            <w:vAlign w:val="center"/>
          </w:tcPr>
          <w:p w14:paraId="2240B82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i/>
                <w:lang w:eastAsia="lt-LT"/>
              </w:rPr>
              <w:t>pildo teisės akto projekto vertintojas</w:t>
            </w:r>
          </w:p>
        </w:tc>
      </w:tr>
      <w:tr w:rsidR="0099651C" w:rsidRPr="0099651C" w14:paraId="551FC52D" w14:textId="77777777" w:rsidTr="00D11417">
        <w:trPr>
          <w:trHeight w:val="23"/>
        </w:trPr>
        <w:tc>
          <w:tcPr>
            <w:tcW w:w="706" w:type="dxa"/>
          </w:tcPr>
          <w:p w14:paraId="17E706FD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3382" w:type="dxa"/>
          </w:tcPr>
          <w:p w14:paraId="1503DF65" w14:textId="77777777" w:rsidR="0099651C" w:rsidRPr="00273467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79" w:type="dxa"/>
          </w:tcPr>
          <w:p w14:paraId="6A23532B" w14:textId="2D534410" w:rsidR="0099651C" w:rsidRPr="00273467" w:rsidRDefault="0099651C" w:rsidP="00CB0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 xml:space="preserve">Projektas </w:t>
            </w:r>
            <w:r w:rsidR="002213B2" w:rsidRPr="00273467">
              <w:rPr>
                <w:rFonts w:ascii="Times New Roman" w:eastAsia="Times New Roman" w:hAnsi="Times New Roman" w:cs="Times New Roman"/>
                <w:lang w:eastAsia="lt-LT"/>
              </w:rPr>
              <w:t>ne</w:t>
            </w:r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>sudaro išskirtin</w:t>
            </w:r>
            <w:r w:rsidR="002213B2" w:rsidRPr="00273467">
              <w:rPr>
                <w:rFonts w:ascii="Times New Roman" w:eastAsia="Times New Roman" w:hAnsi="Times New Roman" w:cs="Times New Roman"/>
                <w:lang w:eastAsia="lt-LT"/>
              </w:rPr>
              <w:t>ių</w:t>
            </w:r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 xml:space="preserve"> sąlyg</w:t>
            </w:r>
            <w:r w:rsidR="002213B2" w:rsidRPr="00273467">
              <w:rPr>
                <w:rFonts w:ascii="Times New Roman" w:eastAsia="Times New Roman" w:hAnsi="Times New Roman" w:cs="Times New Roman"/>
                <w:lang w:eastAsia="lt-LT"/>
              </w:rPr>
              <w:t>ų</w:t>
            </w:r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 xml:space="preserve"> asm</w:t>
            </w:r>
            <w:bookmarkStart w:id="0" w:name="_Hlk30072156"/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>enims</w:t>
            </w:r>
            <w:bookmarkEnd w:id="0"/>
            <w:r w:rsidR="002213B2" w:rsidRPr="00273467">
              <w:rPr>
                <w:rFonts w:ascii="Times New Roman" w:hAnsi="Times New Roman" w:cs="Times New Roman"/>
                <w:lang w:eastAsia="lt-LT"/>
              </w:rPr>
              <w:t xml:space="preserve"> Kelių priežiūros ir plėtros p</w:t>
            </w:r>
            <w:r w:rsidR="002213B2" w:rsidRPr="00273467">
              <w:rPr>
                <w:rFonts w:ascii="Times New Roman" w:hAnsi="Times New Roman" w:cs="Times New Roman"/>
              </w:rPr>
              <w:t>rogramos finansavimo lėšas naudojant valstybinės reikšmės kelių</w:t>
            </w:r>
            <w:r w:rsidR="00A60924" w:rsidRPr="00273467">
              <w:rPr>
                <w:rFonts w:ascii="Times New Roman" w:hAnsi="Times New Roman" w:cs="Times New Roman"/>
              </w:rPr>
              <w:t xml:space="preserve"> ir vietinės reikšmės</w:t>
            </w:r>
            <w:r w:rsidR="002213B2" w:rsidRPr="00273467">
              <w:rPr>
                <w:rFonts w:ascii="Times New Roman" w:hAnsi="Times New Roman" w:cs="Times New Roman"/>
              </w:rPr>
              <w:t xml:space="preserve"> tinklui plėsti ir užtikrinti, kad šis tinklas veiktų.</w:t>
            </w:r>
          </w:p>
        </w:tc>
        <w:tc>
          <w:tcPr>
            <w:tcW w:w="3857" w:type="dxa"/>
          </w:tcPr>
          <w:p w14:paraId="683A94E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2A702F0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CC9CF3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7990DEE" w14:textId="77777777" w:rsidTr="00D11417">
        <w:trPr>
          <w:trHeight w:val="23"/>
        </w:trPr>
        <w:tc>
          <w:tcPr>
            <w:tcW w:w="706" w:type="dxa"/>
          </w:tcPr>
          <w:p w14:paraId="3EDC38C6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3382" w:type="dxa"/>
          </w:tcPr>
          <w:p w14:paraId="217ACD36" w14:textId="77777777" w:rsidR="0099651C" w:rsidRPr="00273467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3879" w:type="dxa"/>
          </w:tcPr>
          <w:p w14:paraId="7F1F5CD1" w14:textId="77777777" w:rsidR="0099651C" w:rsidRPr="00273467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73467">
              <w:rPr>
                <w:rFonts w:ascii="Times New Roman" w:eastAsia="Times New Roman" w:hAnsi="Times New Roman" w:cs="Times New Roman"/>
                <w:lang w:eastAsia="lt-LT"/>
              </w:rPr>
              <w:t>Projekto nuostatos yra aiškios ir nesudaro galimybės jų dviprasmiškai aiškinti ir taikyti.</w:t>
            </w:r>
          </w:p>
        </w:tc>
        <w:tc>
          <w:tcPr>
            <w:tcW w:w="3857" w:type="dxa"/>
          </w:tcPr>
          <w:p w14:paraId="7138B3B6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27533BA3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F23B30F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3762B50" w14:textId="77777777" w:rsidTr="00D11417">
        <w:trPr>
          <w:trHeight w:val="1076"/>
        </w:trPr>
        <w:tc>
          <w:tcPr>
            <w:tcW w:w="706" w:type="dxa"/>
          </w:tcPr>
          <w:p w14:paraId="25B8483E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3382" w:type="dxa"/>
          </w:tcPr>
          <w:p w14:paraId="29B831C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Teisės akto projekte nustatyta, kad sprendimą dėl teisių suteikimo, apribojimų nustatymo, sankcijų taikymo ir panašiai priimantis subjektas atskirtas nuo šių sprendimų teisėtumą ir 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įgyvendinimą kontroliuojančio (prižiūrinčio) subjekto</w:t>
            </w:r>
          </w:p>
        </w:tc>
        <w:tc>
          <w:tcPr>
            <w:tcW w:w="3879" w:type="dxa"/>
          </w:tcPr>
          <w:p w14:paraId="1A59EB5F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Nereglamentuota.</w:t>
            </w:r>
          </w:p>
        </w:tc>
        <w:tc>
          <w:tcPr>
            <w:tcW w:w="3857" w:type="dxa"/>
          </w:tcPr>
          <w:p w14:paraId="06A753B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C43296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79969A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EE444CE" w14:textId="77777777" w:rsidTr="00D11417">
        <w:trPr>
          <w:trHeight w:val="23"/>
        </w:trPr>
        <w:tc>
          <w:tcPr>
            <w:tcW w:w="706" w:type="dxa"/>
          </w:tcPr>
          <w:p w14:paraId="17689680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3382" w:type="dxa"/>
          </w:tcPr>
          <w:p w14:paraId="2262587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3879" w:type="dxa"/>
          </w:tcPr>
          <w:p w14:paraId="31E9586D" w14:textId="1E555B53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Projekte nurodytiems subjektams nustatyt</w:t>
            </w:r>
            <w:r w:rsidR="003E2ABF">
              <w:rPr>
                <w:rFonts w:ascii="Times New Roman" w:eastAsia="Times New Roman" w:hAnsi="Times New Roman" w:cs="Times New Roman"/>
                <w:lang w:eastAsia="lt-LT"/>
              </w:rPr>
              <w:t>i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įgaliojimai (teisės) atitinka jų atliekamas funkcijas (pareigas).</w:t>
            </w:r>
          </w:p>
        </w:tc>
        <w:tc>
          <w:tcPr>
            <w:tcW w:w="3857" w:type="dxa"/>
          </w:tcPr>
          <w:p w14:paraId="5FF21D1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653173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CAE1EE7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B36CCED" w14:textId="77777777" w:rsidTr="00D11417">
        <w:trPr>
          <w:trHeight w:val="796"/>
        </w:trPr>
        <w:tc>
          <w:tcPr>
            <w:tcW w:w="706" w:type="dxa"/>
          </w:tcPr>
          <w:p w14:paraId="76307836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3382" w:type="dxa"/>
          </w:tcPr>
          <w:p w14:paraId="3C80A69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sprendimo priėmimo kriterijų (atvejų) sąrašas</w:t>
            </w:r>
          </w:p>
        </w:tc>
        <w:tc>
          <w:tcPr>
            <w:tcW w:w="3879" w:type="dxa"/>
          </w:tcPr>
          <w:p w14:paraId="2E844CDF" w14:textId="6F9862E9" w:rsidR="0099651C" w:rsidRPr="0099651C" w:rsidRDefault="00C42187" w:rsidP="00996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Projekte nurodyti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ems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subjekt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ams numatytas baigtinis sprendimų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priėmimo kriterijų (atvejų) sąrašas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</w:p>
        </w:tc>
        <w:tc>
          <w:tcPr>
            <w:tcW w:w="3857" w:type="dxa"/>
          </w:tcPr>
          <w:p w14:paraId="2485C23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A7831C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019DCC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B46EDB2" w14:textId="77777777" w:rsidTr="00D11417">
        <w:trPr>
          <w:trHeight w:val="23"/>
        </w:trPr>
        <w:tc>
          <w:tcPr>
            <w:tcW w:w="706" w:type="dxa"/>
          </w:tcPr>
          <w:p w14:paraId="306080C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3382" w:type="dxa"/>
          </w:tcPr>
          <w:p w14:paraId="0138523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sąrašas motyvuotų atvejų, kai priimant sprendimus taikomos išimtys</w:t>
            </w:r>
          </w:p>
        </w:tc>
        <w:tc>
          <w:tcPr>
            <w:tcW w:w="3879" w:type="dxa"/>
          </w:tcPr>
          <w:p w14:paraId="68B7DE1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70D0738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07ECA61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CAC5BB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5020493" w14:textId="77777777" w:rsidTr="00D11417">
        <w:trPr>
          <w:trHeight w:val="23"/>
        </w:trPr>
        <w:tc>
          <w:tcPr>
            <w:tcW w:w="706" w:type="dxa"/>
          </w:tcPr>
          <w:p w14:paraId="0B198F5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3382" w:type="dxa"/>
          </w:tcPr>
          <w:p w14:paraId="6E9C057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sprendimų priėmimo, įforminimo tvarka ir priimtų sprendimų viešinimas</w:t>
            </w:r>
          </w:p>
        </w:tc>
        <w:tc>
          <w:tcPr>
            <w:tcW w:w="3879" w:type="dxa"/>
          </w:tcPr>
          <w:p w14:paraId="728AADC6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4D39756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059964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77E6316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39BB51F" w14:textId="77777777" w:rsidTr="00D11417">
        <w:trPr>
          <w:trHeight w:val="23"/>
        </w:trPr>
        <w:tc>
          <w:tcPr>
            <w:tcW w:w="706" w:type="dxa"/>
          </w:tcPr>
          <w:p w14:paraId="4976523E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3382" w:type="dxa"/>
          </w:tcPr>
          <w:p w14:paraId="5B3E025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sprendimų dėl mažareikšmiškumo priėmimo tvarka</w:t>
            </w:r>
          </w:p>
        </w:tc>
        <w:tc>
          <w:tcPr>
            <w:tcW w:w="3879" w:type="dxa"/>
          </w:tcPr>
          <w:p w14:paraId="74EDB4ED" w14:textId="77777777" w:rsidR="0099651C" w:rsidRPr="0099651C" w:rsidRDefault="0099651C" w:rsidP="009965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5E42CDB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43DA318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4ABF32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4ED4EEDC" w14:textId="77777777" w:rsidTr="00D11417">
        <w:trPr>
          <w:trHeight w:val="23"/>
        </w:trPr>
        <w:tc>
          <w:tcPr>
            <w:tcW w:w="706" w:type="dxa"/>
          </w:tcPr>
          <w:p w14:paraId="37804892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3382" w:type="dxa"/>
          </w:tcPr>
          <w:p w14:paraId="4F6CC88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14:paraId="1B54D0EF" w14:textId="77777777" w:rsidR="0099651C" w:rsidRPr="0099651C" w:rsidRDefault="0099651C" w:rsidP="0099651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lastRenderedPageBreak/>
              <w:t>9.1. konkretus narių skaičius, užtikrinantis kolegialaus sprendimus priimančio subjekto veiklos objektyvumą;</w:t>
            </w:r>
          </w:p>
          <w:p w14:paraId="1FE03306" w14:textId="77777777" w:rsidR="0099651C" w:rsidRPr="0099651C" w:rsidRDefault="0099651C" w:rsidP="0099651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77122A9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9.3</w:t>
            </w:r>
            <w:r w:rsidRPr="0099651C">
              <w:rPr>
                <w:rFonts w:ascii="Times New Roman" w:eastAsia="Times New Roman" w:hAnsi="Times New Roman" w:cs="Times New Roman"/>
                <w:spacing w:val="-4"/>
                <w:lang w:eastAsia="lt-LT"/>
              </w:rPr>
              <w:t>. narių skyrimo mechanizmas;</w:t>
            </w:r>
          </w:p>
          <w:p w14:paraId="0EF9ED8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9.4. narių rotacija ir kadencijų skaičius ir trukmė;</w:t>
            </w:r>
          </w:p>
          <w:p w14:paraId="25193C5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651C">
              <w:rPr>
                <w:rFonts w:ascii="Times New Roman" w:eastAsia="Times New Roman" w:hAnsi="Times New Roman" w:cs="Times New Roman"/>
              </w:rPr>
              <w:t>9.5. veiklos pobūdis laiko atžvilgiu;</w:t>
            </w:r>
          </w:p>
          <w:p w14:paraId="542BA9B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9.6. individuali narių atsakomybė</w:t>
            </w:r>
          </w:p>
        </w:tc>
        <w:tc>
          <w:tcPr>
            <w:tcW w:w="3879" w:type="dxa"/>
          </w:tcPr>
          <w:p w14:paraId="2A1ADDD3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Nereglamentuota. </w:t>
            </w:r>
          </w:p>
          <w:p w14:paraId="63BCA34B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56D1649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A0BCCD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71BF315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3023D1FB" w14:textId="77777777" w:rsidTr="00D11417">
        <w:trPr>
          <w:trHeight w:val="23"/>
        </w:trPr>
        <w:tc>
          <w:tcPr>
            <w:tcW w:w="706" w:type="dxa"/>
          </w:tcPr>
          <w:p w14:paraId="59DC4B5B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3382" w:type="dxa"/>
          </w:tcPr>
          <w:p w14:paraId="7343CF4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Teisės akto projekto nuostatoms įgyvendinti numatytos administracinės procedūros yra </w:t>
            </w:r>
            <w:r w:rsidRPr="0099651C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būtinos,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nustatyta išsami jų taikymo tvarka </w:t>
            </w:r>
          </w:p>
        </w:tc>
        <w:tc>
          <w:tcPr>
            <w:tcW w:w="3879" w:type="dxa"/>
          </w:tcPr>
          <w:p w14:paraId="0B74B6BC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1793043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E159B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1DFA8DE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FBA3DB5" w14:textId="77777777" w:rsidTr="00D11417">
        <w:trPr>
          <w:trHeight w:val="23"/>
        </w:trPr>
        <w:tc>
          <w:tcPr>
            <w:tcW w:w="706" w:type="dxa"/>
          </w:tcPr>
          <w:p w14:paraId="693B60F3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3382" w:type="dxa"/>
          </w:tcPr>
          <w:p w14:paraId="26033128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nustatytas baigtinis sąrašas motyvuotų atvejų, kai administracinė procedūra netaikoma</w:t>
            </w:r>
          </w:p>
        </w:tc>
        <w:tc>
          <w:tcPr>
            <w:tcW w:w="3879" w:type="dxa"/>
          </w:tcPr>
          <w:p w14:paraId="63818E11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Nereglamentuota. </w:t>
            </w:r>
          </w:p>
          <w:p w14:paraId="7C340767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730CE377" w14:textId="77777777" w:rsidR="0099651C" w:rsidRPr="0099651C" w:rsidRDefault="0099651C" w:rsidP="0099651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07F3F8B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CB5A651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3EAB00C9" w14:textId="77777777" w:rsidTr="00D11417">
        <w:trPr>
          <w:trHeight w:val="23"/>
        </w:trPr>
        <w:tc>
          <w:tcPr>
            <w:tcW w:w="706" w:type="dxa"/>
          </w:tcPr>
          <w:p w14:paraId="46DDF8C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3382" w:type="dxa"/>
          </w:tcPr>
          <w:p w14:paraId="4C9DFB0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Teisės akto projektas nustato jo nuostatoms įgyvendinti numatytų administracinių procedūrų ir 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sprendimo priėmimo konkrečius terminus</w:t>
            </w:r>
          </w:p>
        </w:tc>
        <w:tc>
          <w:tcPr>
            <w:tcW w:w="3879" w:type="dxa"/>
          </w:tcPr>
          <w:p w14:paraId="63B51F3A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Nereglamentuota.</w:t>
            </w:r>
          </w:p>
          <w:p w14:paraId="367BD76D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857" w:type="dxa"/>
          </w:tcPr>
          <w:p w14:paraId="480444E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6D3C5E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55D12E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ECCE422" w14:textId="77777777" w:rsidTr="00D11417">
        <w:trPr>
          <w:trHeight w:val="23"/>
        </w:trPr>
        <w:tc>
          <w:tcPr>
            <w:tcW w:w="706" w:type="dxa"/>
          </w:tcPr>
          <w:p w14:paraId="4149E2D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13.</w:t>
            </w:r>
          </w:p>
        </w:tc>
        <w:tc>
          <w:tcPr>
            <w:tcW w:w="3382" w:type="dxa"/>
          </w:tcPr>
          <w:p w14:paraId="4A8FC79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3879" w:type="dxa"/>
          </w:tcPr>
          <w:p w14:paraId="08E9C1C2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  <w:p w14:paraId="0ABADC4A" w14:textId="77777777" w:rsidR="0099651C" w:rsidRPr="0099651C" w:rsidRDefault="0099651C" w:rsidP="0099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lang w:eastAsia="lt-LT"/>
              </w:rPr>
            </w:pPr>
          </w:p>
        </w:tc>
        <w:tc>
          <w:tcPr>
            <w:tcW w:w="3857" w:type="dxa"/>
          </w:tcPr>
          <w:p w14:paraId="3DA1A7D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DB0122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6B6685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55A32A1D" w14:textId="77777777" w:rsidTr="00D11417">
        <w:trPr>
          <w:trHeight w:val="23"/>
        </w:trPr>
        <w:tc>
          <w:tcPr>
            <w:tcW w:w="706" w:type="dxa"/>
          </w:tcPr>
          <w:p w14:paraId="1558DE1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14.</w:t>
            </w:r>
          </w:p>
        </w:tc>
        <w:tc>
          <w:tcPr>
            <w:tcW w:w="3382" w:type="dxa"/>
          </w:tcPr>
          <w:p w14:paraId="0D4D0E5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administracinių procedūrų viešinimo tvarką</w:t>
            </w:r>
          </w:p>
        </w:tc>
        <w:tc>
          <w:tcPr>
            <w:tcW w:w="3879" w:type="dxa"/>
          </w:tcPr>
          <w:p w14:paraId="602D0935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3AC72706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0530D2D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D147A4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7E30108E" w14:textId="77777777" w:rsidTr="00D11417">
        <w:trPr>
          <w:trHeight w:val="23"/>
        </w:trPr>
        <w:tc>
          <w:tcPr>
            <w:tcW w:w="706" w:type="dxa"/>
          </w:tcPr>
          <w:p w14:paraId="6F938934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15.</w:t>
            </w:r>
          </w:p>
        </w:tc>
        <w:tc>
          <w:tcPr>
            <w:tcW w:w="3382" w:type="dxa"/>
          </w:tcPr>
          <w:p w14:paraId="0A037499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79" w:type="dxa"/>
          </w:tcPr>
          <w:p w14:paraId="419CC9DA" w14:textId="084BE2E0" w:rsidR="0099651C" w:rsidRPr="0099651C" w:rsidRDefault="00C4554E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</w:t>
            </w: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ontrolės (priežiūros) procedūrą ir aiškius jos atlikimo kriterijus (atvejus, dažnį, fiksavimą, kontrolės rezultatų viešinimą ir panašiai)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reglamentuoja kiti teisės aktai.</w:t>
            </w:r>
          </w:p>
        </w:tc>
        <w:tc>
          <w:tcPr>
            <w:tcW w:w="3857" w:type="dxa"/>
          </w:tcPr>
          <w:p w14:paraId="36F899D8" w14:textId="77777777" w:rsidR="0099651C" w:rsidRPr="0099651C" w:rsidRDefault="0099651C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A32D1A6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0AA1D9E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181155A4" w14:textId="77777777" w:rsidTr="00D11417">
        <w:trPr>
          <w:trHeight w:val="23"/>
        </w:trPr>
        <w:tc>
          <w:tcPr>
            <w:tcW w:w="706" w:type="dxa"/>
          </w:tcPr>
          <w:p w14:paraId="14F821E8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16.</w:t>
            </w:r>
          </w:p>
        </w:tc>
        <w:tc>
          <w:tcPr>
            <w:tcW w:w="3382" w:type="dxa"/>
          </w:tcPr>
          <w:p w14:paraId="0E3980C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nustatytos kontrolės (priežiūros) skaidrumo ir objektyvumo užtikrinimo priemonės</w:t>
            </w:r>
            <w:r w:rsidRPr="0099651C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879" w:type="dxa"/>
          </w:tcPr>
          <w:p w14:paraId="4F0CF375" w14:textId="11297DFD" w:rsidR="0099651C" w:rsidRPr="0099651C" w:rsidRDefault="00C4554E" w:rsidP="0099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</w:t>
            </w:r>
            <w:r w:rsidR="00380B87" w:rsidRPr="0099651C">
              <w:rPr>
                <w:rFonts w:ascii="Times New Roman" w:eastAsia="Times New Roman" w:hAnsi="Times New Roman" w:cs="Times New Roman"/>
                <w:lang w:eastAsia="lt-LT"/>
              </w:rPr>
              <w:t>ontrolės (priežiūros) skaidrumo ir objektyvumo užtikrinimo priemonės</w:t>
            </w:r>
            <w:r w:rsidR="00380B87">
              <w:rPr>
                <w:rFonts w:ascii="Times New Roman" w:eastAsia="Times New Roman" w:hAnsi="Times New Roman" w:cs="Times New Roman"/>
                <w:lang w:eastAsia="lt-LT"/>
              </w:rPr>
              <w:t xml:space="preserve"> nustatytos kituose teisės aktuose.</w:t>
            </w:r>
          </w:p>
        </w:tc>
        <w:tc>
          <w:tcPr>
            <w:tcW w:w="3857" w:type="dxa"/>
          </w:tcPr>
          <w:p w14:paraId="3EE4A1B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641C33D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28FD4A1F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0AF8B12E" w14:textId="77777777" w:rsidTr="00D11417">
        <w:trPr>
          <w:trHeight w:val="23"/>
        </w:trPr>
        <w:tc>
          <w:tcPr>
            <w:tcW w:w="706" w:type="dxa"/>
          </w:tcPr>
          <w:p w14:paraId="6C0F27E7" w14:textId="77777777" w:rsidR="0099651C" w:rsidRPr="0099651C" w:rsidRDefault="0099651C" w:rsidP="009965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17.</w:t>
            </w:r>
          </w:p>
        </w:tc>
        <w:tc>
          <w:tcPr>
            <w:tcW w:w="3382" w:type="dxa"/>
          </w:tcPr>
          <w:p w14:paraId="1C7AB305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79" w:type="dxa"/>
          </w:tcPr>
          <w:p w14:paraId="2A328216" w14:textId="77777777" w:rsidR="0099651C" w:rsidRPr="0099651C" w:rsidRDefault="0099651C" w:rsidP="0099651C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Subjektų, su kuriais susijęs Projekto nuostatų įgyvendinimas, atsakomybę nustato kiti teisės aktai.</w:t>
            </w:r>
          </w:p>
        </w:tc>
        <w:tc>
          <w:tcPr>
            <w:tcW w:w="3857" w:type="dxa"/>
          </w:tcPr>
          <w:p w14:paraId="6EB55377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3D4FF564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3F85CC3A" w14:textId="77777777" w:rsidR="0099651C" w:rsidRPr="0099651C" w:rsidRDefault="0099651C" w:rsidP="0099651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13F7E4F" w14:textId="77777777" w:rsidTr="00D11417">
        <w:trPr>
          <w:trHeight w:val="23"/>
        </w:trPr>
        <w:tc>
          <w:tcPr>
            <w:tcW w:w="706" w:type="dxa"/>
          </w:tcPr>
          <w:p w14:paraId="01B1D89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18.</w:t>
            </w:r>
          </w:p>
        </w:tc>
        <w:tc>
          <w:tcPr>
            <w:tcW w:w="3382" w:type="dxa"/>
          </w:tcPr>
          <w:p w14:paraId="1ECF49D7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79" w:type="dxa"/>
          </w:tcPr>
          <w:p w14:paraId="115071EF" w14:textId="77777777" w:rsidR="0099651C" w:rsidRPr="0099651C" w:rsidRDefault="0099651C" w:rsidP="0099651C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Nereglamentuota.</w:t>
            </w:r>
          </w:p>
        </w:tc>
        <w:tc>
          <w:tcPr>
            <w:tcW w:w="3857" w:type="dxa"/>
          </w:tcPr>
          <w:p w14:paraId="562FAA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7DABDD30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4551769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  <w:tr w:rsidR="0099651C" w:rsidRPr="0099651C" w14:paraId="6C3E7967" w14:textId="77777777" w:rsidTr="00D11417">
        <w:trPr>
          <w:trHeight w:val="23"/>
        </w:trPr>
        <w:tc>
          <w:tcPr>
            <w:tcW w:w="706" w:type="dxa"/>
          </w:tcPr>
          <w:p w14:paraId="5BDD756A" w14:textId="77777777" w:rsidR="0099651C" w:rsidRPr="0099651C" w:rsidRDefault="0099651C" w:rsidP="0099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19.</w:t>
            </w:r>
          </w:p>
        </w:tc>
        <w:tc>
          <w:tcPr>
            <w:tcW w:w="3382" w:type="dxa"/>
          </w:tcPr>
          <w:p w14:paraId="59EE3FB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Kiti svarbūs kriterijai</w:t>
            </w:r>
          </w:p>
        </w:tc>
        <w:tc>
          <w:tcPr>
            <w:tcW w:w="3879" w:type="dxa"/>
          </w:tcPr>
          <w:p w14:paraId="24104CDE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Nėra.</w:t>
            </w:r>
          </w:p>
        </w:tc>
        <w:tc>
          <w:tcPr>
            <w:tcW w:w="3857" w:type="dxa"/>
          </w:tcPr>
          <w:p w14:paraId="2061A94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85" w:type="dxa"/>
          </w:tcPr>
          <w:p w14:paraId="5DA6FCD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tenkina</w:t>
            </w:r>
          </w:p>
          <w:p w14:paraId="6A3E1F2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□ netenkina</w:t>
            </w:r>
          </w:p>
        </w:tc>
      </w:tr>
    </w:tbl>
    <w:p w14:paraId="33C45AE1" w14:textId="77777777" w:rsidR="0099651C" w:rsidRPr="0099651C" w:rsidRDefault="0099651C" w:rsidP="0099651C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444"/>
        <w:gridCol w:w="4741"/>
        <w:gridCol w:w="2422"/>
        <w:gridCol w:w="4912"/>
      </w:tblGrid>
      <w:tr w:rsidR="0099651C" w:rsidRPr="0099651C" w14:paraId="0D724968" w14:textId="77777777" w:rsidTr="00D11417">
        <w:trPr>
          <w:trHeight w:val="517"/>
        </w:trPr>
        <w:tc>
          <w:tcPr>
            <w:tcW w:w="2457" w:type="dxa"/>
          </w:tcPr>
          <w:p w14:paraId="0EDF4A53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27330ACD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6C321A3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255FBD" w14:textId="05FEFB72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Susisiekimo ministerijos Kelių ir oro transporto politikos grupės vyresnysis patarėjas </w:t>
            </w:r>
            <w:r w:rsidR="009749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Sergėjus Volkovas</w:t>
            </w: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9D6BDE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E3F7A5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2434" w:type="dxa"/>
          </w:tcPr>
          <w:p w14:paraId="34454362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6036D00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31D79D0C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37B09C8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Susisiekimo ministerijos </w:t>
            </w:r>
            <w:r w:rsidRPr="0099651C">
              <w:rPr>
                <w:rFonts w:ascii="Times New Roman" w:eastAsia="Times New Roman" w:hAnsi="Times New Roman" w:cs="Times New Roman"/>
                <w:sz w:val="24"/>
                <w:lang w:eastAsia="lt-LT"/>
              </w:rPr>
              <w:t>Teisės ir personalo skyriaus patarėjas Liutauras Šlajus</w:t>
            </w:r>
          </w:p>
        </w:tc>
      </w:tr>
      <w:tr w:rsidR="0099651C" w:rsidRPr="0099651C" w14:paraId="0B0417A9" w14:textId="77777777" w:rsidTr="00D11417">
        <w:trPr>
          <w:trHeight w:val="23"/>
        </w:trPr>
        <w:tc>
          <w:tcPr>
            <w:tcW w:w="2457" w:type="dxa"/>
          </w:tcPr>
          <w:p w14:paraId="7476C424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</w:tcPr>
          <w:p w14:paraId="0B4F7D1C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</w:tcPr>
          <w:p w14:paraId="037F6189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8CD6763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(pareigos)                                      (vardas ir pavardė)</w:t>
            </w:r>
          </w:p>
        </w:tc>
      </w:tr>
      <w:tr w:rsidR="0099651C" w:rsidRPr="0099651C" w14:paraId="552F3387" w14:textId="77777777" w:rsidTr="00D11417">
        <w:trPr>
          <w:trHeight w:val="23"/>
        </w:trPr>
        <w:tc>
          <w:tcPr>
            <w:tcW w:w="2457" w:type="dxa"/>
          </w:tcPr>
          <w:p w14:paraId="370C67F1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71FC4F3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  <w:p w14:paraId="7777891B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2434" w:type="dxa"/>
          </w:tcPr>
          <w:p w14:paraId="3FD3BD88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</w:tcPr>
          <w:p w14:paraId="391AD376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</w:tr>
      <w:tr w:rsidR="0099651C" w:rsidRPr="0099651C" w14:paraId="2F795FCD" w14:textId="77777777" w:rsidTr="00D11417">
        <w:trPr>
          <w:trHeight w:val="23"/>
        </w:trPr>
        <w:tc>
          <w:tcPr>
            <w:tcW w:w="2457" w:type="dxa"/>
          </w:tcPr>
          <w:p w14:paraId="0ED89DD5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773" w:type="dxa"/>
          </w:tcPr>
          <w:p w14:paraId="272BBB6A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>(parašas)                                      (data)</w:t>
            </w:r>
          </w:p>
        </w:tc>
        <w:tc>
          <w:tcPr>
            <w:tcW w:w="2434" w:type="dxa"/>
          </w:tcPr>
          <w:p w14:paraId="53C18C7A" w14:textId="77777777" w:rsidR="0099651C" w:rsidRPr="0099651C" w:rsidRDefault="0099651C" w:rsidP="0099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336FC49" w14:textId="77777777" w:rsidR="0099651C" w:rsidRPr="0099651C" w:rsidRDefault="0099651C" w:rsidP="0099651C">
            <w:pPr>
              <w:spacing w:after="0" w:line="240" w:lineRule="auto"/>
              <w:ind w:left="-11" w:firstLine="11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99651C">
              <w:rPr>
                <w:rFonts w:ascii="Times New Roman" w:eastAsia="Times New Roman" w:hAnsi="Times New Roman" w:cs="Times New Roman"/>
                <w:lang w:eastAsia="lt-LT"/>
              </w:rPr>
              <w:t xml:space="preserve"> (parašas)                                                     (data)</w:t>
            </w:r>
          </w:p>
        </w:tc>
      </w:tr>
    </w:tbl>
    <w:p w14:paraId="7C818DF4" w14:textId="428717D8" w:rsidR="00C851C5" w:rsidRPr="00537135" w:rsidRDefault="0099651C" w:rsidP="00537135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</w:pPr>
      <w:r w:rsidRPr="0099651C">
        <w:rPr>
          <w:rFonts w:ascii="Times New Roman" w:eastAsia="Times New Roman" w:hAnsi="Times New Roman" w:cs="Times New Roman"/>
          <w:color w:val="000000"/>
          <w:sz w:val="24"/>
          <w:szCs w:val="20"/>
          <w:lang w:eastAsia="lt-LT"/>
        </w:rPr>
        <w:t>––––––––––––––––––––</w:t>
      </w:r>
    </w:p>
    <w:sectPr w:rsidR="00C851C5" w:rsidRPr="00537135" w:rsidSect="00DD7B53">
      <w:headerReference w:type="even" r:id="rId6"/>
      <w:headerReference w:type="default" r:id="rId7"/>
      <w:pgSz w:w="16838" w:h="11906" w:orient="landscape" w:code="9"/>
      <w:pgMar w:top="851" w:right="1077" w:bottom="127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44BF" w14:textId="77777777" w:rsidR="00B33EC6" w:rsidRDefault="00B33EC6" w:rsidP="0099651C">
      <w:pPr>
        <w:spacing w:after="0" w:line="240" w:lineRule="auto"/>
      </w:pPr>
      <w:r>
        <w:separator/>
      </w:r>
    </w:p>
  </w:endnote>
  <w:endnote w:type="continuationSeparator" w:id="0">
    <w:p w14:paraId="629F647A" w14:textId="77777777" w:rsidR="00B33EC6" w:rsidRDefault="00B33EC6" w:rsidP="0099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1BBF" w14:textId="77777777" w:rsidR="00B33EC6" w:rsidRDefault="00B33EC6" w:rsidP="0099651C">
      <w:pPr>
        <w:spacing w:after="0" w:line="240" w:lineRule="auto"/>
      </w:pPr>
      <w:r>
        <w:separator/>
      </w:r>
    </w:p>
  </w:footnote>
  <w:footnote w:type="continuationSeparator" w:id="0">
    <w:p w14:paraId="2BCC1281" w14:textId="77777777" w:rsidR="00B33EC6" w:rsidRDefault="00B33EC6" w:rsidP="0099651C">
      <w:pPr>
        <w:spacing w:after="0" w:line="240" w:lineRule="auto"/>
      </w:pPr>
      <w:r>
        <w:continuationSeparator/>
      </w:r>
    </w:p>
  </w:footnote>
  <w:footnote w:id="1">
    <w:p w14:paraId="1CF96664" w14:textId="77777777" w:rsidR="0099651C" w:rsidRDefault="0099651C" w:rsidP="0099651C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CAB2" w14:textId="77777777" w:rsidR="000962CF" w:rsidRDefault="00CA007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1C344" w14:textId="77777777" w:rsidR="000962CF" w:rsidRDefault="001870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C381" w14:textId="77777777" w:rsidR="000962CF" w:rsidRDefault="00CA0074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846D958" w14:textId="77777777" w:rsidR="000962CF" w:rsidRDefault="001870DF">
    <w:pPr>
      <w:pStyle w:val="Antrats"/>
    </w:pPr>
  </w:p>
  <w:p w14:paraId="310CE8A0" w14:textId="77777777" w:rsidR="000962CF" w:rsidRDefault="001870DF" w:rsidP="004A0AD8">
    <w:pPr>
      <w:pStyle w:val="Antrats"/>
      <w:jc w:val="center"/>
    </w:pPr>
  </w:p>
  <w:p w14:paraId="57450BEE" w14:textId="77777777" w:rsidR="000962CF" w:rsidRDefault="001870DF" w:rsidP="004A0AD8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C"/>
    <w:rsid w:val="000C4E86"/>
    <w:rsid w:val="002213B2"/>
    <w:rsid w:val="00273467"/>
    <w:rsid w:val="00380B87"/>
    <w:rsid w:val="003E2ABF"/>
    <w:rsid w:val="004A2493"/>
    <w:rsid w:val="00537135"/>
    <w:rsid w:val="0069436A"/>
    <w:rsid w:val="006C3AA0"/>
    <w:rsid w:val="00733129"/>
    <w:rsid w:val="00870A7E"/>
    <w:rsid w:val="0089009A"/>
    <w:rsid w:val="009749A0"/>
    <w:rsid w:val="0099651C"/>
    <w:rsid w:val="00A60924"/>
    <w:rsid w:val="00A703FC"/>
    <w:rsid w:val="00B33EC6"/>
    <w:rsid w:val="00C42187"/>
    <w:rsid w:val="00C4554E"/>
    <w:rsid w:val="00C851C5"/>
    <w:rsid w:val="00CA0074"/>
    <w:rsid w:val="00CB0150"/>
    <w:rsid w:val="00DD7B53"/>
    <w:rsid w:val="00F676F0"/>
    <w:rsid w:val="00F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C13E"/>
  <w15:chartTrackingRefBased/>
  <w15:docId w15:val="{7E0284A1-3F15-46A3-A975-70A20491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96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9651C"/>
  </w:style>
  <w:style w:type="character" w:styleId="Puslapionumeris">
    <w:name w:val="page number"/>
    <w:basedOn w:val="Numatytasispastraiposriftas"/>
    <w:uiPriority w:val="99"/>
    <w:rsid w:val="0099651C"/>
    <w:rPr>
      <w:rFonts w:cs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96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965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99651C"/>
    <w:rPr>
      <w:rFonts w:cs="Times New Roman"/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2021-09-15T12:33:00Z</dcterms:created>
  <dc:creator>Liutauras Šlajus</dc:creator>
  <cp:lastModifiedBy>Sergėjus Volkovas</cp:lastModifiedBy>
  <dcterms:modified xsi:type="dcterms:W3CDTF">2021-09-15T12:33:00Z</dcterms:modified>
  <cp:revision>2</cp:revision>
</cp:coreProperties>
</file>