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98" w:rsidRPr="00AC7855" w:rsidRDefault="00BC2B98" w:rsidP="00BC2B98">
      <w:pPr>
        <w:jc w:val="both"/>
        <w:rPr>
          <w:b/>
          <w:bCs/>
        </w:rPr>
      </w:pPr>
      <w:r w:rsidRPr="00AC7855">
        <w:rPr>
          <w:b/>
          <w:bCs/>
        </w:rPr>
        <w:t>TEISĖS AKT</w:t>
      </w:r>
      <w:r w:rsidR="00765784" w:rsidRPr="00AC7855">
        <w:rPr>
          <w:b/>
          <w:bCs/>
        </w:rPr>
        <w:t>O</w:t>
      </w:r>
      <w:r w:rsidRPr="00AC7855">
        <w:rPr>
          <w:b/>
          <w:bCs/>
        </w:rPr>
        <w:t xml:space="preserve"> PROJEKT</w:t>
      </w:r>
      <w:r w:rsidR="00765784" w:rsidRPr="00AC7855">
        <w:rPr>
          <w:b/>
          <w:bCs/>
        </w:rPr>
        <w:t>O</w:t>
      </w:r>
      <w:r w:rsidRPr="00AC7855">
        <w:rPr>
          <w:b/>
          <w:bCs/>
        </w:rPr>
        <w:t xml:space="preserve"> </w:t>
      </w:r>
      <w:r w:rsidR="009B0912">
        <w:rPr>
          <w:b/>
          <w:bCs/>
        </w:rPr>
        <w:t xml:space="preserve">PAKARTOTINIO </w:t>
      </w:r>
      <w:r w:rsidRPr="00AC7855">
        <w:rPr>
          <w:b/>
          <w:bCs/>
        </w:rPr>
        <w:t>ANTIKORUPCINIO VERTINIMO PAŽYMA</w:t>
      </w:r>
    </w:p>
    <w:p w:rsidR="00BC2B98" w:rsidRPr="00AC7855" w:rsidRDefault="00BC2B98" w:rsidP="00BC2B98">
      <w:pPr>
        <w:jc w:val="both"/>
        <w:rPr>
          <w:sz w:val="22"/>
          <w:szCs w:val="22"/>
        </w:rPr>
      </w:pPr>
    </w:p>
    <w:p w:rsidR="00BC2B98" w:rsidRPr="00AC7855" w:rsidRDefault="00BC2B98" w:rsidP="000A7A10">
      <w:pPr>
        <w:jc w:val="both"/>
        <w:rPr>
          <w:b/>
          <w:sz w:val="22"/>
          <w:szCs w:val="22"/>
        </w:rPr>
      </w:pPr>
      <w:r w:rsidRPr="00AC7855">
        <w:rPr>
          <w:b/>
          <w:sz w:val="22"/>
          <w:szCs w:val="22"/>
        </w:rPr>
        <w:t>Teisės akto projekto pavadinimas:</w:t>
      </w:r>
    </w:p>
    <w:p w:rsidR="00BC2B98" w:rsidRPr="00AC7855" w:rsidRDefault="00BC2B98" w:rsidP="000A7A10">
      <w:pPr>
        <w:jc w:val="both"/>
        <w:rPr>
          <w:sz w:val="22"/>
          <w:szCs w:val="22"/>
        </w:rPr>
      </w:pPr>
      <w:r w:rsidRPr="00AC7855">
        <w:rPr>
          <w:sz w:val="22"/>
          <w:szCs w:val="22"/>
        </w:rPr>
        <w:t>Lietuvos Respublikos Vyriausybės nutarim</w:t>
      </w:r>
      <w:r w:rsidR="00765784" w:rsidRPr="00AC7855">
        <w:rPr>
          <w:sz w:val="22"/>
          <w:szCs w:val="22"/>
        </w:rPr>
        <w:t>o</w:t>
      </w:r>
      <w:r w:rsidRPr="00AC7855">
        <w:rPr>
          <w:sz w:val="22"/>
          <w:szCs w:val="22"/>
        </w:rPr>
        <w:t xml:space="preserve"> „Dėl Lietuvos Respublikos Vyriausybės </w:t>
      </w:r>
      <w:r w:rsidR="00D021B7" w:rsidRPr="00AC7855">
        <w:rPr>
          <w:sz w:val="22"/>
          <w:szCs w:val="22"/>
        </w:rPr>
        <w:t>20</w:t>
      </w:r>
      <w:r w:rsidR="00D021B7">
        <w:rPr>
          <w:sz w:val="22"/>
          <w:szCs w:val="22"/>
        </w:rPr>
        <w:t>14</w:t>
      </w:r>
      <w:r w:rsidR="00D021B7" w:rsidRPr="00AC7855">
        <w:rPr>
          <w:sz w:val="22"/>
          <w:szCs w:val="22"/>
        </w:rPr>
        <w:t xml:space="preserve"> </w:t>
      </w:r>
      <w:r w:rsidRPr="00AC7855">
        <w:rPr>
          <w:sz w:val="22"/>
          <w:szCs w:val="22"/>
        </w:rPr>
        <w:t xml:space="preserve">m. </w:t>
      </w:r>
      <w:r w:rsidR="00D021B7">
        <w:rPr>
          <w:sz w:val="22"/>
          <w:szCs w:val="22"/>
        </w:rPr>
        <w:t xml:space="preserve">spalio </w:t>
      </w:r>
      <w:r w:rsidRPr="00AC7855">
        <w:rPr>
          <w:sz w:val="22"/>
          <w:szCs w:val="22"/>
        </w:rPr>
        <w:t xml:space="preserve">3 d. nutarimo Nr. </w:t>
      </w:r>
      <w:r w:rsidR="00D021B7">
        <w:rPr>
          <w:sz w:val="22"/>
          <w:szCs w:val="22"/>
        </w:rPr>
        <w:t>1090</w:t>
      </w:r>
      <w:r w:rsidR="00D021B7" w:rsidRPr="00AC7855">
        <w:rPr>
          <w:sz w:val="22"/>
          <w:szCs w:val="22"/>
        </w:rPr>
        <w:t xml:space="preserve"> </w:t>
      </w:r>
      <w:r w:rsidRPr="00C95ED6">
        <w:rPr>
          <w:sz w:val="22"/>
          <w:szCs w:val="22"/>
        </w:rPr>
        <w:t>„</w:t>
      </w:r>
      <w:r w:rsidR="006A3E76">
        <w:rPr>
          <w:sz w:val="22"/>
          <w:szCs w:val="22"/>
        </w:rPr>
        <w:t xml:space="preserve">Dėl </w:t>
      </w:r>
      <w:r w:rsidR="00D021B7" w:rsidRPr="00C95ED6">
        <w:rPr>
          <w:color w:val="000000" w:themeColor="text1"/>
          <w:sz w:val="22"/>
          <w:szCs w:val="22"/>
        </w:rPr>
        <w:t>2014–2020 metų Europos Sąjungos fondų investicijų veiksmų programos administravimo taisyklių</w:t>
      </w:r>
      <w:r w:rsidR="006A3E76">
        <w:rPr>
          <w:color w:val="000000" w:themeColor="text1"/>
          <w:sz w:val="22"/>
          <w:szCs w:val="22"/>
        </w:rPr>
        <w:t xml:space="preserve"> patvirtinimo</w:t>
      </w:r>
      <w:proofErr w:type="gramStart"/>
      <w:r w:rsidRPr="00C95ED6">
        <w:rPr>
          <w:sz w:val="22"/>
          <w:szCs w:val="22"/>
        </w:rPr>
        <w:t>“ pakeitimo“</w:t>
      </w:r>
      <w:proofErr w:type="gramEnd"/>
      <w:r w:rsidRPr="00C95ED6">
        <w:rPr>
          <w:sz w:val="22"/>
          <w:szCs w:val="22"/>
        </w:rPr>
        <w:t xml:space="preserve"> projektas (toliau – Nutarimo projektas).</w:t>
      </w:r>
    </w:p>
    <w:p w:rsidR="00BC2B98" w:rsidRPr="00AC7855" w:rsidRDefault="00BC2B98" w:rsidP="000A7A10">
      <w:pPr>
        <w:jc w:val="both"/>
        <w:rPr>
          <w:sz w:val="22"/>
          <w:szCs w:val="22"/>
        </w:rPr>
      </w:pPr>
      <w:r w:rsidRPr="00AC7855">
        <w:rPr>
          <w:b/>
          <w:sz w:val="22"/>
          <w:szCs w:val="22"/>
        </w:rPr>
        <w:t>Teisės akto projekto tiesioginis rengėjas</w:t>
      </w:r>
      <w:r w:rsidRPr="00AC7855">
        <w:rPr>
          <w:sz w:val="22"/>
          <w:szCs w:val="22"/>
        </w:rPr>
        <w:t xml:space="preserve">: Lietuvos Respublikos finansų ministerijos </w:t>
      </w:r>
      <w:r w:rsidR="00FA23FE">
        <w:rPr>
          <w:sz w:val="22"/>
          <w:szCs w:val="22"/>
        </w:rPr>
        <w:t xml:space="preserve">Investicijų </w:t>
      </w:r>
      <w:r w:rsidRPr="00AC7855">
        <w:rPr>
          <w:sz w:val="22"/>
          <w:szCs w:val="22"/>
        </w:rPr>
        <w:t xml:space="preserve">departamento </w:t>
      </w:r>
      <w:r w:rsidR="00FA23FE">
        <w:rPr>
          <w:sz w:val="22"/>
          <w:szCs w:val="22"/>
        </w:rPr>
        <w:t xml:space="preserve">Kokybės užtikrinimo </w:t>
      </w:r>
      <w:r w:rsidRPr="00AC7855">
        <w:rPr>
          <w:sz w:val="22"/>
          <w:szCs w:val="22"/>
        </w:rPr>
        <w:t>skyriaus patarėja Laimutė Žukauskienė</w:t>
      </w:r>
    </w:p>
    <w:p w:rsidR="00BC2B98" w:rsidRPr="00AC7855" w:rsidRDefault="00BC2B98" w:rsidP="000A7A10">
      <w:pPr>
        <w:jc w:val="both"/>
        <w:rPr>
          <w:sz w:val="22"/>
          <w:szCs w:val="22"/>
        </w:rPr>
      </w:pPr>
      <w:r w:rsidRPr="00AC7855">
        <w:rPr>
          <w:b/>
          <w:sz w:val="22"/>
          <w:szCs w:val="22"/>
        </w:rPr>
        <w:t>Antikorupciniu požiūriu rizikingos teisės akto projekto nuostatos</w:t>
      </w:r>
      <w:r w:rsidRPr="00AC7855">
        <w:rPr>
          <w:sz w:val="22"/>
          <w:szCs w:val="22"/>
        </w:rPr>
        <w:t>: nenustatyta</w:t>
      </w:r>
    </w:p>
    <w:p w:rsidR="00D5128C" w:rsidRPr="00BE6276" w:rsidRDefault="00BC2B98" w:rsidP="000A7A10">
      <w:pPr>
        <w:jc w:val="both"/>
        <w:rPr>
          <w:sz w:val="22"/>
          <w:szCs w:val="22"/>
        </w:rPr>
      </w:pPr>
      <w:r w:rsidRPr="00AC7855">
        <w:rPr>
          <w:b/>
          <w:bCs/>
          <w:sz w:val="22"/>
          <w:szCs w:val="22"/>
        </w:rPr>
        <w:t xml:space="preserve">Antikorupciniu požiūriu rizikingos teisės akto projekto nuostatos, identifikuotos antikorupcinio vertinimo po </w:t>
      </w:r>
      <w:proofErr w:type="spellStart"/>
      <w:r w:rsidRPr="00AC7855">
        <w:rPr>
          <w:b/>
          <w:bCs/>
          <w:sz w:val="22"/>
          <w:szCs w:val="22"/>
        </w:rPr>
        <w:t>tarpinstitucinio</w:t>
      </w:r>
      <w:proofErr w:type="spellEnd"/>
      <w:r w:rsidRPr="00AC7855">
        <w:rPr>
          <w:b/>
          <w:bCs/>
          <w:sz w:val="22"/>
          <w:szCs w:val="22"/>
        </w:rPr>
        <w:t xml:space="preserve"> derinimo metu</w:t>
      </w:r>
      <w:r w:rsidRPr="00BE6276">
        <w:rPr>
          <w:bCs/>
          <w:sz w:val="22"/>
          <w:szCs w:val="22"/>
        </w:rPr>
        <w:t>:</w:t>
      </w:r>
      <w:r w:rsidR="00BE6276" w:rsidRPr="00BE6276">
        <w:rPr>
          <w:bCs/>
          <w:sz w:val="22"/>
          <w:szCs w:val="22"/>
        </w:rPr>
        <w:t xml:space="preserve"> nenustatyta</w:t>
      </w:r>
    </w:p>
    <w:tbl>
      <w:tblPr>
        <w:tblW w:w="15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1912"/>
        <w:gridCol w:w="1512"/>
        <w:gridCol w:w="2694"/>
        <w:gridCol w:w="3026"/>
        <w:gridCol w:w="450"/>
        <w:gridCol w:w="2335"/>
        <w:gridCol w:w="2693"/>
        <w:gridCol w:w="309"/>
      </w:tblGrid>
      <w:tr w:rsidR="00BC2B98" w:rsidRPr="00AC7855" w:rsidTr="00FA7E34">
        <w:trPr>
          <w:gridAfter w:val="1"/>
          <w:wAfter w:w="309" w:type="dxa"/>
          <w:trHeight w:val="23"/>
          <w:tblHeader/>
        </w:trPr>
        <w:tc>
          <w:tcPr>
            <w:tcW w:w="545" w:type="dxa"/>
            <w:vAlign w:val="center"/>
          </w:tcPr>
          <w:p w:rsidR="00BC2B98" w:rsidRPr="00AC7855" w:rsidRDefault="00BC2B98" w:rsidP="00D021B7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Eil. Nr.</w:t>
            </w:r>
          </w:p>
        </w:tc>
        <w:tc>
          <w:tcPr>
            <w:tcW w:w="3424" w:type="dxa"/>
            <w:gridSpan w:val="2"/>
            <w:vAlign w:val="center"/>
          </w:tcPr>
          <w:p w:rsidR="00BC2B98" w:rsidRPr="00AC7855" w:rsidRDefault="00BC2B98" w:rsidP="00DA5E88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Kriterijus</w:t>
            </w:r>
          </w:p>
        </w:tc>
        <w:tc>
          <w:tcPr>
            <w:tcW w:w="5720" w:type="dxa"/>
            <w:gridSpan w:val="2"/>
            <w:vAlign w:val="center"/>
          </w:tcPr>
          <w:p w:rsidR="00BC2B98" w:rsidRPr="00AC7855" w:rsidRDefault="00BC2B98" w:rsidP="00DA5E88">
            <w:pPr>
              <w:jc w:val="center"/>
              <w:rPr>
                <w:b/>
                <w:bCs/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785" w:type="dxa"/>
            <w:gridSpan w:val="2"/>
            <w:vAlign w:val="center"/>
          </w:tcPr>
          <w:p w:rsidR="00BC2B98" w:rsidRPr="00AC7855" w:rsidRDefault="00BC2B98" w:rsidP="00DA5E88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93" w:type="dxa"/>
            <w:vAlign w:val="center"/>
          </w:tcPr>
          <w:p w:rsidR="00BC2B98" w:rsidRPr="00AC7855" w:rsidRDefault="00BC2B98" w:rsidP="00DA5E88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720" w:type="dxa"/>
            <w:gridSpan w:val="2"/>
            <w:vAlign w:val="center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0"/>
                <w:szCs w:val="20"/>
              </w:rPr>
            </w:pPr>
            <w:r w:rsidRPr="00AC7855">
              <w:rPr>
                <w:i/>
                <w:iCs/>
                <w:sz w:val="20"/>
                <w:szCs w:val="20"/>
              </w:rPr>
              <w:t>pildo teisės akto projekto vertintojas</w:t>
            </w:r>
          </w:p>
        </w:tc>
        <w:tc>
          <w:tcPr>
            <w:tcW w:w="2785" w:type="dxa"/>
            <w:gridSpan w:val="2"/>
            <w:vAlign w:val="center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0"/>
                <w:szCs w:val="20"/>
              </w:rPr>
            </w:pPr>
            <w:r w:rsidRPr="00AC7855">
              <w:rPr>
                <w:i/>
                <w:iCs/>
                <w:sz w:val="20"/>
                <w:szCs w:val="20"/>
              </w:rPr>
              <w:t>pildo teisės akto projekto tiesioginis rengėjas</w:t>
            </w:r>
          </w:p>
        </w:tc>
        <w:tc>
          <w:tcPr>
            <w:tcW w:w="2693" w:type="dxa"/>
            <w:vAlign w:val="center"/>
          </w:tcPr>
          <w:p w:rsidR="00BC2B98" w:rsidRPr="00AC7855" w:rsidRDefault="00BC2B98" w:rsidP="00D021B7">
            <w:pPr>
              <w:jc w:val="center"/>
              <w:rPr>
                <w:i/>
                <w:iCs/>
                <w:sz w:val="20"/>
                <w:szCs w:val="20"/>
              </w:rPr>
            </w:pPr>
            <w:r w:rsidRPr="00AC7855">
              <w:rPr>
                <w:i/>
                <w:iCs/>
                <w:sz w:val="20"/>
                <w:szCs w:val="20"/>
              </w:rPr>
              <w:t>pildo teisės akto projekto vertintojas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5720" w:type="dxa"/>
            <w:gridSpan w:val="2"/>
          </w:tcPr>
          <w:p w:rsidR="00BC2B98" w:rsidRPr="005263CF" w:rsidRDefault="00BC2B98" w:rsidP="00D021B7">
            <w:pPr>
              <w:pStyle w:val="Komentarotekstas"/>
              <w:jc w:val="both"/>
              <w:rPr>
                <w:sz w:val="22"/>
                <w:szCs w:val="22"/>
                <w:lang w:val="lt-LT"/>
              </w:rPr>
            </w:pPr>
            <w:r w:rsidRPr="005263CF">
              <w:rPr>
                <w:sz w:val="22"/>
                <w:szCs w:val="22"/>
                <w:lang w:val="lt-LT"/>
              </w:rPr>
              <w:t>Nutarimo projektas nesudaro išskirtinių ar nevienodų sąlygų subjektams, su kuriais susijęs teisės akt</w:t>
            </w:r>
            <w:r w:rsidR="006A3E76" w:rsidRPr="005263CF">
              <w:rPr>
                <w:sz w:val="22"/>
                <w:szCs w:val="22"/>
                <w:lang w:val="lt-LT"/>
              </w:rPr>
              <w:t>o</w:t>
            </w:r>
            <w:r w:rsidRPr="005263CF">
              <w:rPr>
                <w:sz w:val="22"/>
                <w:szCs w:val="22"/>
                <w:lang w:val="lt-LT"/>
              </w:rPr>
              <w:t xml:space="preserve"> įgyvendinimas.</w:t>
            </w:r>
          </w:p>
          <w:p w:rsidR="00D5128C" w:rsidRPr="005263CF" w:rsidRDefault="00BC2B98" w:rsidP="0034136F">
            <w:pPr>
              <w:jc w:val="both"/>
              <w:rPr>
                <w:sz w:val="22"/>
                <w:szCs w:val="22"/>
              </w:rPr>
            </w:pPr>
            <w:r w:rsidRPr="005263CF">
              <w:rPr>
                <w:sz w:val="22"/>
                <w:szCs w:val="22"/>
                <w:u w:val="single"/>
              </w:rPr>
              <w:t>Pagrindini</w:t>
            </w:r>
            <w:r w:rsidR="00AF7929" w:rsidRPr="005263CF">
              <w:rPr>
                <w:sz w:val="22"/>
                <w:szCs w:val="22"/>
                <w:u w:val="single"/>
              </w:rPr>
              <w:t>s</w:t>
            </w:r>
            <w:r w:rsidRPr="005263CF">
              <w:rPr>
                <w:sz w:val="22"/>
                <w:szCs w:val="22"/>
                <w:u w:val="single"/>
              </w:rPr>
              <w:t xml:space="preserve"> Nutarimo projekto tiksla</w:t>
            </w:r>
            <w:r w:rsidR="00AF7929" w:rsidRPr="005263CF">
              <w:rPr>
                <w:sz w:val="22"/>
                <w:szCs w:val="22"/>
                <w:u w:val="single"/>
              </w:rPr>
              <w:t xml:space="preserve">s </w:t>
            </w:r>
            <w:r w:rsidR="00AF7929" w:rsidRPr="005263CF">
              <w:rPr>
                <w:sz w:val="22"/>
                <w:szCs w:val="22"/>
              </w:rPr>
              <w:t xml:space="preserve">– sudaryti sąlygas </w:t>
            </w:r>
            <w:r w:rsidR="0026034D">
              <w:rPr>
                <w:sz w:val="22"/>
                <w:szCs w:val="22"/>
              </w:rPr>
              <w:t xml:space="preserve">pradėti </w:t>
            </w:r>
            <w:r w:rsidR="00AF7929" w:rsidRPr="005263CF">
              <w:rPr>
                <w:sz w:val="22"/>
                <w:szCs w:val="22"/>
              </w:rPr>
              <w:t xml:space="preserve">projektų, planuojamų finansuoti </w:t>
            </w:r>
            <w:r w:rsidR="009B0912" w:rsidRPr="00805CBB">
              <w:rPr>
                <w:sz w:val="22"/>
                <w:szCs w:val="22"/>
              </w:rPr>
              <w:t>iniciatyvos REACT</w:t>
            </w:r>
            <w:proofErr w:type="gramStart"/>
            <w:r w:rsidR="009B0912" w:rsidRPr="00805CBB">
              <w:rPr>
                <w:sz w:val="22"/>
                <w:szCs w:val="22"/>
              </w:rPr>
              <w:t>-</w:t>
            </w:r>
            <w:proofErr w:type="gramEnd"/>
            <w:r w:rsidR="009B0912" w:rsidRPr="00805CBB">
              <w:rPr>
                <w:sz w:val="22"/>
                <w:szCs w:val="22"/>
              </w:rPr>
              <w:t>EU</w:t>
            </w:r>
            <w:r w:rsidR="009B0912" w:rsidRPr="00805CBB">
              <w:rPr>
                <w:rStyle w:val="Puslapioinaosnuoroda"/>
                <w:sz w:val="22"/>
                <w:szCs w:val="22"/>
              </w:rPr>
              <w:footnoteReference w:id="1"/>
            </w:r>
            <w:r w:rsidR="009B0912" w:rsidRPr="00805CBB">
              <w:rPr>
                <w:sz w:val="22"/>
                <w:szCs w:val="22"/>
              </w:rPr>
              <w:t xml:space="preserve"> lėšomis</w:t>
            </w:r>
            <w:r w:rsidR="00AF7929" w:rsidRPr="005263CF">
              <w:rPr>
                <w:sz w:val="22"/>
                <w:szCs w:val="22"/>
              </w:rPr>
              <w:t xml:space="preserve">, skiriamomis </w:t>
            </w:r>
            <w:r w:rsidR="00AF7929" w:rsidRPr="005263CF">
              <w:rPr>
                <w:color w:val="000000" w:themeColor="text1"/>
                <w:sz w:val="22"/>
                <w:szCs w:val="22"/>
              </w:rPr>
              <w:t>2014–2020 metų Europos Sąjungos fondų investicijų veiksmų programos</w:t>
            </w:r>
            <w:r w:rsidR="00280D22" w:rsidRPr="005263CF">
              <w:rPr>
                <w:color w:val="000000" w:themeColor="text1"/>
                <w:sz w:val="22"/>
                <w:szCs w:val="22"/>
              </w:rPr>
              <w:t xml:space="preserve"> (toliau </w:t>
            </w:r>
            <w:r w:rsidR="00280D22" w:rsidRPr="005263CF">
              <w:rPr>
                <w:sz w:val="22"/>
                <w:szCs w:val="22"/>
              </w:rPr>
              <w:t>– veiksmų programa)</w:t>
            </w:r>
            <w:r w:rsidR="00AF7929" w:rsidRPr="005263CF">
              <w:rPr>
                <w:color w:val="000000" w:themeColor="text1"/>
                <w:sz w:val="22"/>
                <w:szCs w:val="22"/>
              </w:rPr>
              <w:t xml:space="preserve"> 13 prioritetui „</w:t>
            </w:r>
            <w:r w:rsidR="00AF7929" w:rsidRPr="005263CF">
              <w:rPr>
                <w:sz w:val="22"/>
                <w:szCs w:val="22"/>
              </w:rPr>
              <w:t xml:space="preserve">Veiksmų, skirtų COVID-19 pandemijos sukeltai krizei įveikti, skatinimas ir pasirengimas </w:t>
            </w:r>
            <w:r w:rsidR="007A0085">
              <w:rPr>
                <w:sz w:val="22"/>
                <w:szCs w:val="22"/>
              </w:rPr>
              <w:t>aplinką tausojančiam</w:t>
            </w:r>
            <w:r w:rsidR="00AF7929" w:rsidRPr="005263CF">
              <w:rPr>
                <w:sz w:val="22"/>
                <w:szCs w:val="22"/>
              </w:rPr>
              <w:t xml:space="preserve">, skaitmeniniam ir </w:t>
            </w:r>
            <w:r w:rsidR="007A0085">
              <w:rPr>
                <w:sz w:val="22"/>
                <w:szCs w:val="22"/>
              </w:rPr>
              <w:t>tvariam</w:t>
            </w:r>
            <w:r w:rsidR="007A0085" w:rsidRPr="005263CF">
              <w:rPr>
                <w:sz w:val="22"/>
                <w:szCs w:val="22"/>
              </w:rPr>
              <w:t xml:space="preserve"> </w:t>
            </w:r>
            <w:r w:rsidR="00AF7929" w:rsidRPr="005263CF">
              <w:rPr>
                <w:sz w:val="22"/>
                <w:szCs w:val="22"/>
              </w:rPr>
              <w:t>ekonomikos atgaivinimui“ (toliau – 13 prioritetas)</w:t>
            </w:r>
            <w:r w:rsidR="005263CF" w:rsidRPr="005263CF">
              <w:rPr>
                <w:sz w:val="22"/>
                <w:szCs w:val="22"/>
              </w:rPr>
              <w:t xml:space="preserve"> ir </w:t>
            </w:r>
            <w:r w:rsidR="005263CF" w:rsidRPr="0026034D">
              <w:rPr>
                <w:sz w:val="22"/>
                <w:szCs w:val="22"/>
              </w:rPr>
              <w:t xml:space="preserve">14 prioritetui „Veiksmų, skirtų COVID-19 pandemijos sukeltai krizei įveikti, skatinimas, siekiant didinti užimtumą ir socialinę </w:t>
            </w:r>
            <w:proofErr w:type="spellStart"/>
            <w:r w:rsidR="005263CF" w:rsidRPr="0026034D">
              <w:rPr>
                <w:sz w:val="22"/>
                <w:szCs w:val="22"/>
              </w:rPr>
              <w:t>įtrauktį</w:t>
            </w:r>
            <w:proofErr w:type="spellEnd"/>
            <w:r w:rsidR="005263CF" w:rsidRPr="0026034D">
              <w:rPr>
                <w:sz w:val="22"/>
                <w:szCs w:val="22"/>
              </w:rPr>
              <w:t>“ (toliau – 14 prioritetas) įgyvendinti</w:t>
            </w:r>
            <w:r w:rsidR="00AF7929" w:rsidRPr="005263CF">
              <w:rPr>
                <w:sz w:val="22"/>
                <w:szCs w:val="22"/>
              </w:rPr>
              <w:t xml:space="preserve">, </w:t>
            </w:r>
            <w:r w:rsidR="00280D22" w:rsidRPr="005263CF">
              <w:rPr>
                <w:sz w:val="22"/>
                <w:szCs w:val="22"/>
              </w:rPr>
              <w:t>atranką ir įgyvendinimą</w:t>
            </w:r>
            <w:r w:rsidR="005263CF" w:rsidRPr="005263CF">
              <w:rPr>
                <w:sz w:val="22"/>
                <w:szCs w:val="22"/>
              </w:rPr>
              <w:t xml:space="preserve"> kaip galima anksčiau</w:t>
            </w:r>
            <w:r w:rsidR="000B2FE6" w:rsidRPr="005263CF">
              <w:rPr>
                <w:sz w:val="22"/>
                <w:szCs w:val="22"/>
              </w:rPr>
              <w:t>:</w:t>
            </w:r>
          </w:p>
          <w:p w:rsidR="008D493D" w:rsidRPr="005263CF" w:rsidRDefault="0034136F" w:rsidP="008D493D">
            <w:pPr>
              <w:tabs>
                <w:tab w:val="left" w:pos="709"/>
              </w:tabs>
              <w:ind w:firstLine="318"/>
              <w:jc w:val="both"/>
              <w:rPr>
                <w:rFonts w:eastAsia="Calibri"/>
                <w:sz w:val="22"/>
                <w:szCs w:val="22"/>
              </w:rPr>
            </w:pPr>
            <w:r w:rsidRPr="0026034D">
              <w:rPr>
                <w:sz w:val="22"/>
                <w:szCs w:val="22"/>
              </w:rPr>
              <w:t>1.</w:t>
            </w:r>
            <w:r w:rsidR="0044495C" w:rsidRPr="0026034D">
              <w:rPr>
                <w:sz w:val="22"/>
                <w:szCs w:val="22"/>
              </w:rPr>
              <w:t xml:space="preserve"> </w:t>
            </w:r>
            <w:r w:rsidR="008D493D" w:rsidRPr="0026034D">
              <w:rPr>
                <w:rFonts w:eastAsia="Calibri"/>
                <w:sz w:val="22"/>
                <w:szCs w:val="22"/>
              </w:rPr>
              <w:t xml:space="preserve">Veiksmų programos </w:t>
            </w:r>
            <w:proofErr w:type="spellStart"/>
            <w:r w:rsidR="008D493D" w:rsidRPr="0026034D">
              <w:rPr>
                <w:rFonts w:eastAsia="Calibri"/>
                <w:sz w:val="22"/>
                <w:szCs w:val="22"/>
              </w:rPr>
              <w:t>stebėsenos</w:t>
            </w:r>
            <w:proofErr w:type="spellEnd"/>
            <w:r w:rsidR="008D493D" w:rsidRPr="0026034D">
              <w:rPr>
                <w:rFonts w:eastAsia="Calibri"/>
                <w:sz w:val="22"/>
                <w:szCs w:val="22"/>
              </w:rPr>
              <w:t xml:space="preserve"> komitetui pritarus veiksmų programos pakeitimui ir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patvirtinus pagal veiksmų </w:t>
            </w:r>
            <w:r w:rsidR="008D493D" w:rsidRPr="00A469F6">
              <w:rPr>
                <w:rFonts w:eastAsia="Calibri"/>
                <w:sz w:val="22"/>
                <w:szCs w:val="22"/>
              </w:rPr>
              <w:lastRenderedPageBreak/>
              <w:t xml:space="preserve">programos 13 </w:t>
            </w:r>
            <w:r w:rsidR="005263CF">
              <w:rPr>
                <w:rFonts w:eastAsia="Calibri"/>
                <w:sz w:val="22"/>
                <w:szCs w:val="22"/>
              </w:rPr>
              <w:t xml:space="preserve">ir 14 </w:t>
            </w:r>
            <w:r w:rsidR="008D493D" w:rsidRPr="00A469F6">
              <w:rPr>
                <w:rFonts w:eastAsia="Calibri"/>
                <w:sz w:val="22"/>
                <w:szCs w:val="22"/>
              </w:rPr>
              <w:t>prioritet</w:t>
            </w:r>
            <w:r w:rsidR="005263CF">
              <w:rPr>
                <w:rFonts w:eastAsia="Calibri"/>
                <w:sz w:val="22"/>
                <w:szCs w:val="22"/>
              </w:rPr>
              <w:t>ų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</w:t>
            </w:r>
            <w:r w:rsidR="008D493D" w:rsidRPr="00C8492C">
              <w:rPr>
                <w:rFonts w:eastAsia="Calibri"/>
                <w:sz w:val="22"/>
                <w:szCs w:val="22"/>
              </w:rPr>
              <w:t>veiklas taikytinus projektų atrankos kriterijus, veiksmų programos 13</w:t>
            </w:r>
            <w:r w:rsidR="005263CF">
              <w:rPr>
                <w:rFonts w:eastAsia="Calibri"/>
                <w:sz w:val="22"/>
                <w:szCs w:val="22"/>
              </w:rPr>
              <w:t xml:space="preserve"> ir 14</w:t>
            </w:r>
            <w:r w:rsidR="008D493D" w:rsidRPr="00C8492C">
              <w:rPr>
                <w:rFonts w:eastAsia="Calibri"/>
                <w:sz w:val="22"/>
                <w:szCs w:val="22"/>
              </w:rPr>
              <w:t xml:space="preserve"> prioritet</w:t>
            </w:r>
            <w:r w:rsidR="005263CF">
              <w:rPr>
                <w:rFonts w:eastAsia="Calibri"/>
                <w:sz w:val="22"/>
                <w:szCs w:val="22"/>
              </w:rPr>
              <w:t>ų</w:t>
            </w:r>
            <w:r w:rsidR="008D493D" w:rsidRPr="00C8492C">
              <w:rPr>
                <w:rFonts w:eastAsia="Calibri"/>
                <w:sz w:val="22"/>
                <w:szCs w:val="22"/>
              </w:rPr>
              <w:t xml:space="preserve"> priemonių įgyvendinimo planai, projektų finansavimo sąlygų aprašai ir kiti kvietimo teikti paraiškas dokumentai gali būti tvirtinami po to, kai vadovaujančioji institucija </w:t>
            </w:r>
            <w:r w:rsidR="00903642" w:rsidRPr="009B560B">
              <w:rPr>
                <w:sz w:val="22"/>
                <w:szCs w:val="22"/>
              </w:rPr>
              <w:t>2014–2020 metų Europos Sąjungos fondų investicijų veiksmų programos administravimo</w:t>
            </w:r>
            <w:r w:rsidR="00903642" w:rsidRPr="00C8492C" w:rsidDel="00903642">
              <w:rPr>
                <w:rFonts w:eastAsia="Calibri"/>
                <w:sz w:val="22"/>
                <w:szCs w:val="22"/>
              </w:rPr>
              <w:t xml:space="preserve"> </w:t>
            </w:r>
            <w:r w:rsidR="00903642" w:rsidRPr="00C8492C">
              <w:rPr>
                <w:rFonts w:eastAsia="Calibri"/>
                <w:sz w:val="22"/>
                <w:szCs w:val="22"/>
              </w:rPr>
              <w:t>taisyklių</w:t>
            </w:r>
            <w:r w:rsidR="00903642" w:rsidRPr="00C8492C">
              <w:rPr>
                <w:rStyle w:val="Puslapioinaosnuoroda"/>
                <w:rFonts w:eastAsia="Calibri"/>
                <w:sz w:val="22"/>
                <w:szCs w:val="22"/>
              </w:rPr>
              <w:footnoteReference w:id="2"/>
            </w:r>
            <w:r w:rsidR="008D493D" w:rsidRPr="00C8492C">
              <w:rPr>
                <w:rFonts w:eastAsia="Calibri"/>
                <w:sz w:val="22"/>
                <w:szCs w:val="22"/>
              </w:rPr>
              <w:t xml:space="preserve"> 53.3 </w:t>
            </w:r>
            <w:r w:rsidR="008D493D" w:rsidRPr="005263CF">
              <w:rPr>
                <w:rFonts w:eastAsia="Calibri"/>
                <w:sz w:val="22"/>
                <w:szCs w:val="22"/>
              </w:rPr>
              <w:t>papunktyje nustatyta tvarka oficialiai kreip</w:t>
            </w:r>
            <w:r w:rsidR="009B560B" w:rsidRPr="005263CF">
              <w:rPr>
                <w:rFonts w:eastAsia="Calibri"/>
                <w:sz w:val="22"/>
                <w:szCs w:val="22"/>
              </w:rPr>
              <w:t>iasi</w:t>
            </w:r>
            <w:r w:rsidR="008D493D" w:rsidRPr="005263CF">
              <w:rPr>
                <w:rFonts w:eastAsia="Calibri"/>
                <w:sz w:val="22"/>
                <w:szCs w:val="22"/>
              </w:rPr>
              <w:t xml:space="preserve"> į E</w:t>
            </w:r>
            <w:r w:rsidR="005263CF" w:rsidRPr="005263CF">
              <w:rPr>
                <w:rFonts w:eastAsia="Calibri"/>
                <w:sz w:val="22"/>
                <w:szCs w:val="22"/>
              </w:rPr>
              <w:t xml:space="preserve">uropos </w:t>
            </w:r>
            <w:r w:rsidR="008D493D" w:rsidRPr="0026034D">
              <w:rPr>
                <w:rFonts w:eastAsia="Calibri"/>
                <w:sz w:val="22"/>
                <w:szCs w:val="22"/>
              </w:rPr>
              <w:t>K</w:t>
            </w:r>
            <w:r w:rsidR="005263CF" w:rsidRPr="0026034D">
              <w:rPr>
                <w:rFonts w:eastAsia="Calibri"/>
                <w:sz w:val="22"/>
                <w:szCs w:val="22"/>
              </w:rPr>
              <w:t xml:space="preserve">omisiją (toliau </w:t>
            </w:r>
            <w:r w:rsidR="005263CF" w:rsidRPr="0026034D">
              <w:rPr>
                <w:sz w:val="22"/>
                <w:szCs w:val="22"/>
              </w:rPr>
              <w:t>– EK)</w:t>
            </w:r>
            <w:r w:rsidR="008D493D" w:rsidRPr="0026034D">
              <w:rPr>
                <w:rFonts w:eastAsia="Calibri"/>
                <w:sz w:val="22"/>
                <w:szCs w:val="22"/>
              </w:rPr>
              <w:t xml:space="preserve"> dėl veiksmų programos pakeitimo</w:t>
            </w:r>
            <w:r w:rsidR="005263CF" w:rsidRPr="0026034D">
              <w:rPr>
                <w:rFonts w:eastAsia="Calibri"/>
                <w:sz w:val="22"/>
                <w:szCs w:val="22"/>
              </w:rPr>
              <w:t>, tačiau įsigalioja ne anksčiau, nei gaunamas EK pritarimas veiksmų programos pakeitimui (papildymui 13 ir 14 prioritetais)</w:t>
            </w:r>
            <w:r w:rsidR="008D493D" w:rsidRPr="005263CF">
              <w:rPr>
                <w:rFonts w:eastAsia="Calibri"/>
                <w:sz w:val="22"/>
                <w:szCs w:val="22"/>
              </w:rPr>
              <w:t>.</w:t>
            </w:r>
          </w:p>
          <w:p w:rsidR="008D493D" w:rsidRPr="00A469F6" w:rsidRDefault="008D493D" w:rsidP="008D493D">
            <w:pPr>
              <w:pStyle w:val="Sraopastraipa"/>
              <w:numPr>
                <w:ilvl w:val="0"/>
                <w:numId w:val="3"/>
              </w:numPr>
              <w:tabs>
                <w:tab w:val="left" w:pos="317"/>
              </w:tabs>
              <w:ind w:left="33" w:hanging="1778"/>
              <w:contextualSpacing/>
              <w:jc w:val="both"/>
              <w:rPr>
                <w:sz w:val="22"/>
                <w:szCs w:val="22"/>
              </w:rPr>
            </w:pPr>
            <w:r w:rsidRPr="00160CCE">
              <w:rPr>
                <w:rFonts w:eastAsia="Calibri"/>
                <w:szCs w:val="24"/>
              </w:rPr>
              <w:tab/>
            </w:r>
            <w:r w:rsidRPr="00A469F6">
              <w:rPr>
                <w:rFonts w:eastAsia="Calibri"/>
                <w:sz w:val="22"/>
                <w:szCs w:val="22"/>
              </w:rPr>
              <w:t>Gavus EK pritarimą veiksmų programos pakeitim</w:t>
            </w:r>
            <w:r w:rsidR="00374849">
              <w:rPr>
                <w:rFonts w:eastAsia="Calibri"/>
                <w:sz w:val="22"/>
                <w:szCs w:val="22"/>
              </w:rPr>
              <w:t>ui</w:t>
            </w:r>
            <w:r w:rsidRPr="00A469F6">
              <w:rPr>
                <w:rFonts w:eastAsia="Calibri"/>
                <w:sz w:val="22"/>
                <w:szCs w:val="22"/>
              </w:rPr>
              <w:t xml:space="preserve">, 13 </w:t>
            </w:r>
            <w:r w:rsidR="005263CF">
              <w:rPr>
                <w:rFonts w:eastAsia="Calibri"/>
                <w:sz w:val="22"/>
                <w:szCs w:val="22"/>
              </w:rPr>
              <w:t xml:space="preserve">ir 14 </w:t>
            </w:r>
            <w:r w:rsidRPr="00A469F6">
              <w:rPr>
                <w:rFonts w:eastAsia="Calibri"/>
                <w:sz w:val="22"/>
                <w:szCs w:val="22"/>
              </w:rPr>
              <w:t>prioritet</w:t>
            </w:r>
            <w:r w:rsidR="005263CF">
              <w:rPr>
                <w:rFonts w:eastAsia="Calibri"/>
                <w:sz w:val="22"/>
                <w:szCs w:val="22"/>
              </w:rPr>
              <w:t>ų</w:t>
            </w:r>
            <w:r w:rsidRPr="00A469F6">
              <w:rPr>
                <w:rFonts w:eastAsia="Calibri"/>
                <w:sz w:val="22"/>
                <w:szCs w:val="22"/>
              </w:rPr>
              <w:t xml:space="preserve"> priemonių</w:t>
            </w:r>
            <w:r w:rsidR="00A13DD1">
              <w:rPr>
                <w:rFonts w:eastAsia="Calibri"/>
                <w:sz w:val="22"/>
                <w:szCs w:val="22"/>
              </w:rPr>
              <w:t xml:space="preserve"> </w:t>
            </w:r>
            <w:r w:rsidRPr="00A469F6">
              <w:rPr>
                <w:rFonts w:eastAsia="Calibri"/>
                <w:sz w:val="22"/>
                <w:szCs w:val="22"/>
              </w:rPr>
              <w:t>kvietimo teikti paraiškas dokumentai tur</w:t>
            </w:r>
            <w:r w:rsidR="00374849">
              <w:rPr>
                <w:rFonts w:eastAsia="Calibri"/>
                <w:sz w:val="22"/>
                <w:szCs w:val="22"/>
              </w:rPr>
              <w:t>ės</w:t>
            </w:r>
            <w:r w:rsidRPr="00A469F6">
              <w:rPr>
                <w:rFonts w:eastAsia="Calibri"/>
                <w:sz w:val="22"/>
                <w:szCs w:val="22"/>
              </w:rPr>
              <w:t xml:space="preserve"> būti peržiūrėti ir</w:t>
            </w:r>
            <w:r w:rsidR="004C53EE">
              <w:rPr>
                <w:rFonts w:eastAsia="Calibri"/>
                <w:sz w:val="22"/>
                <w:szCs w:val="22"/>
              </w:rPr>
              <w:t xml:space="preserve"> prireikus </w:t>
            </w:r>
            <w:r w:rsidRPr="00A469F6">
              <w:rPr>
                <w:rFonts w:eastAsia="Calibri"/>
                <w:sz w:val="22"/>
                <w:szCs w:val="22"/>
              </w:rPr>
              <w:t>patikslinti</w:t>
            </w:r>
            <w:r w:rsidR="00374849">
              <w:rPr>
                <w:rFonts w:eastAsia="Calibri"/>
                <w:sz w:val="22"/>
                <w:szCs w:val="22"/>
              </w:rPr>
              <w:t xml:space="preserve"> ar parengti nauji</w:t>
            </w:r>
            <w:r w:rsidRPr="00A469F6">
              <w:rPr>
                <w:rFonts w:eastAsia="Calibri"/>
                <w:sz w:val="22"/>
                <w:szCs w:val="22"/>
              </w:rPr>
              <w:t>, jeigu kei</w:t>
            </w:r>
            <w:r w:rsidR="00374849">
              <w:rPr>
                <w:rFonts w:eastAsia="Calibri"/>
                <w:sz w:val="22"/>
                <w:szCs w:val="22"/>
              </w:rPr>
              <w:t>sis</w:t>
            </w:r>
            <w:r w:rsidRPr="00A469F6">
              <w:rPr>
                <w:rFonts w:eastAsia="Calibri"/>
                <w:sz w:val="22"/>
                <w:szCs w:val="22"/>
              </w:rPr>
              <w:t xml:space="preserve"> 13</w:t>
            </w:r>
            <w:r w:rsidR="005263CF">
              <w:rPr>
                <w:rFonts w:eastAsia="Calibri"/>
                <w:sz w:val="22"/>
                <w:szCs w:val="22"/>
              </w:rPr>
              <w:t xml:space="preserve"> ir 14 </w:t>
            </w:r>
            <w:r w:rsidRPr="00A469F6">
              <w:rPr>
                <w:rFonts w:eastAsia="Calibri"/>
                <w:sz w:val="22"/>
                <w:szCs w:val="22"/>
              </w:rPr>
              <w:t>prioritet</w:t>
            </w:r>
            <w:r w:rsidR="005263CF">
              <w:rPr>
                <w:rFonts w:eastAsia="Calibri"/>
                <w:sz w:val="22"/>
                <w:szCs w:val="22"/>
              </w:rPr>
              <w:t>ų</w:t>
            </w:r>
            <w:r w:rsidRPr="00A469F6">
              <w:rPr>
                <w:rFonts w:eastAsia="Calibri"/>
                <w:sz w:val="22"/>
                <w:szCs w:val="22"/>
              </w:rPr>
              <w:t xml:space="preserve"> veikloms keliami reikalavimai.</w:t>
            </w:r>
          </w:p>
          <w:p w:rsidR="00BC2B98" w:rsidRPr="0044495C" w:rsidRDefault="00FA23FE" w:rsidP="00C16EFD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2. </w:t>
            </w:r>
            <w:r w:rsidR="008D493D" w:rsidRPr="00A469F6">
              <w:rPr>
                <w:rFonts w:eastAsia="Calibri"/>
                <w:sz w:val="22"/>
                <w:szCs w:val="22"/>
              </w:rPr>
              <w:t>Veiksmų programos 13</w:t>
            </w:r>
            <w:r w:rsidR="005263CF">
              <w:rPr>
                <w:rFonts w:eastAsia="Calibri"/>
                <w:sz w:val="22"/>
                <w:szCs w:val="22"/>
              </w:rPr>
              <w:t xml:space="preserve"> ir 14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prioritet</w:t>
            </w:r>
            <w:r w:rsidR="005263CF">
              <w:rPr>
                <w:rFonts w:eastAsia="Calibri"/>
                <w:sz w:val="22"/>
                <w:szCs w:val="22"/>
              </w:rPr>
              <w:t>ų</w:t>
            </w:r>
            <w:r w:rsidR="0026034D">
              <w:rPr>
                <w:rFonts w:eastAsia="Calibri"/>
                <w:sz w:val="22"/>
                <w:szCs w:val="22"/>
              </w:rPr>
              <w:t xml:space="preserve"> priemonių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</w:t>
            </w:r>
            <w:r w:rsidR="00424761">
              <w:rPr>
                <w:rFonts w:eastAsia="Calibri"/>
                <w:sz w:val="22"/>
                <w:szCs w:val="22"/>
              </w:rPr>
              <w:t>projektų atrankos kriterijais, projektų finansavimo sąlygų apraš</w:t>
            </w:r>
            <w:r w:rsidR="0026034D">
              <w:rPr>
                <w:rFonts w:eastAsia="Calibri"/>
                <w:sz w:val="22"/>
                <w:szCs w:val="22"/>
              </w:rPr>
              <w:t>ais</w:t>
            </w:r>
            <w:r w:rsidR="00424761">
              <w:rPr>
                <w:rFonts w:eastAsia="Calibri"/>
                <w:sz w:val="22"/>
                <w:szCs w:val="22"/>
              </w:rPr>
              <w:t xml:space="preserve">, kitais </w:t>
            </w:r>
            <w:r w:rsidR="008D493D" w:rsidRPr="00A469F6">
              <w:rPr>
                <w:rFonts w:eastAsia="Calibri"/>
                <w:sz w:val="22"/>
                <w:szCs w:val="22"/>
              </w:rPr>
              <w:t>kvietimo teikti paraiškas dokumentais ir pagal</w:t>
            </w:r>
            <w:r w:rsidR="00424761">
              <w:rPr>
                <w:rFonts w:eastAsia="Calibri"/>
                <w:sz w:val="22"/>
                <w:szCs w:val="22"/>
              </w:rPr>
              <w:t xml:space="preserve"> </w:t>
            </w:r>
            <w:r w:rsidR="00EF4F2C">
              <w:rPr>
                <w:rFonts w:eastAsia="Calibri"/>
                <w:sz w:val="22"/>
                <w:szCs w:val="22"/>
              </w:rPr>
              <w:t>v</w:t>
            </w:r>
            <w:r w:rsidR="00424761">
              <w:rPr>
                <w:rFonts w:eastAsia="Calibri"/>
                <w:sz w:val="22"/>
                <w:szCs w:val="22"/>
              </w:rPr>
              <w:t xml:space="preserve">eiksmų programos 13 </w:t>
            </w:r>
            <w:r w:rsidR="00EF4F2C">
              <w:rPr>
                <w:rFonts w:eastAsia="Calibri"/>
                <w:sz w:val="22"/>
                <w:szCs w:val="22"/>
              </w:rPr>
              <w:t xml:space="preserve">ir 14 </w:t>
            </w:r>
            <w:r w:rsidR="00424761">
              <w:rPr>
                <w:rFonts w:eastAsia="Calibri"/>
                <w:sz w:val="22"/>
                <w:szCs w:val="22"/>
              </w:rPr>
              <w:t>prioritet</w:t>
            </w:r>
            <w:r w:rsidR="00EF4F2C">
              <w:rPr>
                <w:rFonts w:eastAsia="Calibri"/>
                <w:sz w:val="22"/>
                <w:szCs w:val="22"/>
              </w:rPr>
              <w:t>ų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priemon</w:t>
            </w:r>
            <w:r w:rsidR="00EF4F2C">
              <w:rPr>
                <w:rFonts w:eastAsia="Calibri"/>
                <w:sz w:val="22"/>
                <w:szCs w:val="22"/>
              </w:rPr>
              <w:t>es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atrinktais projektais gali būti laikomi kit</w:t>
            </w:r>
            <w:r w:rsidR="00BD5645">
              <w:rPr>
                <w:rFonts w:eastAsia="Calibri"/>
                <w:sz w:val="22"/>
                <w:szCs w:val="22"/>
              </w:rPr>
              <w:t>ų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veiksmų programos prioritet</w:t>
            </w:r>
            <w:r w:rsidR="00BD5645">
              <w:rPr>
                <w:rFonts w:eastAsia="Calibri"/>
                <w:sz w:val="22"/>
                <w:szCs w:val="22"/>
              </w:rPr>
              <w:t>ų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priemon</w:t>
            </w:r>
            <w:r w:rsidR="00BD5645">
              <w:rPr>
                <w:rFonts w:eastAsia="Calibri"/>
                <w:sz w:val="22"/>
                <w:szCs w:val="22"/>
              </w:rPr>
              <w:t>ių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</w:t>
            </w:r>
            <w:r w:rsidR="009B6161">
              <w:rPr>
                <w:rFonts w:eastAsia="Calibri"/>
                <w:sz w:val="22"/>
                <w:szCs w:val="22"/>
              </w:rPr>
              <w:t>projektų atrankos kriterijai, projektų finansavimo sąlygų apraša</w:t>
            </w:r>
            <w:r w:rsidR="00BD5645">
              <w:rPr>
                <w:rFonts w:eastAsia="Calibri"/>
                <w:sz w:val="22"/>
                <w:szCs w:val="22"/>
              </w:rPr>
              <w:t>i</w:t>
            </w:r>
            <w:r w:rsidR="009B6161">
              <w:rPr>
                <w:rFonts w:eastAsia="Calibri"/>
                <w:sz w:val="22"/>
                <w:szCs w:val="22"/>
              </w:rPr>
              <w:t xml:space="preserve">, kiti 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kvietimo teikti paraiškas dokumentai ir pagal </w:t>
            </w:r>
            <w:r w:rsidR="009B6161">
              <w:rPr>
                <w:rFonts w:eastAsia="Calibri"/>
                <w:sz w:val="22"/>
                <w:szCs w:val="22"/>
              </w:rPr>
              <w:t xml:space="preserve">šiuos dokumentus </w:t>
            </w:r>
            <w:r w:rsidR="008D493D" w:rsidRPr="00A469F6">
              <w:rPr>
                <w:rFonts w:eastAsia="Calibri"/>
                <w:sz w:val="22"/>
                <w:szCs w:val="22"/>
              </w:rPr>
              <w:t>atrinkti projektai po to, kai EK pritar</w:t>
            </w:r>
            <w:r w:rsidR="009B6161">
              <w:rPr>
                <w:rFonts w:eastAsia="Calibri"/>
                <w:sz w:val="22"/>
                <w:szCs w:val="22"/>
              </w:rPr>
              <w:t>ia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veiksmų programos pakeitimui, Vyriausybė pakei</w:t>
            </w:r>
            <w:r w:rsidR="009B6161">
              <w:rPr>
                <w:rFonts w:eastAsia="Calibri"/>
                <w:sz w:val="22"/>
                <w:szCs w:val="22"/>
              </w:rPr>
              <w:t>čia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 veiksmų programos priedą</w:t>
            </w:r>
            <w:r w:rsidR="008D493D" w:rsidRPr="00A469F6">
              <w:rPr>
                <w:rStyle w:val="Puslapioinaosnuoroda"/>
                <w:rFonts w:eastAsia="Calibri"/>
                <w:sz w:val="22"/>
                <w:szCs w:val="22"/>
              </w:rPr>
              <w:footnoteReference w:id="3"/>
            </w:r>
            <w:r w:rsidR="008D493D" w:rsidRPr="00A469F6">
              <w:rPr>
                <w:rFonts w:eastAsia="Calibri"/>
                <w:sz w:val="22"/>
                <w:szCs w:val="22"/>
              </w:rPr>
              <w:t>,</w:t>
            </w:r>
            <w:r w:rsidR="008D493D">
              <w:rPr>
                <w:rFonts w:eastAsia="Calibri"/>
              </w:rPr>
              <w:t xml:space="preserve"> </w:t>
            </w:r>
            <w:r w:rsidR="008D493D" w:rsidRPr="00A469F6">
              <w:rPr>
                <w:rFonts w:eastAsia="Calibri"/>
                <w:sz w:val="22"/>
                <w:szCs w:val="22"/>
              </w:rPr>
              <w:t xml:space="preserve">ministerija </w:t>
            </w:r>
            <w:r w:rsidR="00C16EFD">
              <w:rPr>
                <w:rFonts w:eastAsia="Calibri"/>
                <w:sz w:val="22"/>
                <w:szCs w:val="22"/>
              </w:rPr>
              <w:t xml:space="preserve">patvirtina priemonių įgyvendinimo planus ir Veiksmų programos </w:t>
            </w:r>
            <w:proofErr w:type="spellStart"/>
            <w:r w:rsidR="00C16EFD">
              <w:rPr>
                <w:rFonts w:eastAsia="Calibri"/>
                <w:sz w:val="22"/>
                <w:szCs w:val="22"/>
              </w:rPr>
              <w:t>stebėsenos</w:t>
            </w:r>
            <w:proofErr w:type="spellEnd"/>
            <w:r w:rsidR="00C16EFD">
              <w:rPr>
                <w:rFonts w:eastAsia="Calibri"/>
                <w:sz w:val="22"/>
                <w:szCs w:val="22"/>
              </w:rPr>
              <w:t xml:space="preserve"> komitetas informuojamas apie kitų veiksmų programos </w:t>
            </w:r>
            <w:r w:rsidR="00C16EFD">
              <w:rPr>
                <w:rFonts w:eastAsia="Calibri"/>
                <w:sz w:val="22"/>
                <w:szCs w:val="22"/>
              </w:rPr>
              <w:lastRenderedPageBreak/>
              <w:t>prioritetų atitinkamų priemonių, pagal kurias projektų atrankos kriterijai patvirtinti iki veiksmų programos pakeitimo, finansavimą REACT-EU lėšomis</w:t>
            </w:r>
            <w:r w:rsidR="00293364" w:rsidRPr="008D493D">
              <w:rPr>
                <w:sz w:val="22"/>
                <w:szCs w:val="22"/>
              </w:rPr>
              <w:t>.</w:t>
            </w:r>
            <w:r w:rsidR="00834701" w:rsidRPr="004449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902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5720" w:type="dxa"/>
            <w:gridSpan w:val="2"/>
          </w:tcPr>
          <w:p w:rsidR="00BC2B98" w:rsidRPr="00E10A2F" w:rsidRDefault="00912685" w:rsidP="00AF1EF6">
            <w:pPr>
              <w:tabs>
                <w:tab w:val="left" w:pos="10206"/>
              </w:tabs>
              <w:jc w:val="both"/>
              <w:rPr>
                <w:bCs/>
                <w:sz w:val="22"/>
                <w:szCs w:val="22"/>
              </w:rPr>
            </w:pPr>
            <w:r w:rsidRPr="00E10A2F">
              <w:rPr>
                <w:bCs/>
                <w:sz w:val="22"/>
                <w:szCs w:val="22"/>
              </w:rPr>
              <w:t>Nutarimo p</w:t>
            </w:r>
            <w:r w:rsidR="00BC2B98" w:rsidRPr="00E10A2F">
              <w:rPr>
                <w:bCs/>
                <w:sz w:val="22"/>
                <w:szCs w:val="22"/>
              </w:rPr>
              <w:t>rojekte nėra nuostatų ar spragų, kurios leistų dviprasmiškai aiškinti ir taikyti teisės aktą.</w:t>
            </w:r>
          </w:p>
          <w:p w:rsidR="00BC2B98" w:rsidRPr="0044495C" w:rsidRDefault="00AE58EE" w:rsidP="0026034D">
            <w:pPr>
              <w:tabs>
                <w:tab w:val="left" w:pos="10206"/>
              </w:tabs>
              <w:jc w:val="both"/>
              <w:rPr>
                <w:color w:val="FF0000"/>
                <w:sz w:val="22"/>
                <w:szCs w:val="22"/>
              </w:rPr>
            </w:pPr>
            <w:r w:rsidRPr="00E10A2F">
              <w:rPr>
                <w:bCs/>
                <w:sz w:val="22"/>
                <w:szCs w:val="22"/>
              </w:rPr>
              <w:t>V</w:t>
            </w:r>
            <w:r w:rsidR="0053264B" w:rsidRPr="00E10A2F">
              <w:rPr>
                <w:bCs/>
                <w:sz w:val="22"/>
                <w:szCs w:val="22"/>
              </w:rPr>
              <w:t>isus v</w:t>
            </w:r>
            <w:r w:rsidRPr="00E10A2F">
              <w:rPr>
                <w:bCs/>
                <w:sz w:val="22"/>
                <w:szCs w:val="22"/>
              </w:rPr>
              <w:t>eiksm</w:t>
            </w:r>
            <w:r w:rsidR="0053264B" w:rsidRPr="00E10A2F">
              <w:rPr>
                <w:bCs/>
                <w:sz w:val="22"/>
                <w:szCs w:val="22"/>
              </w:rPr>
              <w:t>us</w:t>
            </w:r>
            <w:r w:rsidR="0034136F" w:rsidRPr="00E10A2F">
              <w:rPr>
                <w:sz w:val="22"/>
                <w:szCs w:val="22"/>
              </w:rPr>
              <w:t xml:space="preserve"> </w:t>
            </w:r>
            <w:r w:rsidR="0053264B" w:rsidRPr="00E10A2F">
              <w:rPr>
                <w:sz w:val="22"/>
                <w:szCs w:val="22"/>
              </w:rPr>
              <w:t xml:space="preserve">atliks </w:t>
            </w:r>
            <w:r w:rsidR="0026034D" w:rsidRPr="00805CBB">
              <w:rPr>
                <w:sz w:val="22"/>
                <w:szCs w:val="22"/>
              </w:rPr>
              <w:t>Atsakomybės ir funkcijų paskirstymo tarp institucijų, įgyvendinant 2014–2020 metų Europos Sąjungos fondų investicijų veiksmų programą ir rengiantis įgyvendinti 2021–2027 metų Europos Sąjungos fondų investicijų programą, taisyklėse</w:t>
            </w:r>
            <w:r w:rsidR="0026034D" w:rsidRPr="00805CBB">
              <w:rPr>
                <w:rStyle w:val="Puslapioinaosnuoroda"/>
                <w:sz w:val="22"/>
                <w:szCs w:val="22"/>
              </w:rPr>
              <w:footnoteReference w:id="4"/>
            </w:r>
            <w:r w:rsidR="0026034D" w:rsidRPr="00805CBB">
              <w:rPr>
                <w:sz w:val="22"/>
                <w:szCs w:val="22"/>
              </w:rPr>
              <w:t xml:space="preserve"> </w:t>
            </w:r>
            <w:r w:rsidR="0053264B" w:rsidRPr="00E10A2F">
              <w:rPr>
                <w:sz w:val="22"/>
                <w:szCs w:val="22"/>
              </w:rPr>
              <w:t>nurodytos institucijos pagal</w:t>
            </w:r>
            <w:r w:rsidR="007A439F" w:rsidRPr="00E10A2F">
              <w:rPr>
                <w:sz w:val="22"/>
                <w:szCs w:val="22"/>
              </w:rPr>
              <w:t xml:space="preserve"> t</w:t>
            </w:r>
            <w:r w:rsidR="0053264B" w:rsidRPr="00E10A2F">
              <w:rPr>
                <w:sz w:val="22"/>
                <w:szCs w:val="22"/>
              </w:rPr>
              <w:t xml:space="preserve">aisyklėse </w:t>
            </w:r>
            <w:r w:rsidR="0057462A" w:rsidRPr="00E10A2F">
              <w:rPr>
                <w:sz w:val="22"/>
                <w:szCs w:val="22"/>
              </w:rPr>
              <w:t xml:space="preserve">joms </w:t>
            </w:r>
            <w:r w:rsidR="0053264B" w:rsidRPr="00E10A2F">
              <w:rPr>
                <w:sz w:val="22"/>
                <w:szCs w:val="22"/>
              </w:rPr>
              <w:t>priskirtas atsakomybes ir funkcijas.</w:t>
            </w:r>
            <w:r w:rsidR="0053264B" w:rsidRPr="004449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3.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5720" w:type="dxa"/>
            <w:gridSpan w:val="2"/>
          </w:tcPr>
          <w:p w:rsidR="0034136F" w:rsidRPr="0044495C" w:rsidRDefault="0034136F" w:rsidP="0034136F">
            <w:pPr>
              <w:jc w:val="both"/>
              <w:rPr>
                <w:sz w:val="22"/>
                <w:szCs w:val="22"/>
              </w:rPr>
            </w:pPr>
            <w:r w:rsidRPr="0044495C">
              <w:rPr>
                <w:bCs/>
                <w:sz w:val="22"/>
                <w:szCs w:val="22"/>
              </w:rPr>
              <w:t xml:space="preserve">Netaikoma. </w:t>
            </w:r>
          </w:p>
          <w:p w:rsidR="007647C3" w:rsidRPr="0044495C" w:rsidRDefault="007647C3" w:rsidP="00F653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459"/>
        </w:trPr>
        <w:tc>
          <w:tcPr>
            <w:tcW w:w="545" w:type="dxa"/>
          </w:tcPr>
          <w:p w:rsidR="00BC2B98" w:rsidRPr="00AC7855" w:rsidRDefault="00BC2B98" w:rsidP="00D94D16">
            <w:pPr>
              <w:tabs>
                <w:tab w:val="center" w:pos="246"/>
              </w:tabs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4.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5720" w:type="dxa"/>
            <w:gridSpan w:val="2"/>
          </w:tcPr>
          <w:p w:rsidR="005930B6" w:rsidRPr="0044495C" w:rsidRDefault="005930B6" w:rsidP="005930B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4495C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9C0E4C" w:rsidRPr="0044495C" w:rsidRDefault="009C0E4C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5.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5720" w:type="dxa"/>
            <w:gridSpan w:val="2"/>
          </w:tcPr>
          <w:p w:rsidR="005930B6" w:rsidRPr="0044495C" w:rsidRDefault="005930B6" w:rsidP="00A469F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4495C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D5128C" w:rsidRPr="0044495C" w:rsidRDefault="00D5128C" w:rsidP="00A469F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pStyle w:val="Sraopastraipa"/>
              <w:widowControl w:val="0"/>
              <w:tabs>
                <w:tab w:val="left" w:pos="1276"/>
                <w:tab w:val="left" w:pos="1418"/>
              </w:tabs>
              <w:ind w:left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6.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Teisės akto projekte nustatytas baigtinis sąrašas motyvuotų atvejų, </w:t>
            </w:r>
            <w:r w:rsidRPr="00AC7855">
              <w:rPr>
                <w:sz w:val="22"/>
                <w:szCs w:val="22"/>
              </w:rPr>
              <w:lastRenderedPageBreak/>
              <w:t>kai priimant sprendimus taikomos išimtys</w:t>
            </w:r>
          </w:p>
        </w:tc>
        <w:tc>
          <w:tcPr>
            <w:tcW w:w="5720" w:type="dxa"/>
            <w:gridSpan w:val="2"/>
          </w:tcPr>
          <w:p w:rsidR="009C0E4C" w:rsidRPr="0044495C" w:rsidRDefault="009C0E4C" w:rsidP="00A469F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4495C">
              <w:rPr>
                <w:sz w:val="22"/>
                <w:szCs w:val="22"/>
              </w:rPr>
              <w:lastRenderedPageBreak/>
              <w:t>Procedūra taikoma visiems teisės akto taikymo rėmuose susiklosčiusiems teisiniams santykiams.</w:t>
            </w:r>
          </w:p>
          <w:p w:rsidR="009C0E4C" w:rsidRPr="0044495C" w:rsidRDefault="009C0E4C" w:rsidP="00A469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5720" w:type="dxa"/>
            <w:gridSpan w:val="2"/>
          </w:tcPr>
          <w:p w:rsidR="005930B6" w:rsidRPr="0044495C" w:rsidRDefault="005930B6" w:rsidP="00A469F6"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 w:rsidRPr="0044495C">
              <w:rPr>
                <w:sz w:val="22"/>
                <w:szCs w:val="22"/>
              </w:rPr>
              <w:t>Procedūra taikoma visiems teisės akto taikymo rėmuose susiklosčiusiems teisiniams santykiams.</w:t>
            </w:r>
          </w:p>
          <w:p w:rsidR="00D5128C" w:rsidRPr="0044495C" w:rsidRDefault="00D5128C" w:rsidP="00A469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8.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5720" w:type="dxa"/>
            <w:gridSpan w:val="2"/>
          </w:tcPr>
          <w:p w:rsidR="00D5128C" w:rsidRPr="0044495C" w:rsidRDefault="00BC2B98" w:rsidP="00903642">
            <w:pPr>
              <w:jc w:val="both"/>
              <w:rPr>
                <w:b/>
                <w:bCs/>
                <w:sz w:val="22"/>
                <w:szCs w:val="22"/>
              </w:rPr>
            </w:pPr>
            <w:r w:rsidRPr="0044495C">
              <w:rPr>
                <w:bCs/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BC2B98" w:rsidRPr="00AC7855" w:rsidRDefault="00BC2B98" w:rsidP="00D021B7">
            <w:pPr>
              <w:pStyle w:val="Sraopastraipa"/>
              <w:ind w:left="33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BC2B98" w:rsidRPr="00AC7855" w:rsidRDefault="00BC2B98" w:rsidP="00D021B7">
            <w:pPr>
              <w:pStyle w:val="Sraopastraipa"/>
              <w:ind w:left="33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9.3</w:t>
            </w:r>
            <w:r w:rsidRPr="00AC7855">
              <w:rPr>
                <w:spacing w:val="-4"/>
                <w:sz w:val="22"/>
                <w:szCs w:val="22"/>
              </w:rPr>
              <w:t>. narių skyrimo mechanizmas;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9.4. narių rotacija ir kadencijų skaičius ir trukmė;</w:t>
            </w:r>
          </w:p>
          <w:p w:rsidR="00BC2B98" w:rsidRPr="00AC7855" w:rsidRDefault="00BC2B98" w:rsidP="00D021B7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9.5. veiklos pobūdis laiko atžvilgiu;</w:t>
            </w:r>
          </w:p>
          <w:p w:rsidR="00784943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5720" w:type="dxa"/>
            <w:gridSpan w:val="2"/>
          </w:tcPr>
          <w:p w:rsidR="00BC2B98" w:rsidRPr="0044495C" w:rsidRDefault="003F2C93" w:rsidP="003F2C93">
            <w:pPr>
              <w:tabs>
                <w:tab w:val="left" w:pos="1027"/>
                <w:tab w:val="left" w:pos="10206"/>
              </w:tabs>
              <w:jc w:val="both"/>
              <w:rPr>
                <w:i/>
                <w:iCs/>
                <w:sz w:val="22"/>
                <w:szCs w:val="22"/>
              </w:rPr>
            </w:pPr>
            <w:r w:rsidRPr="0044495C">
              <w:rPr>
                <w:bCs/>
                <w:sz w:val="22"/>
                <w:szCs w:val="22"/>
              </w:rPr>
              <w:t>Netaikoma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10.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Teisės akto projekto nuostatoms </w:t>
            </w:r>
            <w:r w:rsidRPr="00AC7855">
              <w:rPr>
                <w:sz w:val="22"/>
                <w:szCs w:val="22"/>
              </w:rPr>
              <w:lastRenderedPageBreak/>
              <w:t xml:space="preserve">įgyvendinti numatytos administracinės procedūros yra </w:t>
            </w:r>
            <w:r w:rsidRPr="00AC7855">
              <w:rPr>
                <w:color w:val="000000"/>
                <w:sz w:val="22"/>
                <w:szCs w:val="22"/>
                <w:shd w:val="clear" w:color="auto" w:fill="FFFFFF"/>
              </w:rPr>
              <w:t>būtinos</w:t>
            </w:r>
            <w:r w:rsidRPr="00AC7855">
              <w:rPr>
                <w:sz w:val="22"/>
                <w:szCs w:val="22"/>
                <w:shd w:val="clear" w:color="auto" w:fill="FFFFFF"/>
              </w:rPr>
              <w:t>,</w:t>
            </w:r>
            <w:r w:rsidRPr="00AC7855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5720" w:type="dxa"/>
            <w:gridSpan w:val="2"/>
          </w:tcPr>
          <w:p w:rsidR="009C0E4C" w:rsidRPr="0044495C" w:rsidRDefault="009C0E4C" w:rsidP="00D021B7">
            <w:pPr>
              <w:jc w:val="both"/>
              <w:rPr>
                <w:bCs/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lastRenderedPageBreak/>
              <w:t xml:space="preserve">Procedūra taikoma visiems teisės akto taikymo rėmuose </w:t>
            </w:r>
            <w:r w:rsidRPr="0044495C">
              <w:rPr>
                <w:sz w:val="22"/>
                <w:szCs w:val="22"/>
              </w:rPr>
              <w:lastRenderedPageBreak/>
              <w:t>susiklosčiusiems teisiniams santykiams.</w:t>
            </w:r>
          </w:p>
          <w:p w:rsidR="009C0E4C" w:rsidRPr="0044495C" w:rsidRDefault="009C0E4C" w:rsidP="00D021B7">
            <w:pPr>
              <w:jc w:val="both"/>
              <w:rPr>
                <w:bCs/>
                <w:sz w:val="22"/>
                <w:szCs w:val="22"/>
              </w:rPr>
            </w:pPr>
          </w:p>
          <w:p w:rsidR="00D5128C" w:rsidRPr="0044495C" w:rsidRDefault="00D5128C" w:rsidP="00D512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5720" w:type="dxa"/>
            <w:gridSpan w:val="2"/>
          </w:tcPr>
          <w:p w:rsidR="00BC2B98" w:rsidRPr="0044495C" w:rsidRDefault="005D1D10" w:rsidP="00D021B7">
            <w:pPr>
              <w:keepNext/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Netaikoma</w:t>
            </w:r>
            <w:r w:rsidRPr="0044495C" w:rsidDel="005D1D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12.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5720" w:type="dxa"/>
            <w:gridSpan w:val="2"/>
          </w:tcPr>
          <w:p w:rsidR="009C0E4C" w:rsidRPr="0044495C" w:rsidRDefault="00F07F4E" w:rsidP="00D021B7">
            <w:pPr>
              <w:jc w:val="both"/>
              <w:rPr>
                <w:bCs/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Netaikoma</w:t>
            </w:r>
            <w:r w:rsidRPr="0044495C" w:rsidDel="00F07F4E">
              <w:rPr>
                <w:sz w:val="22"/>
                <w:szCs w:val="22"/>
              </w:rPr>
              <w:t xml:space="preserve"> </w:t>
            </w:r>
          </w:p>
          <w:p w:rsidR="00BC2B98" w:rsidRPr="0044495C" w:rsidRDefault="00BC2B98" w:rsidP="00D021B7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13.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5720" w:type="dxa"/>
            <w:gridSpan w:val="2"/>
          </w:tcPr>
          <w:p w:rsidR="009C0E4C" w:rsidRPr="0044495C" w:rsidRDefault="00F07F4E" w:rsidP="009C0E4C">
            <w:pPr>
              <w:jc w:val="both"/>
              <w:rPr>
                <w:bCs/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Netaikoma</w:t>
            </w:r>
            <w:r w:rsidRPr="0044495C" w:rsidDel="00F07F4E">
              <w:rPr>
                <w:sz w:val="22"/>
                <w:szCs w:val="22"/>
              </w:rPr>
              <w:t xml:space="preserve"> </w:t>
            </w:r>
          </w:p>
          <w:p w:rsidR="00BC2B98" w:rsidRPr="0044495C" w:rsidRDefault="00BC2B98" w:rsidP="00D021B7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14.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15.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6D3E06">
            <w:pPr>
              <w:jc w:val="both"/>
              <w:rPr>
                <w:color w:val="FF0000"/>
                <w:sz w:val="22"/>
                <w:szCs w:val="22"/>
              </w:rPr>
            </w:pPr>
            <w:r w:rsidRPr="0044495C">
              <w:rPr>
                <w:bCs/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94D16" w:rsidRPr="00AC7855" w:rsidRDefault="00912685" w:rsidP="00D94D16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D94D16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D94D16" w:rsidP="00D94D16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16.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keepNext/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keepNext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keepNext/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18.</w:t>
            </w:r>
          </w:p>
        </w:tc>
        <w:tc>
          <w:tcPr>
            <w:tcW w:w="3424" w:type="dxa"/>
            <w:gridSpan w:val="2"/>
          </w:tcPr>
          <w:p w:rsidR="00D20B9F" w:rsidRPr="00AC7855" w:rsidRDefault="00BC2B98" w:rsidP="0057462A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 xml:space="preserve">Netaikoma 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BC2B98" w:rsidRPr="00AC7855" w:rsidRDefault="00912685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x</w:t>
            </w:r>
            <w:r w:rsidR="00BC2B98" w:rsidRPr="00AC7855">
              <w:rPr>
                <w:sz w:val="22"/>
                <w:szCs w:val="22"/>
              </w:rPr>
              <w:t xml:space="preserve"> tenkina</w:t>
            </w:r>
          </w:p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rPr>
          <w:gridAfter w:val="1"/>
          <w:wAfter w:w="309" w:type="dxa"/>
          <w:trHeight w:val="23"/>
        </w:trPr>
        <w:tc>
          <w:tcPr>
            <w:tcW w:w="545" w:type="dxa"/>
          </w:tcPr>
          <w:p w:rsidR="00BC2B98" w:rsidRPr="00AC7855" w:rsidRDefault="00BC2B98" w:rsidP="00D94D16">
            <w:pPr>
              <w:jc w:val="center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19.</w:t>
            </w:r>
          </w:p>
        </w:tc>
        <w:tc>
          <w:tcPr>
            <w:tcW w:w="3424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5720" w:type="dxa"/>
            <w:gridSpan w:val="2"/>
          </w:tcPr>
          <w:p w:rsidR="00BC2B98" w:rsidRPr="0044495C" w:rsidRDefault="00BC2B98" w:rsidP="00D021B7">
            <w:pPr>
              <w:jc w:val="both"/>
              <w:rPr>
                <w:sz w:val="22"/>
                <w:szCs w:val="22"/>
              </w:rPr>
            </w:pPr>
            <w:r w:rsidRPr="0044495C">
              <w:rPr>
                <w:sz w:val="22"/>
                <w:szCs w:val="22"/>
              </w:rPr>
              <w:t>Nėra</w:t>
            </w:r>
          </w:p>
        </w:tc>
        <w:tc>
          <w:tcPr>
            <w:tcW w:w="2785" w:type="dxa"/>
            <w:gridSpan w:val="2"/>
          </w:tcPr>
          <w:p w:rsidR="00BC2B98" w:rsidRPr="00AC7855" w:rsidRDefault="00BC2B98" w:rsidP="00D02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D94D16" w:rsidRPr="00AC7855" w:rsidRDefault="00912685" w:rsidP="00D94D16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 xml:space="preserve">x </w:t>
            </w:r>
            <w:r w:rsidR="00D94D16" w:rsidRPr="00AC7855">
              <w:rPr>
                <w:sz w:val="22"/>
                <w:szCs w:val="22"/>
              </w:rPr>
              <w:t>tenkina</w:t>
            </w:r>
          </w:p>
          <w:p w:rsidR="00BC2B98" w:rsidRPr="00AC7855" w:rsidRDefault="00D94D16" w:rsidP="00D94D16">
            <w:pPr>
              <w:jc w:val="both"/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□ netenkina</w:t>
            </w:r>
          </w:p>
        </w:tc>
      </w:tr>
      <w:tr w:rsidR="00BC2B98" w:rsidRPr="00AC7855" w:rsidTr="00FA7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Lietuvos Respublikos finansų ministerijos</w:t>
            </w:r>
          </w:p>
          <w:p w:rsidR="0044495C" w:rsidRDefault="00F07F4E" w:rsidP="00C95E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Investicijų 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>d</w:t>
            </w:r>
            <w:r w:rsidR="00BC2B98" w:rsidRPr="00AC7855">
              <w:rPr>
                <w:rFonts w:eastAsia="Calibri"/>
                <w:sz w:val="22"/>
                <w:szCs w:val="22"/>
                <w:lang w:eastAsia="en-US"/>
              </w:rPr>
              <w:t>epartamento</w:t>
            </w:r>
            <w:r w:rsidR="00C95E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44495C" w:rsidRDefault="00F07F4E" w:rsidP="00C95ED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Kokybės užtikrinimo skyriaus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E4E6D" w:rsidRPr="00AC7855" w:rsidRDefault="000E4E6D" w:rsidP="00C95ED6">
            <w:pPr>
              <w:rPr>
                <w:sz w:val="22"/>
                <w:szCs w:val="22"/>
              </w:rPr>
            </w:pPr>
            <w:r w:rsidRPr="00AC7855">
              <w:rPr>
                <w:rFonts w:eastAsia="Calibri"/>
                <w:sz w:val="22"/>
                <w:szCs w:val="22"/>
                <w:lang w:eastAsia="en-US"/>
              </w:rPr>
              <w:t>patarėja</w:t>
            </w:r>
            <w:r w:rsidR="00C95ED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7855">
              <w:rPr>
                <w:rFonts w:eastAsia="Calibri"/>
                <w:sz w:val="22"/>
                <w:szCs w:val="22"/>
                <w:lang w:eastAsia="en-US"/>
              </w:rPr>
              <w:t>Laimutė Žukauskienė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BC2B98" w:rsidRPr="00AC7855" w:rsidRDefault="00BC2B98" w:rsidP="00D021B7">
            <w:pPr>
              <w:rPr>
                <w:color w:val="FF0000"/>
                <w:sz w:val="22"/>
                <w:szCs w:val="22"/>
              </w:rPr>
            </w:pPr>
          </w:p>
          <w:p w:rsidR="00BC2B98" w:rsidRPr="00AC7855" w:rsidRDefault="00BC2B98" w:rsidP="00D021B7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5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2B98" w:rsidRPr="00AC7855" w:rsidRDefault="00BC2B98" w:rsidP="00D021B7">
            <w:pPr>
              <w:rPr>
                <w:sz w:val="22"/>
                <w:szCs w:val="22"/>
              </w:rPr>
            </w:pPr>
          </w:p>
          <w:p w:rsidR="000E4E6D" w:rsidRPr="00AC7855" w:rsidRDefault="000E4E6D" w:rsidP="000E4E6D">
            <w:pPr>
              <w:rPr>
                <w:sz w:val="22"/>
                <w:szCs w:val="22"/>
              </w:rPr>
            </w:pPr>
            <w:r w:rsidRPr="00AC7855">
              <w:rPr>
                <w:sz w:val="22"/>
                <w:szCs w:val="22"/>
              </w:rPr>
              <w:t>Lietuvos Respublikos finansų ministerijos</w:t>
            </w:r>
          </w:p>
          <w:p w:rsidR="0044495C" w:rsidRDefault="00F07F4E" w:rsidP="000E4E6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>nvestic</w:t>
            </w:r>
            <w:r>
              <w:rPr>
                <w:rFonts w:eastAsia="Calibri"/>
                <w:sz w:val="22"/>
                <w:szCs w:val="22"/>
                <w:lang w:eastAsia="en-US"/>
              </w:rPr>
              <w:t>ijų</w:t>
            </w:r>
            <w:r w:rsidR="000E4E6D" w:rsidRPr="00AC7855">
              <w:rPr>
                <w:rFonts w:eastAsia="Calibri"/>
                <w:sz w:val="22"/>
                <w:szCs w:val="22"/>
                <w:lang w:eastAsia="en-US"/>
              </w:rPr>
              <w:t xml:space="preserve"> departamento</w:t>
            </w:r>
            <w:r w:rsidR="00CE018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469F6" w:rsidRPr="00A469F6" w:rsidRDefault="00A469F6" w:rsidP="00A469F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469F6">
              <w:rPr>
                <w:rFonts w:eastAsia="Calibri"/>
                <w:sz w:val="22"/>
                <w:szCs w:val="22"/>
                <w:lang w:eastAsia="en-US"/>
              </w:rPr>
              <w:t xml:space="preserve">Investicijų analizės skyriaus </w:t>
            </w:r>
          </w:p>
          <w:p w:rsidR="00F07F4E" w:rsidRPr="00AC7855" w:rsidRDefault="00A469F6" w:rsidP="0044495C">
            <w:pPr>
              <w:rPr>
                <w:sz w:val="22"/>
                <w:szCs w:val="22"/>
              </w:rPr>
            </w:pPr>
            <w:r w:rsidRPr="00A469F6">
              <w:rPr>
                <w:rFonts w:eastAsia="Calibri"/>
                <w:sz w:val="22"/>
                <w:szCs w:val="22"/>
                <w:lang w:eastAsia="en-US"/>
              </w:rPr>
              <w:t xml:space="preserve">vyr. specialistė Viktorija </w:t>
            </w:r>
            <w:proofErr w:type="spellStart"/>
            <w:r w:rsidRPr="00A469F6">
              <w:rPr>
                <w:rFonts w:eastAsia="Calibri"/>
                <w:sz w:val="22"/>
                <w:szCs w:val="22"/>
                <w:lang w:eastAsia="en-US"/>
              </w:rPr>
              <w:t>Senavaitytė</w:t>
            </w:r>
            <w:proofErr w:type="gramStart"/>
            <w:r w:rsidRPr="00A469F6">
              <w:rPr>
                <w:rFonts w:eastAsia="Calibri"/>
                <w:sz w:val="22"/>
                <w:szCs w:val="22"/>
                <w:lang w:eastAsia="en-US"/>
              </w:rPr>
              <w:t>-</w:t>
            </w:r>
            <w:proofErr w:type="gramEnd"/>
            <w:r w:rsidRPr="00A469F6">
              <w:rPr>
                <w:rFonts w:eastAsia="Calibri"/>
                <w:sz w:val="22"/>
                <w:szCs w:val="22"/>
                <w:lang w:eastAsia="en-US"/>
              </w:rPr>
              <w:t>Gaudiešienė</w:t>
            </w:r>
            <w:proofErr w:type="spellEnd"/>
          </w:p>
        </w:tc>
      </w:tr>
      <w:tr w:rsidR="000A7A10" w:rsidRPr="00AC7855" w:rsidTr="00FA7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(pareigos)   (vardas ir pavardė)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3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0A7A10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(pareigos)    (vardas ir pavardė)</w:t>
            </w:r>
          </w:p>
        </w:tc>
      </w:tr>
      <w:tr w:rsidR="000A7A10" w:rsidRPr="00AC7855" w:rsidTr="00FA7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7A10" w:rsidRPr="00AC7855" w:rsidRDefault="006151FF" w:rsidP="00B23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  <w:r w:rsidRPr="00E10A2F">
              <w:rPr>
                <w:sz w:val="22"/>
                <w:szCs w:val="22"/>
              </w:rPr>
              <w:t>202</w:t>
            </w:r>
            <w:r w:rsidR="009B0912">
              <w:rPr>
                <w:sz w:val="22"/>
                <w:szCs w:val="22"/>
              </w:rPr>
              <w:t>1</w:t>
            </w:r>
            <w:r w:rsidRPr="00E10A2F">
              <w:rPr>
                <w:sz w:val="22"/>
                <w:szCs w:val="22"/>
              </w:rPr>
              <w:t>-</w:t>
            </w:r>
            <w:r w:rsidR="009B0912">
              <w:rPr>
                <w:sz w:val="22"/>
                <w:szCs w:val="22"/>
              </w:rPr>
              <w:t>02</w:t>
            </w:r>
            <w:r w:rsidR="00E10A2F" w:rsidRPr="00E10A2F">
              <w:rPr>
                <w:sz w:val="22"/>
                <w:szCs w:val="22"/>
              </w:rPr>
              <w:t>-</w:t>
            </w:r>
            <w:r w:rsidR="009B0912">
              <w:rPr>
                <w:sz w:val="22"/>
                <w:szCs w:val="22"/>
              </w:rPr>
              <w:t>1</w:t>
            </w:r>
            <w:r w:rsidR="00B2362F">
              <w:rPr>
                <w:sz w:val="22"/>
                <w:szCs w:val="22"/>
              </w:rPr>
              <w:t>1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A7A10" w:rsidRPr="00AC7855" w:rsidRDefault="006151FF" w:rsidP="00B2362F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</w:t>
            </w:r>
            <w:r w:rsidRPr="00E10A2F">
              <w:rPr>
                <w:sz w:val="22"/>
                <w:szCs w:val="22"/>
              </w:rPr>
              <w:t>202</w:t>
            </w:r>
            <w:r w:rsidR="009B0912">
              <w:rPr>
                <w:sz w:val="22"/>
                <w:szCs w:val="22"/>
              </w:rPr>
              <w:t>1</w:t>
            </w:r>
            <w:r w:rsidRPr="00E10A2F">
              <w:rPr>
                <w:sz w:val="22"/>
                <w:szCs w:val="22"/>
              </w:rPr>
              <w:t>-</w:t>
            </w:r>
            <w:r w:rsidR="009B0912">
              <w:rPr>
                <w:sz w:val="22"/>
                <w:szCs w:val="22"/>
              </w:rPr>
              <w:t>02</w:t>
            </w:r>
            <w:r w:rsidR="00E10A2F" w:rsidRPr="00E10A2F">
              <w:rPr>
                <w:sz w:val="22"/>
                <w:szCs w:val="22"/>
              </w:rPr>
              <w:t>-</w:t>
            </w:r>
            <w:r w:rsidR="009B0912">
              <w:rPr>
                <w:sz w:val="22"/>
                <w:szCs w:val="22"/>
              </w:rPr>
              <w:t>1</w:t>
            </w:r>
            <w:r w:rsidR="00B2362F">
              <w:rPr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0A7A10" w:rsidRPr="00AC7855" w:rsidTr="00FA7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"/>
        </w:trPr>
        <w:tc>
          <w:tcPr>
            <w:tcW w:w="2457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16"/>
                <w:szCs w:val="16"/>
              </w:rPr>
            </w:pPr>
          </w:p>
        </w:tc>
        <w:tc>
          <w:tcPr>
            <w:tcW w:w="4206" w:type="dxa"/>
            <w:gridSpan w:val="2"/>
            <w:shd w:val="clear" w:color="auto" w:fill="auto"/>
          </w:tcPr>
          <w:p w:rsidR="000A7A10" w:rsidRPr="00AC7855" w:rsidRDefault="000A7A10" w:rsidP="004C2B2F">
            <w:pPr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(parašas)</w:t>
            </w:r>
            <w:proofErr w:type="gramStart"/>
            <w:r w:rsidRPr="00AC7855">
              <w:rPr>
                <w:sz w:val="16"/>
                <w:szCs w:val="16"/>
              </w:rPr>
              <w:t xml:space="preserve">     </w:t>
            </w:r>
            <w:proofErr w:type="gramEnd"/>
            <w:r w:rsidRPr="00AC7855">
              <w:rPr>
                <w:sz w:val="16"/>
                <w:szCs w:val="16"/>
              </w:rPr>
              <w:t>(data)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0A7A10" w:rsidRPr="00AC7855" w:rsidRDefault="000A7A10" w:rsidP="00D021B7">
            <w:pPr>
              <w:rPr>
                <w:sz w:val="16"/>
                <w:szCs w:val="16"/>
              </w:rPr>
            </w:pPr>
          </w:p>
        </w:tc>
        <w:tc>
          <w:tcPr>
            <w:tcW w:w="53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A7A10" w:rsidRPr="00AC7855" w:rsidRDefault="000A7A10" w:rsidP="00B9657F">
            <w:pPr>
              <w:ind w:left="-11" w:firstLine="11"/>
              <w:rPr>
                <w:sz w:val="16"/>
                <w:szCs w:val="16"/>
              </w:rPr>
            </w:pPr>
            <w:r w:rsidRPr="00AC7855">
              <w:rPr>
                <w:sz w:val="16"/>
                <w:szCs w:val="16"/>
              </w:rPr>
              <w:t>(parašas)</w:t>
            </w:r>
            <w:proofErr w:type="gramStart"/>
            <w:r w:rsidRPr="00AC7855">
              <w:rPr>
                <w:sz w:val="16"/>
                <w:szCs w:val="16"/>
              </w:rPr>
              <w:t xml:space="preserve"> </w:t>
            </w:r>
            <w:r w:rsidR="006151FF">
              <w:rPr>
                <w:sz w:val="16"/>
                <w:szCs w:val="16"/>
              </w:rPr>
              <w:t xml:space="preserve">     </w:t>
            </w:r>
            <w:proofErr w:type="gramEnd"/>
            <w:r w:rsidRPr="00AC7855">
              <w:rPr>
                <w:sz w:val="16"/>
                <w:szCs w:val="16"/>
              </w:rPr>
              <w:t>(data)</w:t>
            </w:r>
          </w:p>
        </w:tc>
      </w:tr>
    </w:tbl>
    <w:p w:rsidR="00C95ED6" w:rsidRPr="00AC7855" w:rsidRDefault="00C95ED6" w:rsidP="000A7A10">
      <w:pPr>
        <w:pStyle w:val="Antrats"/>
        <w:tabs>
          <w:tab w:val="clear" w:pos="4153"/>
          <w:tab w:val="clear" w:pos="8306"/>
          <w:tab w:val="left" w:pos="6237"/>
        </w:tabs>
        <w:rPr>
          <w:sz w:val="16"/>
          <w:szCs w:val="16"/>
        </w:rPr>
      </w:pPr>
    </w:p>
    <w:p w:rsidR="00CA70B2" w:rsidRPr="00AC7855" w:rsidRDefault="000A7A10" w:rsidP="000A7A1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sz w:val="16"/>
          <w:szCs w:val="16"/>
        </w:rPr>
      </w:pPr>
      <w:r w:rsidRPr="00AC7855">
        <w:rPr>
          <w:sz w:val="16"/>
          <w:szCs w:val="16"/>
        </w:rPr>
        <w:t>––––––––––––––––––––</w:t>
      </w:r>
    </w:p>
    <w:sectPr w:rsidR="00CA70B2" w:rsidRPr="00AC7855" w:rsidSect="000A7A10">
      <w:headerReference w:type="default" r:id="rId9"/>
      <w:pgSz w:w="16838" w:h="11906" w:orient="landscape" w:code="9"/>
      <w:pgMar w:top="1418" w:right="1077" w:bottom="851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4D" w:rsidRDefault="0026034D" w:rsidP="00BC2B98">
      <w:r>
        <w:separator/>
      </w:r>
    </w:p>
  </w:endnote>
  <w:endnote w:type="continuationSeparator" w:id="0">
    <w:p w:rsidR="0026034D" w:rsidRDefault="0026034D" w:rsidP="00BC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4D" w:rsidRDefault="0026034D" w:rsidP="00BC2B98">
      <w:r>
        <w:separator/>
      </w:r>
    </w:p>
  </w:footnote>
  <w:footnote w:type="continuationSeparator" w:id="0">
    <w:p w:rsidR="0026034D" w:rsidRDefault="0026034D" w:rsidP="00BC2B98">
      <w:r>
        <w:continuationSeparator/>
      </w:r>
    </w:p>
  </w:footnote>
  <w:footnote w:id="1">
    <w:p w:rsidR="009B0912" w:rsidRPr="00A06EA1" w:rsidRDefault="009B0912" w:rsidP="009B0912">
      <w:pPr>
        <w:pStyle w:val="Puslapioinaostekstas"/>
        <w:jc w:val="both"/>
        <w:rPr>
          <w:lang w:val="lt-LT"/>
        </w:rPr>
      </w:pPr>
      <w:r w:rsidRPr="00CC766A">
        <w:rPr>
          <w:rStyle w:val="Puslapioinaosnuoroda"/>
          <w:sz w:val="18"/>
          <w:szCs w:val="18"/>
        </w:rPr>
        <w:footnoteRef/>
      </w:r>
      <w:r w:rsidRPr="00CC766A">
        <w:rPr>
          <w:sz w:val="18"/>
          <w:szCs w:val="18"/>
          <w:lang w:val="lt-LT" w:eastAsia="lt-LT"/>
        </w:rPr>
        <w:t xml:space="preserve"> </w:t>
      </w:r>
      <w:r w:rsidRPr="00CC766A">
        <w:rPr>
          <w:sz w:val="18"/>
          <w:szCs w:val="18"/>
          <w:lang w:eastAsia="lt-LT"/>
        </w:rPr>
        <w:t>E</w:t>
      </w:r>
      <w:r w:rsidRPr="00CC766A">
        <w:rPr>
          <w:sz w:val="18"/>
          <w:szCs w:val="18"/>
          <w:lang w:val="lt-LT" w:eastAsia="lt-LT"/>
        </w:rPr>
        <w:t xml:space="preserve">uropos </w:t>
      </w:r>
      <w:r w:rsidRPr="00CC766A">
        <w:rPr>
          <w:sz w:val="18"/>
          <w:szCs w:val="18"/>
          <w:lang w:eastAsia="lt-LT"/>
        </w:rPr>
        <w:t>K</w:t>
      </w:r>
      <w:r w:rsidRPr="00CC766A">
        <w:rPr>
          <w:sz w:val="18"/>
          <w:szCs w:val="18"/>
          <w:lang w:val="lt-LT" w:eastAsia="lt-LT"/>
        </w:rPr>
        <w:t>omisijos</w:t>
      </w:r>
      <w:r w:rsidRPr="00CC766A">
        <w:rPr>
          <w:sz w:val="18"/>
          <w:szCs w:val="18"/>
          <w:lang w:eastAsia="lt-LT"/>
        </w:rPr>
        <w:t xml:space="preserve">, </w:t>
      </w:r>
      <w:r w:rsidRPr="00CC766A">
        <w:rPr>
          <w:sz w:val="18"/>
          <w:szCs w:val="18"/>
        </w:rPr>
        <w:t xml:space="preserve">vadovaujantis </w:t>
      </w:r>
      <w:r w:rsidRPr="00CC766A">
        <w:rPr>
          <w:rFonts w:eastAsiaTheme="minorHAnsi"/>
          <w:bCs/>
          <w:color w:val="000000"/>
          <w:sz w:val="18"/>
          <w:szCs w:val="18"/>
        </w:rPr>
        <w:t>2020 m. gruodžio 23 d. Europos Parlamento ir Tarybos reglamentu (ES) 2020/2221, kuriuo iš dalies keičiamas Reglamentas (ES) Nr. 1303/2013, kiek tai susiję su papildomais ištekliais ir įgyvendinimo taisyklėmis, siekiant suteikti paramą COVID-19 pandemijos sukeltai krizei ir jos socialiniams padariniams įveikti skirtiems</w:t>
      </w:r>
      <w:r w:rsidRPr="00CC766A">
        <w:rPr>
          <w:rFonts w:eastAsiaTheme="minorHAnsi"/>
          <w:b/>
          <w:bCs/>
          <w:color w:val="000000"/>
          <w:sz w:val="18"/>
          <w:szCs w:val="18"/>
        </w:rPr>
        <w:t xml:space="preserve"> </w:t>
      </w:r>
      <w:r w:rsidRPr="00CC766A">
        <w:rPr>
          <w:rFonts w:eastAsiaTheme="minorHAnsi"/>
          <w:bCs/>
          <w:color w:val="000000"/>
          <w:sz w:val="18"/>
          <w:szCs w:val="18"/>
        </w:rPr>
        <w:t>veiksmams skatinti ir pasirengti žaliajam, skaitmeniniam ir atspariam ekonomikos atgaivinimui (REACT-EU), skiriamos s</w:t>
      </w:r>
      <w:r w:rsidRPr="00CC766A">
        <w:rPr>
          <w:sz w:val="18"/>
          <w:szCs w:val="18"/>
        </w:rPr>
        <w:t>anglaudai ir Europos teritorijoms skirtoje ekonomikos gaivinimo pagalbos iniciatyvoje</w:t>
      </w:r>
      <w:r>
        <w:rPr>
          <w:rFonts w:eastAsia="Calibri"/>
          <w:sz w:val="18"/>
          <w:szCs w:val="18"/>
          <w:lang w:val="lt-LT" w:eastAsia="lt-LT"/>
        </w:rPr>
        <w:t xml:space="preserve"> (REACT-EU) </w:t>
      </w:r>
      <w:r w:rsidRPr="00CC766A">
        <w:rPr>
          <w:sz w:val="18"/>
          <w:szCs w:val="18"/>
        </w:rPr>
        <w:t>numatytos lėšos</w:t>
      </w:r>
      <w:r w:rsidRPr="00CC766A">
        <w:rPr>
          <w:sz w:val="18"/>
          <w:szCs w:val="18"/>
          <w:lang w:val="lt-LT"/>
        </w:rPr>
        <w:t>.</w:t>
      </w:r>
    </w:p>
  </w:footnote>
  <w:footnote w:id="2">
    <w:p w:rsidR="0026034D" w:rsidRPr="00F80D56" w:rsidRDefault="0026034D" w:rsidP="00903642">
      <w:pPr>
        <w:pStyle w:val="Puslapioinaostekstas"/>
        <w:jc w:val="both"/>
        <w:rPr>
          <w:sz w:val="18"/>
          <w:szCs w:val="18"/>
          <w:lang w:val="lt-LT"/>
        </w:rPr>
      </w:pPr>
      <w:r w:rsidRPr="00F80D56">
        <w:rPr>
          <w:rStyle w:val="Puslapioinaosnuoroda"/>
          <w:sz w:val="18"/>
          <w:szCs w:val="18"/>
        </w:rPr>
        <w:footnoteRef/>
      </w:r>
      <w:r w:rsidRPr="00F80D56">
        <w:rPr>
          <w:sz w:val="18"/>
          <w:szCs w:val="18"/>
        </w:rPr>
        <w:t xml:space="preserve"> 2014–2020 metų Europos Sąjungos fondų investicijų veiksmų programos administravimo taisyklės, patvirtintos Lietuvos Respublikos Vyriausybės 2014 m. spalio 3 d. nutarim</w:t>
      </w:r>
      <w:r w:rsidR="007A0085" w:rsidRPr="00F80D56">
        <w:rPr>
          <w:sz w:val="18"/>
          <w:szCs w:val="18"/>
          <w:lang w:val="lt-LT"/>
        </w:rPr>
        <w:t>u</w:t>
      </w:r>
      <w:r w:rsidRPr="00F80D56">
        <w:rPr>
          <w:sz w:val="18"/>
          <w:szCs w:val="18"/>
        </w:rPr>
        <w:t xml:space="preserve"> Nr. 1090 „Dėl 2014–2020 metų Europos Sąjungos fondų investicijų veiksmų programos administravimo taisyklių patvirtinimo“</w:t>
      </w:r>
      <w:r w:rsidR="007A0085" w:rsidRPr="00F80D56">
        <w:rPr>
          <w:sz w:val="18"/>
          <w:szCs w:val="18"/>
          <w:lang w:val="lt-LT"/>
        </w:rPr>
        <w:t>.</w:t>
      </w:r>
    </w:p>
  </w:footnote>
  <w:footnote w:id="3">
    <w:p w:rsidR="0026034D" w:rsidRPr="00F80D56" w:rsidRDefault="0026034D" w:rsidP="00903642">
      <w:pPr>
        <w:pStyle w:val="Puslapioinaostekstas"/>
        <w:jc w:val="both"/>
        <w:rPr>
          <w:sz w:val="18"/>
          <w:szCs w:val="18"/>
          <w:lang w:val="lt-LT"/>
        </w:rPr>
      </w:pPr>
      <w:r w:rsidRPr="007A0085">
        <w:rPr>
          <w:rStyle w:val="Puslapioinaosnuoroda"/>
          <w:sz w:val="18"/>
          <w:szCs w:val="18"/>
        </w:rPr>
        <w:footnoteRef/>
      </w:r>
      <w:r w:rsidRPr="00A13DD1">
        <w:rPr>
          <w:sz w:val="18"/>
          <w:szCs w:val="18"/>
        </w:rPr>
        <w:t xml:space="preserve"> </w:t>
      </w:r>
      <w:r w:rsidRPr="00A13DD1">
        <w:rPr>
          <w:rFonts w:eastAsia="Calibri"/>
          <w:sz w:val="18"/>
          <w:szCs w:val="18"/>
        </w:rPr>
        <w:t xml:space="preserve">2014–2020 metų Europos Sąjungos fondų investicijų </w:t>
      </w:r>
      <w:r w:rsidRPr="00A13DD1">
        <w:rPr>
          <w:sz w:val="18"/>
          <w:szCs w:val="18"/>
        </w:rPr>
        <w:t>v</w:t>
      </w:r>
      <w:r w:rsidRPr="00A13DD1">
        <w:rPr>
          <w:rFonts w:eastAsia="Calibri"/>
          <w:sz w:val="18"/>
          <w:szCs w:val="18"/>
        </w:rPr>
        <w:t>eiksmų programos priedas, patvirtintas Lietuvos Respublikos Vyriausybės 2014 m. lapkričio 26 d. nutarimu Nr. 1326 „Dėl 2014–2020 metų Europos Sąjungos fondų investicijų veiksmų programos priedo patvirtinimo“</w:t>
      </w:r>
      <w:r w:rsidRPr="00F80D56">
        <w:rPr>
          <w:rFonts w:eastAsia="Calibri"/>
          <w:sz w:val="18"/>
          <w:szCs w:val="18"/>
          <w:lang w:val="lt-LT"/>
        </w:rPr>
        <w:t>.</w:t>
      </w:r>
    </w:p>
  </w:footnote>
  <w:footnote w:id="4">
    <w:p w:rsidR="0026034D" w:rsidRPr="00BE6276" w:rsidRDefault="0026034D" w:rsidP="0026034D">
      <w:pPr>
        <w:pStyle w:val="Puslapioinaostekstas"/>
        <w:jc w:val="both"/>
        <w:rPr>
          <w:sz w:val="18"/>
          <w:szCs w:val="18"/>
          <w:lang w:val="lt-LT"/>
        </w:rPr>
      </w:pPr>
      <w:r w:rsidRPr="0026034D">
        <w:rPr>
          <w:rStyle w:val="Puslapioinaosnuoroda"/>
          <w:sz w:val="18"/>
          <w:szCs w:val="18"/>
        </w:rPr>
        <w:footnoteRef/>
      </w:r>
      <w:r w:rsidRPr="0026034D">
        <w:rPr>
          <w:sz w:val="18"/>
          <w:szCs w:val="18"/>
        </w:rPr>
        <w:t xml:space="preserve"> Atsakomybės ir funkcijų paskirstymo tarp institucijų, įgyvendinant 2014–2020 metų Europos Sąjungos fondų investicijų veiksmų programą</w:t>
      </w:r>
      <w:r w:rsidRPr="0026034D">
        <w:rPr>
          <w:sz w:val="18"/>
          <w:szCs w:val="18"/>
          <w:lang w:val="lt-LT"/>
        </w:rPr>
        <w:t xml:space="preserve"> </w:t>
      </w:r>
      <w:r w:rsidRPr="0026034D">
        <w:rPr>
          <w:sz w:val="18"/>
          <w:szCs w:val="18"/>
        </w:rPr>
        <w:t>ir rengiantis įgyvendinti 2021–2027 metų Europos Sąjungos fondų investicijų programą, taisyklės</w:t>
      </w:r>
      <w:r w:rsidRPr="00BE6276">
        <w:rPr>
          <w:sz w:val="18"/>
          <w:szCs w:val="18"/>
          <w:lang w:val="lt-LT"/>
        </w:rPr>
        <w:t xml:space="preserve">, </w:t>
      </w:r>
      <w:r w:rsidRPr="00BE6276">
        <w:rPr>
          <w:sz w:val="18"/>
          <w:szCs w:val="18"/>
        </w:rPr>
        <w:t xml:space="preserve">patvirtintos Lietuvos Respublikos Vyriausybės 2014 m. birželio 4 d. nutarimu Nr. 528 „Dėl </w:t>
      </w:r>
      <w:r w:rsidR="00D40B30">
        <w:rPr>
          <w:sz w:val="18"/>
          <w:szCs w:val="18"/>
          <w:lang w:val="lt-LT"/>
        </w:rPr>
        <w:t>a</w:t>
      </w:r>
      <w:r w:rsidRPr="00BE6276">
        <w:rPr>
          <w:sz w:val="18"/>
          <w:szCs w:val="18"/>
        </w:rPr>
        <w:t>tsakomybės ir funkcijų paskirstymo tarp institucijų, įgyvendinant 2014–2020 metų Europos Sąjungos fondų investicijų veiksmų programą</w:t>
      </w:r>
      <w:r w:rsidRPr="00BE6276">
        <w:rPr>
          <w:sz w:val="18"/>
          <w:szCs w:val="18"/>
          <w:lang w:val="lt-LT"/>
        </w:rPr>
        <w:t xml:space="preserve"> </w:t>
      </w:r>
      <w:r w:rsidRPr="00BE6276">
        <w:rPr>
          <w:sz w:val="18"/>
          <w:szCs w:val="18"/>
        </w:rPr>
        <w:t>ir rengiantis įgyvendinti 2021–2027 metų Europos Sąjungos fondų investicijų programą“</w:t>
      </w:r>
      <w:r w:rsidRPr="00BE6276">
        <w:rPr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34D" w:rsidRDefault="0026034D" w:rsidP="00D021B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362F">
      <w:rPr>
        <w:rStyle w:val="Puslapionumeris"/>
        <w:noProof/>
      </w:rPr>
      <w:t>6</w:t>
    </w:r>
    <w:r>
      <w:rPr>
        <w:rStyle w:val="Puslapionumeris"/>
      </w:rPr>
      <w:fldChar w:fldCharType="end"/>
    </w:r>
  </w:p>
  <w:p w:rsidR="0026034D" w:rsidRDefault="0026034D">
    <w:pPr>
      <w:pStyle w:val="Antrats"/>
    </w:pPr>
  </w:p>
  <w:p w:rsidR="0026034D" w:rsidRDefault="0026034D" w:rsidP="00D021B7">
    <w:pPr>
      <w:pStyle w:val="Antrats"/>
      <w:jc w:val="center"/>
    </w:pPr>
  </w:p>
  <w:p w:rsidR="0026034D" w:rsidRDefault="0026034D" w:rsidP="00D021B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30BFF"/>
    <w:multiLevelType w:val="hybridMultilevel"/>
    <w:tmpl w:val="052CA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858AD"/>
    <w:multiLevelType w:val="hybridMultilevel"/>
    <w:tmpl w:val="004EF6E0"/>
    <w:lvl w:ilvl="0" w:tplc="BBECBB2A">
      <w:start w:val="1"/>
      <w:numFmt w:val="decimal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CB35F02"/>
    <w:multiLevelType w:val="hybridMultilevel"/>
    <w:tmpl w:val="94FE479C"/>
    <w:lvl w:ilvl="0" w:tplc="D460F4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98"/>
    <w:rsid w:val="000503F6"/>
    <w:rsid w:val="000A7A10"/>
    <w:rsid w:val="000B2FE6"/>
    <w:rsid w:val="000B4D89"/>
    <w:rsid w:val="000E4E6D"/>
    <w:rsid w:val="000F2DF1"/>
    <w:rsid w:val="001D0C69"/>
    <w:rsid w:val="0024692F"/>
    <w:rsid w:val="002601DF"/>
    <w:rsid w:val="0026034D"/>
    <w:rsid w:val="00280D22"/>
    <w:rsid w:val="00293364"/>
    <w:rsid w:val="00312280"/>
    <w:rsid w:val="00314546"/>
    <w:rsid w:val="0034136F"/>
    <w:rsid w:val="003453BB"/>
    <w:rsid w:val="00374849"/>
    <w:rsid w:val="003A78B5"/>
    <w:rsid w:val="003D0696"/>
    <w:rsid w:val="003F2C93"/>
    <w:rsid w:val="00424761"/>
    <w:rsid w:val="0044495C"/>
    <w:rsid w:val="00450564"/>
    <w:rsid w:val="004845F6"/>
    <w:rsid w:val="004A202E"/>
    <w:rsid w:val="004C2B2F"/>
    <w:rsid w:val="004C53EE"/>
    <w:rsid w:val="005263CF"/>
    <w:rsid w:val="0053264B"/>
    <w:rsid w:val="00542D2F"/>
    <w:rsid w:val="00573C1F"/>
    <w:rsid w:val="0057462A"/>
    <w:rsid w:val="00577083"/>
    <w:rsid w:val="005930B6"/>
    <w:rsid w:val="005A157E"/>
    <w:rsid w:val="005B3AD2"/>
    <w:rsid w:val="005C7035"/>
    <w:rsid w:val="005D1D10"/>
    <w:rsid w:val="005F359B"/>
    <w:rsid w:val="006151FF"/>
    <w:rsid w:val="0068355B"/>
    <w:rsid w:val="006A3E76"/>
    <w:rsid w:val="006D3E06"/>
    <w:rsid w:val="007647C3"/>
    <w:rsid w:val="00765784"/>
    <w:rsid w:val="007751C7"/>
    <w:rsid w:val="00776D61"/>
    <w:rsid w:val="00784943"/>
    <w:rsid w:val="007A0085"/>
    <w:rsid w:val="007A439F"/>
    <w:rsid w:val="007F0148"/>
    <w:rsid w:val="008034AC"/>
    <w:rsid w:val="00834701"/>
    <w:rsid w:val="00864A5A"/>
    <w:rsid w:val="008A18C1"/>
    <w:rsid w:val="008A7AED"/>
    <w:rsid w:val="008B4400"/>
    <w:rsid w:val="008D493D"/>
    <w:rsid w:val="00903642"/>
    <w:rsid w:val="00912685"/>
    <w:rsid w:val="00917BC5"/>
    <w:rsid w:val="00940D11"/>
    <w:rsid w:val="00941442"/>
    <w:rsid w:val="00983100"/>
    <w:rsid w:val="009B0912"/>
    <w:rsid w:val="009B560B"/>
    <w:rsid w:val="009B6161"/>
    <w:rsid w:val="009C0E4C"/>
    <w:rsid w:val="009D64F9"/>
    <w:rsid w:val="00A117EC"/>
    <w:rsid w:val="00A13DD1"/>
    <w:rsid w:val="00A469F6"/>
    <w:rsid w:val="00A8304C"/>
    <w:rsid w:val="00AC7855"/>
    <w:rsid w:val="00AE58EE"/>
    <w:rsid w:val="00AF1EF6"/>
    <w:rsid w:val="00AF7929"/>
    <w:rsid w:val="00B2362F"/>
    <w:rsid w:val="00B9657F"/>
    <w:rsid w:val="00BA7856"/>
    <w:rsid w:val="00BB76CA"/>
    <w:rsid w:val="00BC2B98"/>
    <w:rsid w:val="00BD41CD"/>
    <w:rsid w:val="00BD5645"/>
    <w:rsid w:val="00BE6276"/>
    <w:rsid w:val="00C16EFD"/>
    <w:rsid w:val="00C8492C"/>
    <w:rsid w:val="00C86FB6"/>
    <w:rsid w:val="00C95ED6"/>
    <w:rsid w:val="00CA70B2"/>
    <w:rsid w:val="00CD2160"/>
    <w:rsid w:val="00CE0186"/>
    <w:rsid w:val="00D01D41"/>
    <w:rsid w:val="00D021B7"/>
    <w:rsid w:val="00D07940"/>
    <w:rsid w:val="00D20B9F"/>
    <w:rsid w:val="00D36720"/>
    <w:rsid w:val="00D40B30"/>
    <w:rsid w:val="00D44BAE"/>
    <w:rsid w:val="00D5128C"/>
    <w:rsid w:val="00D94D16"/>
    <w:rsid w:val="00DA3413"/>
    <w:rsid w:val="00DA5E88"/>
    <w:rsid w:val="00DE5286"/>
    <w:rsid w:val="00E10A2F"/>
    <w:rsid w:val="00E82E10"/>
    <w:rsid w:val="00E909BE"/>
    <w:rsid w:val="00EF4F2C"/>
    <w:rsid w:val="00F07F4E"/>
    <w:rsid w:val="00F65399"/>
    <w:rsid w:val="00F773AF"/>
    <w:rsid w:val="00F80D56"/>
    <w:rsid w:val="00FA23FE"/>
    <w:rsid w:val="00FA7E34"/>
    <w:rsid w:val="00FD030C"/>
    <w:rsid w:val="00FE5E53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BC2B9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C2B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C2B98"/>
  </w:style>
  <w:style w:type="paragraph" w:styleId="Sraopastraipa">
    <w:name w:val="List Paragraph"/>
    <w:basedOn w:val="prastasis"/>
    <w:uiPriority w:val="34"/>
    <w:qFormat/>
    <w:rsid w:val="00BC2B98"/>
    <w:pPr>
      <w:ind w:left="720"/>
    </w:pPr>
    <w:rPr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BC2B98"/>
    <w:rPr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rsid w:val="00BC2B98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rsid w:val="00BC2B98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7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78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8A18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E4C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E4C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C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BC2B9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BC2B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C2B98"/>
  </w:style>
  <w:style w:type="paragraph" w:styleId="Sraopastraipa">
    <w:name w:val="List Paragraph"/>
    <w:basedOn w:val="prastasis"/>
    <w:uiPriority w:val="34"/>
    <w:qFormat/>
    <w:rsid w:val="00BC2B98"/>
    <w:pPr>
      <w:ind w:left="720"/>
    </w:pPr>
    <w:rPr>
      <w:sz w:val="20"/>
      <w:szCs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rsid w:val="00BC2B98"/>
    <w:rPr>
      <w:sz w:val="20"/>
      <w:szCs w:val="20"/>
      <w:lang w:val="x-none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rsid w:val="00BC2B98"/>
    <w:rPr>
      <w:vertAlign w:val="superscript"/>
    </w:rPr>
  </w:style>
  <w:style w:type="paragraph" w:styleId="Komentarotekstas">
    <w:name w:val="annotation text"/>
    <w:basedOn w:val="prastasis"/>
    <w:link w:val="KomentarotekstasDiagrama"/>
    <w:uiPriority w:val="99"/>
    <w:rsid w:val="00BC2B98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2B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7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784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8A18C1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0E4C"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0E4C"/>
    <w:rPr>
      <w:rFonts w:ascii="Times New Roman" w:eastAsia="Times New Roman" w:hAnsi="Times New Roman" w:cs="Times New Roman"/>
      <w:b/>
      <w:bCs/>
      <w:sz w:val="20"/>
      <w:szCs w:val="20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3EB8-653E-48DD-8B93-94550457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5743</Words>
  <Characters>3275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Žukauskienė</dc:creator>
  <cp:lastModifiedBy>Laimutė Žukauskienė</cp:lastModifiedBy>
  <cp:revision>15</cp:revision>
  <cp:lastPrinted>2020-09-10T04:31:00Z</cp:lastPrinted>
  <dcterms:created xsi:type="dcterms:W3CDTF">2021-02-02T07:51:00Z</dcterms:created>
  <dcterms:modified xsi:type="dcterms:W3CDTF">2021-02-11T09:00:00Z</dcterms:modified>
</cp:coreProperties>
</file>