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FF78F" w14:textId="5BCB9189" w:rsidR="00822666" w:rsidRPr="00822666" w:rsidRDefault="00822666" w:rsidP="00DA5CE5">
      <w:pPr>
        <w:jc w:val="center"/>
        <w:rPr>
          <w:b/>
          <w:szCs w:val="24"/>
        </w:rPr>
      </w:pPr>
      <w:r w:rsidRPr="00822666">
        <w:rPr>
          <w:b/>
          <w:caps/>
          <w:szCs w:val="24"/>
        </w:rPr>
        <w:t>20</w:t>
      </w:r>
      <w:r w:rsidR="005568C9">
        <w:rPr>
          <w:b/>
          <w:caps/>
          <w:szCs w:val="24"/>
        </w:rPr>
        <w:t>2</w:t>
      </w:r>
      <w:r w:rsidRPr="00822666">
        <w:rPr>
          <w:b/>
          <w:caps/>
          <w:szCs w:val="24"/>
        </w:rPr>
        <w:t xml:space="preserve">1 m. </w:t>
      </w:r>
      <w:r w:rsidR="00EB7505" w:rsidRPr="00EB7505">
        <w:rPr>
          <w:b/>
          <w:caps/>
          <w:szCs w:val="24"/>
        </w:rPr>
        <w:t>balandžio 28</w:t>
      </w:r>
      <w:r w:rsidR="00DA5CE5" w:rsidRPr="00DA5CE5">
        <w:rPr>
          <w:b/>
          <w:caps/>
          <w:szCs w:val="24"/>
        </w:rPr>
        <w:t xml:space="preserve"> d</w:t>
      </w:r>
      <w:r w:rsidR="00DA5CE5">
        <w:rPr>
          <w:b/>
          <w:caps/>
          <w:szCs w:val="24"/>
        </w:rPr>
        <w:t xml:space="preserve"> </w:t>
      </w:r>
      <w:r w:rsidRPr="00822666">
        <w:rPr>
          <w:b/>
          <w:caps/>
          <w:szCs w:val="24"/>
        </w:rPr>
        <w:t>. Europos Parlamento ir Tarybos reglament</w:t>
      </w:r>
      <w:r>
        <w:rPr>
          <w:b/>
          <w:caps/>
          <w:szCs w:val="24"/>
        </w:rPr>
        <w:t>O</w:t>
      </w:r>
      <w:r w:rsidRPr="00822666">
        <w:rPr>
          <w:b/>
          <w:caps/>
          <w:szCs w:val="24"/>
        </w:rPr>
        <w:t xml:space="preserve"> (ES) Nr. </w:t>
      </w:r>
      <w:r w:rsidR="00DA5CE5" w:rsidRPr="00DA5CE5">
        <w:rPr>
          <w:b/>
          <w:caps/>
          <w:szCs w:val="24"/>
        </w:rPr>
        <w:t>2021/</w:t>
      </w:r>
      <w:r w:rsidR="00B15C45" w:rsidRPr="00B15C45">
        <w:rPr>
          <w:b/>
          <w:caps/>
          <w:szCs w:val="24"/>
        </w:rPr>
        <w:t>692</w:t>
      </w:r>
      <w:r w:rsidRPr="00822666">
        <w:rPr>
          <w:b/>
          <w:caps/>
          <w:szCs w:val="24"/>
        </w:rPr>
        <w:t xml:space="preserve">, </w:t>
      </w:r>
      <w:r w:rsidR="00DA5CE5" w:rsidRPr="00DA5CE5">
        <w:rPr>
          <w:b/>
          <w:caps/>
          <w:szCs w:val="24"/>
        </w:rPr>
        <w:t>kuriuo nustatoma Piliečių, lygybės, teisių ir vertybių programa ir kuriuo panaikinami Europos Parlamento ir Tarybos reglamentas (ES) Nr. 1381/2013 ir Tarybos reglamentas (ES) Nr. 390/2014</w:t>
      </w:r>
      <w:r>
        <w:rPr>
          <w:b/>
          <w:caps/>
          <w:szCs w:val="24"/>
        </w:rPr>
        <w:t>,</w:t>
      </w:r>
      <w:r w:rsidRPr="00822666">
        <w:rPr>
          <w:b/>
          <w:caps/>
          <w:szCs w:val="24"/>
        </w:rPr>
        <w:t xml:space="preserve"> IR LIETUVOS RESPUBLIKOS VYRIAUSYBĖS NUTARIMO </w:t>
      </w:r>
      <w:r w:rsidR="00CF7288" w:rsidRPr="00CF7288">
        <w:rPr>
          <w:rFonts w:eastAsia="Calibri"/>
          <w:b/>
          <w:szCs w:val="24"/>
        </w:rPr>
        <w:t xml:space="preserve">DĖL </w:t>
      </w:r>
      <w:r w:rsidR="003C25AD" w:rsidRPr="003C25AD">
        <w:rPr>
          <w:rFonts w:eastAsia="Calibri"/>
          <w:b/>
          <w:szCs w:val="24"/>
        </w:rPr>
        <w:t>INSTITUCIJŲ, ATSAKINGŲ UŽ PILIEČIŲ, LYGYBĖS, TEISIŲ IR VERTYBIŲ PROGRAMOS ĮGYVENDINIMĄ LIETUVOS RESPUBLIKOJE, PASKYRIMO</w:t>
      </w:r>
      <w:r w:rsidR="00D61985" w:rsidRPr="00D61985">
        <w:rPr>
          <w:rFonts w:eastAsia="Calibri"/>
          <w:b/>
          <w:szCs w:val="24"/>
        </w:rPr>
        <w:t xml:space="preserve"> </w:t>
      </w:r>
      <w:r w:rsidRPr="00822666">
        <w:rPr>
          <w:b/>
          <w:caps/>
          <w:szCs w:val="24"/>
        </w:rPr>
        <w:t>ATITIKTIES LENTELĖ</w:t>
      </w:r>
    </w:p>
    <w:p w14:paraId="52592554" w14:textId="77777777" w:rsidR="00135989" w:rsidRDefault="00135989">
      <w:pPr>
        <w:jc w:val="left"/>
        <w:rPr>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7110"/>
        <w:gridCol w:w="1800"/>
      </w:tblGrid>
      <w:tr w:rsidR="00135989" w:rsidRPr="006C3C46" w14:paraId="07425DE3" w14:textId="77777777" w:rsidTr="00822666">
        <w:tc>
          <w:tcPr>
            <w:tcW w:w="6210" w:type="dxa"/>
          </w:tcPr>
          <w:p w14:paraId="40F9F570" w14:textId="516A98AF" w:rsidR="00135989" w:rsidRPr="007B4BBA" w:rsidRDefault="00060D17" w:rsidP="00CF7288">
            <w:pPr>
              <w:jc w:val="left"/>
              <w:rPr>
                <w:szCs w:val="24"/>
              </w:rPr>
            </w:pPr>
            <w:r w:rsidRPr="00060D17">
              <w:rPr>
                <w:szCs w:val="24"/>
              </w:rPr>
              <w:t>2021 m. balandžio 28 d. Europos Parlamento ir Tarybos reglament</w:t>
            </w:r>
            <w:r>
              <w:rPr>
                <w:szCs w:val="24"/>
              </w:rPr>
              <w:t>as</w:t>
            </w:r>
            <w:r w:rsidRPr="00060D17">
              <w:rPr>
                <w:szCs w:val="24"/>
              </w:rPr>
              <w:t xml:space="preserve"> (ES) 2021/692</w:t>
            </w:r>
            <w:r w:rsidR="00822666" w:rsidRPr="00822666">
              <w:rPr>
                <w:szCs w:val="24"/>
              </w:rPr>
              <w:t xml:space="preserve">, </w:t>
            </w:r>
            <w:r w:rsidR="00CF7288" w:rsidRPr="00CF7288">
              <w:rPr>
                <w:szCs w:val="24"/>
              </w:rPr>
              <w:t>kuriuo nustatoma Piliečių, lygybės, teisių ir vertybių programa ir kuriuo panaikinami Europos Parlamento ir Tarybos reglamentas (ES) Nr. 1381/2013 ir Tarybos reglamentas (ES) Nr. 390/2014</w:t>
            </w:r>
          </w:p>
        </w:tc>
        <w:tc>
          <w:tcPr>
            <w:tcW w:w="7110" w:type="dxa"/>
          </w:tcPr>
          <w:p w14:paraId="31028706" w14:textId="5947A5A7" w:rsidR="006E5208" w:rsidRPr="00B65A81" w:rsidRDefault="006E5208" w:rsidP="006E5208">
            <w:pPr>
              <w:jc w:val="left"/>
              <w:rPr>
                <w:b/>
                <w:szCs w:val="24"/>
              </w:rPr>
            </w:pPr>
            <w:r w:rsidRPr="00B65A81">
              <w:rPr>
                <w:b/>
                <w:szCs w:val="24"/>
              </w:rPr>
              <w:t>Lietuvos Respublikos Vyriausybės nutarimo „</w:t>
            </w:r>
            <w:r w:rsidR="00A75131" w:rsidRPr="00A75131">
              <w:rPr>
                <w:b/>
                <w:szCs w:val="24"/>
              </w:rPr>
              <w:t>Dėl institucijų, atsakingų už Piliečių, lygybės, teisių ir vertybių programos įgyvendinimą Lietuvos Respublikoje, paskyrimo</w:t>
            </w:r>
            <w:r w:rsidRPr="00B65A81">
              <w:rPr>
                <w:b/>
              </w:rPr>
              <w:t xml:space="preserve">“ </w:t>
            </w:r>
            <w:r w:rsidR="0031321F" w:rsidRPr="0031321F">
              <w:rPr>
                <w:b/>
              </w:rPr>
              <w:t>projektas (toliau – Projektas)</w:t>
            </w:r>
          </w:p>
        </w:tc>
        <w:tc>
          <w:tcPr>
            <w:tcW w:w="1800" w:type="dxa"/>
          </w:tcPr>
          <w:p w14:paraId="4902B0B8" w14:textId="77777777" w:rsidR="00135989" w:rsidRPr="007B4BBA" w:rsidRDefault="00135989" w:rsidP="00281A53">
            <w:pPr>
              <w:pStyle w:val="Antrats"/>
              <w:jc w:val="left"/>
              <w:rPr>
                <w:szCs w:val="24"/>
              </w:rPr>
            </w:pPr>
            <w:r w:rsidRPr="007B4BBA">
              <w:rPr>
                <w:szCs w:val="24"/>
              </w:rPr>
              <w:t>Reglamento perkėlimo (įgyvendinimo) lygis</w:t>
            </w:r>
          </w:p>
        </w:tc>
      </w:tr>
      <w:tr w:rsidR="00D6114C" w:rsidRPr="006C3C46" w14:paraId="76AC0360" w14:textId="77777777" w:rsidTr="00822666">
        <w:tc>
          <w:tcPr>
            <w:tcW w:w="6210" w:type="dxa"/>
          </w:tcPr>
          <w:p w14:paraId="0CE245A4" w14:textId="51D1F33D" w:rsidR="0069653B" w:rsidRPr="00794E88" w:rsidRDefault="0069653B" w:rsidP="0069653B">
            <w:pPr>
              <w:pStyle w:val="Default"/>
              <w:rPr>
                <w:rFonts w:ascii="Times New Roman" w:hAnsi="Times New Roman" w:cs="Times New Roman"/>
                <w:b/>
              </w:rPr>
            </w:pPr>
            <w:r w:rsidRPr="00794E88">
              <w:rPr>
                <w:rFonts w:ascii="Times New Roman" w:hAnsi="Times New Roman" w:cs="Times New Roman"/>
                <w:b/>
              </w:rPr>
              <w:t>2 straipsnio 2 dalis</w:t>
            </w:r>
          </w:p>
          <w:p w14:paraId="259CB75C" w14:textId="7E6D5E52" w:rsidR="0069653B" w:rsidRPr="0069653B" w:rsidRDefault="0069653B" w:rsidP="0069653B">
            <w:pPr>
              <w:pStyle w:val="Default"/>
              <w:rPr>
                <w:rFonts w:ascii="Times New Roman" w:hAnsi="Times New Roman" w:cs="Times New Roman"/>
              </w:rPr>
            </w:pPr>
            <w:r w:rsidRPr="0069653B">
              <w:rPr>
                <w:rFonts w:ascii="Times New Roman" w:hAnsi="Times New Roman" w:cs="Times New Roman"/>
              </w:rPr>
              <w:t>Atsižvelgiant į 1 dalyje išdėstytą bendrąjį tikslą, Programa siekiama šių konkrečių tikslų, kurie atitinka paprogrames:</w:t>
            </w:r>
          </w:p>
          <w:p w14:paraId="0EBF712F" w14:textId="3E1735BB" w:rsidR="0007014B" w:rsidRPr="0007014B" w:rsidRDefault="0007014B" w:rsidP="0007014B">
            <w:pPr>
              <w:pStyle w:val="Default"/>
              <w:rPr>
                <w:rFonts w:ascii="Times New Roman" w:hAnsi="Times New Roman" w:cs="Times New Roman"/>
              </w:rPr>
            </w:pPr>
            <w:r w:rsidRPr="0007014B">
              <w:rPr>
                <w:rFonts w:ascii="Times New Roman" w:hAnsi="Times New Roman" w:cs="Times New Roman"/>
              </w:rPr>
              <w:t>a)</w:t>
            </w:r>
            <w:r>
              <w:rPr>
                <w:rFonts w:ascii="Times New Roman" w:hAnsi="Times New Roman" w:cs="Times New Roman"/>
              </w:rPr>
              <w:t xml:space="preserve"> </w:t>
            </w:r>
            <w:r w:rsidRPr="0007014B">
              <w:rPr>
                <w:rFonts w:ascii="Times New Roman" w:hAnsi="Times New Roman" w:cs="Times New Roman"/>
              </w:rPr>
              <w:t>saugoti ir propaguoti Sąjungos vertybes (Sąjungos vertybių paprogramė);</w:t>
            </w:r>
          </w:p>
          <w:p w14:paraId="5960F007" w14:textId="4CD56CF9" w:rsidR="0007014B" w:rsidRPr="0007014B" w:rsidRDefault="0007014B" w:rsidP="0007014B">
            <w:pPr>
              <w:pStyle w:val="Default"/>
              <w:rPr>
                <w:rFonts w:ascii="Times New Roman" w:hAnsi="Times New Roman" w:cs="Times New Roman"/>
              </w:rPr>
            </w:pPr>
            <w:r w:rsidRPr="0007014B">
              <w:rPr>
                <w:rFonts w:ascii="Times New Roman" w:hAnsi="Times New Roman" w:cs="Times New Roman"/>
              </w:rPr>
              <w:t>b)</w:t>
            </w:r>
            <w:r>
              <w:rPr>
                <w:rFonts w:ascii="Times New Roman" w:hAnsi="Times New Roman" w:cs="Times New Roman"/>
              </w:rPr>
              <w:t xml:space="preserve"> </w:t>
            </w:r>
            <w:r w:rsidRPr="0007014B">
              <w:rPr>
                <w:rFonts w:ascii="Times New Roman" w:hAnsi="Times New Roman" w:cs="Times New Roman"/>
              </w:rPr>
              <w:t>propaguoti teises, nediskriminavimą ir lygybę, įskaitant lyčių lygybę, ir skatinti lyčių aspekto integravimą bei nediskriminavimo aspekto integravimą (lygybės, teisių ir lyčių lygybės paprogramė);</w:t>
            </w:r>
          </w:p>
          <w:p w14:paraId="4015C4B2" w14:textId="2B3C1235" w:rsidR="0007014B" w:rsidRPr="0007014B" w:rsidRDefault="0007014B" w:rsidP="0007014B">
            <w:pPr>
              <w:pStyle w:val="Default"/>
              <w:rPr>
                <w:rFonts w:ascii="Times New Roman" w:hAnsi="Times New Roman" w:cs="Times New Roman"/>
              </w:rPr>
            </w:pPr>
            <w:r w:rsidRPr="0007014B">
              <w:rPr>
                <w:rFonts w:ascii="Times New Roman" w:hAnsi="Times New Roman" w:cs="Times New Roman"/>
              </w:rPr>
              <w:t>c)</w:t>
            </w:r>
            <w:r w:rsidR="00DC26EE">
              <w:rPr>
                <w:rFonts w:ascii="Times New Roman" w:hAnsi="Times New Roman" w:cs="Times New Roman"/>
              </w:rPr>
              <w:t xml:space="preserve"> </w:t>
            </w:r>
            <w:r w:rsidRPr="0007014B">
              <w:rPr>
                <w:rFonts w:ascii="Times New Roman" w:hAnsi="Times New Roman" w:cs="Times New Roman"/>
              </w:rPr>
              <w:t>skatinti piliečių aktyvumą ir dalyvavimą demokratiniame Sąjungos gyvenime bei įvairių valstybių narių piliečių mainus ir didinti informuotumą apie jų bendrą Europos istoriją (Piliečių aktyvumo ir dalyvavimo paprogramė);</w:t>
            </w:r>
          </w:p>
          <w:p w14:paraId="7C76A5EA" w14:textId="1E7A95B5" w:rsidR="00D6114C" w:rsidRPr="0069653B" w:rsidRDefault="0007014B" w:rsidP="00DC26EE">
            <w:pPr>
              <w:pStyle w:val="Default"/>
              <w:rPr>
                <w:rFonts w:ascii="Times New Roman" w:hAnsi="Times New Roman" w:cs="Times New Roman"/>
              </w:rPr>
            </w:pPr>
            <w:r w:rsidRPr="0007014B">
              <w:rPr>
                <w:rFonts w:ascii="Times New Roman" w:hAnsi="Times New Roman" w:cs="Times New Roman"/>
              </w:rPr>
              <w:t>d)</w:t>
            </w:r>
            <w:r w:rsidR="00DC26EE">
              <w:rPr>
                <w:rFonts w:ascii="Times New Roman" w:hAnsi="Times New Roman" w:cs="Times New Roman"/>
              </w:rPr>
              <w:t xml:space="preserve"> </w:t>
            </w:r>
            <w:r w:rsidRPr="0007014B">
              <w:rPr>
                <w:rFonts w:ascii="Times New Roman" w:hAnsi="Times New Roman" w:cs="Times New Roman"/>
              </w:rPr>
              <w:t>kovoti su smurtu, įskaitant smurtą dėl lyties (Paprogramė „</w:t>
            </w:r>
            <w:proofErr w:type="spellStart"/>
            <w:r w:rsidRPr="0007014B">
              <w:rPr>
                <w:rFonts w:ascii="Times New Roman" w:hAnsi="Times New Roman" w:cs="Times New Roman"/>
              </w:rPr>
              <w:t>Daphne</w:t>
            </w:r>
            <w:proofErr w:type="spellEnd"/>
            <w:r w:rsidRPr="0007014B">
              <w:rPr>
                <w:rFonts w:ascii="Times New Roman" w:hAnsi="Times New Roman" w:cs="Times New Roman"/>
              </w:rPr>
              <w:t>“).</w:t>
            </w:r>
          </w:p>
        </w:tc>
        <w:tc>
          <w:tcPr>
            <w:tcW w:w="7110" w:type="dxa"/>
            <w:vMerge w:val="restart"/>
          </w:tcPr>
          <w:p w14:paraId="2F23C8E5" w14:textId="172CDCFB" w:rsidR="00D6114C" w:rsidRPr="00421D26" w:rsidRDefault="006E5208" w:rsidP="00421D26">
            <w:pPr>
              <w:rPr>
                <w:szCs w:val="24"/>
              </w:rPr>
            </w:pPr>
            <w:r w:rsidRPr="00421D26">
              <w:rPr>
                <w:b/>
                <w:szCs w:val="24"/>
              </w:rPr>
              <w:t>Projektas</w:t>
            </w:r>
          </w:p>
          <w:p w14:paraId="7EF2BE7E" w14:textId="64E4895C" w:rsidR="00032E98" w:rsidRPr="00032E98" w:rsidRDefault="00B92ECE" w:rsidP="00032E98">
            <w:pPr>
              <w:ind w:firstLine="720"/>
              <w:rPr>
                <w:szCs w:val="24"/>
              </w:rPr>
            </w:pPr>
            <w:r w:rsidRPr="00B92ECE">
              <w:rPr>
                <w:szCs w:val="24"/>
              </w:rPr>
              <w:t>Siekdama įgyvendinti Piliečių, lygybės, teisių ir vertybių programą Lietuvos Respublikoje ir atsižvelgdama į Lietuvos Respublikos strateginio valdymo įstatymo 3 straipsnio 17 dalies 8 punktą, 17 straipsnio 5 dalį ir 2021 m. balandžio 28 d. Europos Parlamento ir Tarybos reglamentą (ES) 2021/692, kuriuo nustatoma Piliečių, lygybės, teisių ir vertybių programa ir kuriuo panaikinami Europos Parlamento ir Tarybos reglamentas (ES) Nr. 1381/2013 ir Tarybos reglamentas (ES) Nr. 390/2014, Lietuvos Respublikos Vyriausybė</w:t>
            </w:r>
            <w:r w:rsidR="00032E98" w:rsidRPr="00032E98">
              <w:rPr>
                <w:szCs w:val="24"/>
              </w:rPr>
              <w:t xml:space="preserve"> nutaria:</w:t>
            </w:r>
          </w:p>
          <w:p w14:paraId="4DD8ACED" w14:textId="77777777" w:rsidR="006D493E" w:rsidRPr="006D493E" w:rsidRDefault="006D493E" w:rsidP="006D493E">
            <w:pPr>
              <w:ind w:firstLine="720"/>
              <w:rPr>
                <w:szCs w:val="24"/>
              </w:rPr>
            </w:pPr>
            <w:r w:rsidRPr="006D493E">
              <w:rPr>
                <w:szCs w:val="24"/>
              </w:rPr>
              <w:t>1. Paskirti institucijas, atsakingas už Piliečių, lygybės, teisių ir vertybių programos (toliau – Programa) įgyvendinimą:</w:t>
            </w:r>
          </w:p>
          <w:p w14:paraId="0C6ECC3A" w14:textId="77777777" w:rsidR="006D493E" w:rsidRPr="006D493E" w:rsidRDefault="006D493E" w:rsidP="006D493E">
            <w:pPr>
              <w:ind w:firstLine="720"/>
              <w:rPr>
                <w:szCs w:val="24"/>
              </w:rPr>
            </w:pPr>
            <w:r w:rsidRPr="006D493E">
              <w:rPr>
                <w:szCs w:val="24"/>
              </w:rPr>
              <w:t>1.1. Lietuvos Respublikos socialinės apsaugos ir darbo ministeriją – Programos įgyvendinimą koordinuojančia ir Lietuvos Respublikos interesams komitete atstovaujančia institucija;</w:t>
            </w:r>
          </w:p>
          <w:p w14:paraId="119D9587" w14:textId="77777777" w:rsidR="006D493E" w:rsidRPr="006D493E" w:rsidRDefault="006D493E" w:rsidP="006D493E">
            <w:pPr>
              <w:ind w:firstLine="720"/>
              <w:rPr>
                <w:szCs w:val="24"/>
              </w:rPr>
            </w:pPr>
            <w:r w:rsidRPr="006D493E">
              <w:rPr>
                <w:szCs w:val="24"/>
              </w:rPr>
              <w:t>1.2. Lietuvos Respublikos teisingumo ministeriją – įgyvendinant Programą dalyvaujančia institucija;</w:t>
            </w:r>
          </w:p>
          <w:p w14:paraId="657E2851" w14:textId="77777777" w:rsidR="006D493E" w:rsidRPr="006D493E" w:rsidRDefault="006D493E" w:rsidP="006D493E">
            <w:pPr>
              <w:ind w:firstLine="720"/>
              <w:rPr>
                <w:szCs w:val="24"/>
              </w:rPr>
            </w:pPr>
            <w:r w:rsidRPr="006D493E">
              <w:rPr>
                <w:szCs w:val="24"/>
              </w:rPr>
              <w:t>1.3. Lietuvos Respublikos kultūros ministeriją – įgyvendinant Programą dalyvaujančia  institucija;</w:t>
            </w:r>
          </w:p>
          <w:p w14:paraId="33DDA82F" w14:textId="77777777" w:rsidR="006D493E" w:rsidRPr="006D493E" w:rsidRDefault="006D493E" w:rsidP="006D493E">
            <w:pPr>
              <w:ind w:firstLine="720"/>
              <w:rPr>
                <w:szCs w:val="24"/>
              </w:rPr>
            </w:pPr>
            <w:r w:rsidRPr="006D493E">
              <w:rPr>
                <w:szCs w:val="24"/>
              </w:rPr>
              <w:t>1.4. viešąją įstaigą Europos socialinio fondo agentūrą – Programos kontaktiniu punktu.</w:t>
            </w:r>
          </w:p>
          <w:p w14:paraId="7122F298" w14:textId="5989D71C" w:rsidR="00E51C53" w:rsidRPr="00421D26" w:rsidRDefault="006D493E" w:rsidP="006D493E">
            <w:pPr>
              <w:pStyle w:val="Default"/>
              <w:ind w:firstLine="743"/>
              <w:jc w:val="both"/>
              <w:rPr>
                <w:rFonts w:ascii="Times New Roman" w:hAnsi="Times New Roman" w:cs="Times New Roman"/>
              </w:rPr>
            </w:pPr>
            <w:r w:rsidRPr="006D493E">
              <w:t xml:space="preserve">2. Pavesti Programos įgyvendinimą koordinuojančiai ir Lietuvos Respublikos interesams komitete atstovaujančiai institucijai ne vėliau kaip per 30 dienų nuo Reglamento (ES) 2021/692 įsigaliojimo dienos </w:t>
            </w:r>
            <w:r w:rsidRPr="006D493E">
              <w:lastRenderedPageBreak/>
              <w:t>patvirtinti šio nutarimo 1.4 papunktyje nurodyto Programos kontaktinio punkto funkcijų sąrašą</w:t>
            </w:r>
            <w:r w:rsidR="00315100" w:rsidRPr="00315100">
              <w:t>.</w:t>
            </w:r>
          </w:p>
        </w:tc>
        <w:tc>
          <w:tcPr>
            <w:tcW w:w="1800" w:type="dxa"/>
            <w:vMerge w:val="restart"/>
          </w:tcPr>
          <w:p w14:paraId="64C1B790" w14:textId="77777777" w:rsidR="00D6114C" w:rsidRPr="006C3C46" w:rsidRDefault="00D6114C" w:rsidP="00281A53">
            <w:pPr>
              <w:rPr>
                <w:szCs w:val="24"/>
              </w:rPr>
            </w:pPr>
            <w:r w:rsidRPr="006C3C46">
              <w:rPr>
                <w:szCs w:val="24"/>
              </w:rPr>
              <w:lastRenderedPageBreak/>
              <w:t>Visiškas</w:t>
            </w:r>
          </w:p>
        </w:tc>
      </w:tr>
      <w:tr w:rsidR="00D6114C" w:rsidRPr="006C3C46" w14:paraId="2A46EF87" w14:textId="77777777" w:rsidTr="00822666">
        <w:tc>
          <w:tcPr>
            <w:tcW w:w="6210" w:type="dxa"/>
          </w:tcPr>
          <w:p w14:paraId="34AF135A" w14:textId="77777777" w:rsidR="00794E88" w:rsidRPr="00794E88" w:rsidRDefault="00794E88" w:rsidP="00794E88">
            <w:pPr>
              <w:pStyle w:val="Default"/>
              <w:rPr>
                <w:rFonts w:ascii="Times New Roman" w:hAnsi="Times New Roman" w:cs="Times New Roman"/>
                <w:b/>
              </w:rPr>
            </w:pPr>
            <w:r w:rsidRPr="00794E88">
              <w:rPr>
                <w:rFonts w:ascii="Times New Roman" w:hAnsi="Times New Roman" w:cs="Times New Roman"/>
                <w:b/>
              </w:rPr>
              <w:t>21 straipsnis</w:t>
            </w:r>
          </w:p>
          <w:p w14:paraId="6CDFCFE5" w14:textId="2C52DDCD" w:rsidR="004F5799" w:rsidRPr="004F5799" w:rsidRDefault="004F5799" w:rsidP="004F5799">
            <w:pPr>
              <w:pStyle w:val="Default"/>
              <w:rPr>
                <w:rFonts w:ascii="Times New Roman" w:hAnsi="Times New Roman" w:cs="Times New Roman"/>
              </w:rPr>
            </w:pPr>
            <w:r w:rsidRPr="004F5799">
              <w:rPr>
                <w:rFonts w:ascii="Times New Roman" w:hAnsi="Times New Roman" w:cs="Times New Roman"/>
              </w:rPr>
              <w:t>Kiekviena valstybė narė gali įsteigti Programos kontaktinius punktus, kurie atsakingi už nešališkų gairių, praktinės informacijos pateikimą ir pagalbos teikimą Programos pareiškėjams, suinteresuotiesiems subjektams ir paramos gavėjams, kiek tai susiję su visais jos aspektais, be kita ko, su paraiškų teikimo procedūra, naudotojams patogios informacijos ir Programos rezultatų sklaida, partneriams skirtais tyrimais, mokymu ir formalumais.</w:t>
            </w:r>
          </w:p>
          <w:p w14:paraId="7D19CFA7" w14:textId="61378225" w:rsidR="00D6114C" w:rsidRPr="00463063" w:rsidRDefault="004F5799" w:rsidP="004F5799">
            <w:pPr>
              <w:pStyle w:val="Default"/>
              <w:jc w:val="both"/>
              <w:rPr>
                <w:rFonts w:ascii="Times New Roman" w:hAnsi="Times New Roman" w:cs="Times New Roman"/>
              </w:rPr>
            </w:pPr>
            <w:r w:rsidRPr="004F5799">
              <w:rPr>
                <w:rFonts w:ascii="Times New Roman" w:hAnsi="Times New Roman" w:cs="Times New Roman"/>
              </w:rPr>
              <w:lastRenderedPageBreak/>
              <w:t>Programos kontaktiniai punktai savo funkcijas atlieka nepriklausomai.</w:t>
            </w:r>
          </w:p>
        </w:tc>
        <w:tc>
          <w:tcPr>
            <w:tcW w:w="7110" w:type="dxa"/>
            <w:vMerge/>
          </w:tcPr>
          <w:p w14:paraId="62403F90" w14:textId="77777777" w:rsidR="00D6114C" w:rsidRDefault="00D6114C" w:rsidP="00FE7DBB">
            <w:pPr>
              <w:spacing w:line="360" w:lineRule="atLeast"/>
              <w:rPr>
                <w:szCs w:val="24"/>
              </w:rPr>
            </w:pPr>
          </w:p>
        </w:tc>
        <w:tc>
          <w:tcPr>
            <w:tcW w:w="1800" w:type="dxa"/>
            <w:vMerge/>
          </w:tcPr>
          <w:p w14:paraId="55D367EE" w14:textId="77777777" w:rsidR="00D6114C" w:rsidRPr="006C3C46" w:rsidRDefault="00D6114C" w:rsidP="00281A53">
            <w:pPr>
              <w:rPr>
                <w:szCs w:val="24"/>
              </w:rPr>
            </w:pPr>
          </w:p>
        </w:tc>
      </w:tr>
    </w:tbl>
    <w:p w14:paraId="7E5FCE41" w14:textId="77777777" w:rsidR="00135989" w:rsidRDefault="00135989" w:rsidP="00206223">
      <w:pPr>
        <w:rPr>
          <w:szCs w:val="24"/>
        </w:rPr>
      </w:pPr>
    </w:p>
    <w:p w14:paraId="3C788701" w14:textId="77777777" w:rsidR="00FE7DBB" w:rsidRDefault="00FE7DBB" w:rsidP="00206223">
      <w:pPr>
        <w:rPr>
          <w:szCs w:val="24"/>
        </w:rPr>
      </w:pPr>
    </w:p>
    <w:sectPr w:rsidR="00FE7DBB" w:rsidSect="007B4BBA">
      <w:footerReference w:type="even" r:id="rId8"/>
      <w:footerReference w:type="default" r:id="rId9"/>
      <w:pgSz w:w="16840" w:h="11907" w:orient="landscape" w:code="9"/>
      <w:pgMar w:top="1276" w:right="1134"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7AF29" w14:textId="77777777" w:rsidR="00587473" w:rsidRDefault="00587473">
      <w:r>
        <w:separator/>
      </w:r>
    </w:p>
  </w:endnote>
  <w:endnote w:type="continuationSeparator" w:id="0">
    <w:p w14:paraId="28426464" w14:textId="77777777" w:rsidR="00587473" w:rsidRDefault="0058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159D" w14:textId="77777777" w:rsidR="00C65A02" w:rsidRDefault="00C65A02" w:rsidP="008A7BA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E319DB" w14:textId="77777777" w:rsidR="00C65A02" w:rsidRDefault="00C65A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C2C4" w14:textId="77777777" w:rsidR="00C65A02" w:rsidRDefault="00C65A02" w:rsidP="002B140E">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99F04" w14:textId="77777777" w:rsidR="00587473" w:rsidRDefault="00587473">
      <w:r>
        <w:separator/>
      </w:r>
    </w:p>
  </w:footnote>
  <w:footnote w:type="continuationSeparator" w:id="0">
    <w:p w14:paraId="0B0DCE07" w14:textId="77777777" w:rsidR="00587473" w:rsidRDefault="0058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43FC3"/>
    <w:multiLevelType w:val="singleLevel"/>
    <w:tmpl w:val="33EC5718"/>
    <w:lvl w:ilvl="0">
      <w:start w:val="1"/>
      <w:numFmt w:val="decimal"/>
      <w:lvlText w:val="%1."/>
      <w:lvlJc w:val="left"/>
      <w:pPr>
        <w:tabs>
          <w:tab w:val="num" w:pos="360"/>
        </w:tabs>
        <w:ind w:left="360" w:hanging="360"/>
      </w:pPr>
      <w:rPr>
        <w:rFonts w:hint="default"/>
      </w:rPr>
    </w:lvl>
  </w:abstractNum>
  <w:abstractNum w:abstractNumId="1" w15:restartNumberingAfterBreak="0">
    <w:nsid w:val="187A2733"/>
    <w:multiLevelType w:val="singleLevel"/>
    <w:tmpl w:val="33EC5718"/>
    <w:lvl w:ilvl="0">
      <w:start w:val="1"/>
      <w:numFmt w:val="decimal"/>
      <w:lvlText w:val="%1."/>
      <w:lvlJc w:val="left"/>
      <w:pPr>
        <w:tabs>
          <w:tab w:val="num" w:pos="360"/>
        </w:tabs>
        <w:ind w:left="360" w:hanging="360"/>
      </w:pPr>
      <w:rPr>
        <w:rFonts w:hint="default"/>
      </w:rPr>
    </w:lvl>
  </w:abstractNum>
  <w:abstractNum w:abstractNumId="2" w15:restartNumberingAfterBreak="0">
    <w:nsid w:val="26891EB6"/>
    <w:multiLevelType w:val="singleLevel"/>
    <w:tmpl w:val="33EC5718"/>
    <w:lvl w:ilvl="0">
      <w:start w:val="1"/>
      <w:numFmt w:val="decimal"/>
      <w:lvlText w:val="%1."/>
      <w:lvlJc w:val="left"/>
      <w:pPr>
        <w:tabs>
          <w:tab w:val="num" w:pos="360"/>
        </w:tabs>
        <w:ind w:left="360" w:hanging="360"/>
      </w:pPr>
      <w:rPr>
        <w:rFonts w:hint="default"/>
      </w:rPr>
    </w:lvl>
  </w:abstractNum>
  <w:abstractNum w:abstractNumId="3" w15:restartNumberingAfterBreak="0">
    <w:nsid w:val="288D5465"/>
    <w:multiLevelType w:val="singleLevel"/>
    <w:tmpl w:val="B8BEEF3A"/>
    <w:lvl w:ilvl="0">
      <w:start w:val="1"/>
      <w:numFmt w:val="bullet"/>
      <w:lvlText w:val="-"/>
      <w:lvlJc w:val="left"/>
      <w:pPr>
        <w:tabs>
          <w:tab w:val="num" w:pos="360"/>
        </w:tabs>
        <w:ind w:left="360" w:hanging="360"/>
      </w:pPr>
      <w:rPr>
        <w:rFonts w:hint="default"/>
      </w:rPr>
    </w:lvl>
  </w:abstractNum>
  <w:abstractNum w:abstractNumId="4" w15:restartNumberingAfterBreak="0">
    <w:nsid w:val="32854A4C"/>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4A3052D9"/>
    <w:multiLevelType w:val="hybridMultilevel"/>
    <w:tmpl w:val="0D8882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A43F5F"/>
    <w:multiLevelType w:val="singleLevel"/>
    <w:tmpl w:val="33EC5718"/>
    <w:lvl w:ilvl="0">
      <w:start w:val="1"/>
      <w:numFmt w:val="decimal"/>
      <w:lvlText w:val="%1."/>
      <w:lvlJc w:val="left"/>
      <w:pPr>
        <w:tabs>
          <w:tab w:val="num" w:pos="360"/>
        </w:tabs>
        <w:ind w:left="360" w:hanging="360"/>
      </w:pPr>
      <w:rPr>
        <w:rFonts w:hint="default"/>
      </w:rPr>
    </w:lvl>
  </w:abstractNum>
  <w:abstractNum w:abstractNumId="7" w15:restartNumberingAfterBreak="0">
    <w:nsid w:val="5DB47FD7"/>
    <w:multiLevelType w:val="singleLevel"/>
    <w:tmpl w:val="33EC5718"/>
    <w:lvl w:ilvl="0">
      <w:start w:val="1"/>
      <w:numFmt w:val="decimal"/>
      <w:lvlText w:val="%1."/>
      <w:lvlJc w:val="left"/>
      <w:pPr>
        <w:tabs>
          <w:tab w:val="num" w:pos="360"/>
        </w:tabs>
        <w:ind w:left="360" w:hanging="360"/>
      </w:pPr>
      <w:rPr>
        <w:rFonts w:hint="default"/>
      </w:rPr>
    </w:lvl>
  </w:abstractNum>
  <w:abstractNum w:abstractNumId="8" w15:restartNumberingAfterBreak="0">
    <w:nsid w:val="713961D9"/>
    <w:multiLevelType w:val="singleLevel"/>
    <w:tmpl w:val="33EC5718"/>
    <w:lvl w:ilvl="0">
      <w:start w:val="1"/>
      <w:numFmt w:val="decimal"/>
      <w:lvlText w:val="%1."/>
      <w:lvlJc w:val="left"/>
      <w:pPr>
        <w:tabs>
          <w:tab w:val="num" w:pos="360"/>
        </w:tabs>
        <w:ind w:left="360" w:hanging="360"/>
      </w:pPr>
      <w:rPr>
        <w:rFonts w:hint="default"/>
      </w:rPr>
    </w:lvl>
  </w:abstractNum>
  <w:abstractNum w:abstractNumId="9" w15:restartNumberingAfterBreak="0">
    <w:nsid w:val="77AF4A21"/>
    <w:multiLevelType w:val="singleLevel"/>
    <w:tmpl w:val="136A33E2"/>
    <w:lvl w:ilvl="0">
      <w:start w:val="1"/>
      <w:numFmt w:val="lowerLetter"/>
      <w:lvlText w:val="%1)"/>
      <w:lvlJc w:val="left"/>
      <w:pPr>
        <w:tabs>
          <w:tab w:val="num" w:pos="360"/>
        </w:tabs>
        <w:ind w:left="0" w:firstLine="0"/>
      </w:pPr>
    </w:lvl>
  </w:abstractNum>
  <w:num w:numId="1">
    <w:abstractNumId w:val="4"/>
  </w:num>
  <w:num w:numId="2">
    <w:abstractNumId w:val="9"/>
  </w:num>
  <w:num w:numId="3">
    <w:abstractNumId w:val="6"/>
  </w:num>
  <w:num w:numId="4">
    <w:abstractNumId w:val="7"/>
  </w:num>
  <w:num w:numId="5">
    <w:abstractNumId w:val="2"/>
  </w:num>
  <w:num w:numId="6">
    <w:abstractNumId w:val="8"/>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67"/>
    <w:rsid w:val="00032E98"/>
    <w:rsid w:val="000606E1"/>
    <w:rsid w:val="00060D17"/>
    <w:rsid w:val="0007014B"/>
    <w:rsid w:val="000A1F19"/>
    <w:rsid w:val="000B3A4A"/>
    <w:rsid w:val="000D045B"/>
    <w:rsid w:val="000D1D8A"/>
    <w:rsid w:val="000E575F"/>
    <w:rsid w:val="00135989"/>
    <w:rsid w:val="00155755"/>
    <w:rsid w:val="00170BAA"/>
    <w:rsid w:val="0017758C"/>
    <w:rsid w:val="00196C22"/>
    <w:rsid w:val="001A43C7"/>
    <w:rsid w:val="001E110D"/>
    <w:rsid w:val="001E3101"/>
    <w:rsid w:val="001E567F"/>
    <w:rsid w:val="00206223"/>
    <w:rsid w:val="0023643A"/>
    <w:rsid w:val="0027452E"/>
    <w:rsid w:val="00280DC7"/>
    <w:rsid w:val="002943F5"/>
    <w:rsid w:val="002B140E"/>
    <w:rsid w:val="002B692F"/>
    <w:rsid w:val="002F3390"/>
    <w:rsid w:val="002F614E"/>
    <w:rsid w:val="002F773D"/>
    <w:rsid w:val="002F77BA"/>
    <w:rsid w:val="0031321F"/>
    <w:rsid w:val="00315100"/>
    <w:rsid w:val="00330B66"/>
    <w:rsid w:val="00335680"/>
    <w:rsid w:val="0034670C"/>
    <w:rsid w:val="00351C2B"/>
    <w:rsid w:val="003A022D"/>
    <w:rsid w:val="003B44E1"/>
    <w:rsid w:val="003C25AD"/>
    <w:rsid w:val="003D01C0"/>
    <w:rsid w:val="003E6CBC"/>
    <w:rsid w:val="00421D26"/>
    <w:rsid w:val="00463063"/>
    <w:rsid w:val="004E68FE"/>
    <w:rsid w:val="004F179C"/>
    <w:rsid w:val="004F5799"/>
    <w:rsid w:val="0051099B"/>
    <w:rsid w:val="00531E1C"/>
    <w:rsid w:val="00541F83"/>
    <w:rsid w:val="005568C9"/>
    <w:rsid w:val="00563FBF"/>
    <w:rsid w:val="00572A65"/>
    <w:rsid w:val="00583DED"/>
    <w:rsid w:val="00587473"/>
    <w:rsid w:val="005A4403"/>
    <w:rsid w:val="005E03A4"/>
    <w:rsid w:val="005E738C"/>
    <w:rsid w:val="006348BF"/>
    <w:rsid w:val="00652852"/>
    <w:rsid w:val="00685609"/>
    <w:rsid w:val="0069653B"/>
    <w:rsid w:val="006C3C46"/>
    <w:rsid w:val="006D493E"/>
    <w:rsid w:val="006E4086"/>
    <w:rsid w:val="006E5208"/>
    <w:rsid w:val="0072138A"/>
    <w:rsid w:val="007269D3"/>
    <w:rsid w:val="00727D67"/>
    <w:rsid w:val="007502B5"/>
    <w:rsid w:val="00756D40"/>
    <w:rsid w:val="0076471C"/>
    <w:rsid w:val="007717F1"/>
    <w:rsid w:val="00783490"/>
    <w:rsid w:val="00794E88"/>
    <w:rsid w:val="007A0F09"/>
    <w:rsid w:val="007A20F8"/>
    <w:rsid w:val="007B1524"/>
    <w:rsid w:val="007B4BBA"/>
    <w:rsid w:val="007E1F6B"/>
    <w:rsid w:val="008208F1"/>
    <w:rsid w:val="00822666"/>
    <w:rsid w:val="00825E4B"/>
    <w:rsid w:val="008426EC"/>
    <w:rsid w:val="0085544C"/>
    <w:rsid w:val="008A540C"/>
    <w:rsid w:val="008A7BAD"/>
    <w:rsid w:val="008F6DE9"/>
    <w:rsid w:val="009013F0"/>
    <w:rsid w:val="0091770B"/>
    <w:rsid w:val="009779FF"/>
    <w:rsid w:val="009B304B"/>
    <w:rsid w:val="009C2C42"/>
    <w:rsid w:val="00A0293B"/>
    <w:rsid w:val="00A0513A"/>
    <w:rsid w:val="00A24C33"/>
    <w:rsid w:val="00A2678A"/>
    <w:rsid w:val="00A34440"/>
    <w:rsid w:val="00A412DF"/>
    <w:rsid w:val="00A73B09"/>
    <w:rsid w:val="00A75131"/>
    <w:rsid w:val="00A865F5"/>
    <w:rsid w:val="00A91F58"/>
    <w:rsid w:val="00AA3A5E"/>
    <w:rsid w:val="00AB12D4"/>
    <w:rsid w:val="00AB1579"/>
    <w:rsid w:val="00B03D52"/>
    <w:rsid w:val="00B05796"/>
    <w:rsid w:val="00B15C45"/>
    <w:rsid w:val="00B16C76"/>
    <w:rsid w:val="00B17DD3"/>
    <w:rsid w:val="00B65A81"/>
    <w:rsid w:val="00B75EBE"/>
    <w:rsid w:val="00B8261F"/>
    <w:rsid w:val="00B92ECE"/>
    <w:rsid w:val="00BB30C7"/>
    <w:rsid w:val="00BB380C"/>
    <w:rsid w:val="00BB52A9"/>
    <w:rsid w:val="00BB690D"/>
    <w:rsid w:val="00BC0D63"/>
    <w:rsid w:val="00BC186E"/>
    <w:rsid w:val="00C14264"/>
    <w:rsid w:val="00C203C1"/>
    <w:rsid w:val="00C65A02"/>
    <w:rsid w:val="00C84029"/>
    <w:rsid w:val="00CD6DA7"/>
    <w:rsid w:val="00CF6828"/>
    <w:rsid w:val="00CF7288"/>
    <w:rsid w:val="00D34937"/>
    <w:rsid w:val="00D42724"/>
    <w:rsid w:val="00D56875"/>
    <w:rsid w:val="00D6114C"/>
    <w:rsid w:val="00D61985"/>
    <w:rsid w:val="00D76D05"/>
    <w:rsid w:val="00D96DD3"/>
    <w:rsid w:val="00DA11F4"/>
    <w:rsid w:val="00DA5CE5"/>
    <w:rsid w:val="00DC26EE"/>
    <w:rsid w:val="00DF11BE"/>
    <w:rsid w:val="00E35855"/>
    <w:rsid w:val="00E409BF"/>
    <w:rsid w:val="00E51C53"/>
    <w:rsid w:val="00E629F7"/>
    <w:rsid w:val="00EA384A"/>
    <w:rsid w:val="00EB7505"/>
    <w:rsid w:val="00EF7209"/>
    <w:rsid w:val="00F30100"/>
    <w:rsid w:val="00F31E44"/>
    <w:rsid w:val="00F3275E"/>
    <w:rsid w:val="00F66A8A"/>
    <w:rsid w:val="00F76765"/>
    <w:rsid w:val="00F812F2"/>
    <w:rsid w:val="00FB7E5C"/>
    <w:rsid w:val="00FE2531"/>
    <w:rsid w:val="00FE7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9EEDB1"/>
  <w15:docId w15:val="{78A960AB-7916-4339-B094-49FDC6CF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6223"/>
    <w:pPr>
      <w:jc w:val="both"/>
    </w:pPr>
    <w:rPr>
      <w:sz w:val="24"/>
    </w:rPr>
  </w:style>
  <w:style w:type="paragraph" w:styleId="Antrat1">
    <w:name w:val="heading 1"/>
    <w:basedOn w:val="prastasis"/>
    <w:qFormat/>
    <w:pPr>
      <w:spacing w:before="100" w:beforeAutospacing="1" w:after="100" w:afterAutospacing="1"/>
      <w:jc w:val="center"/>
      <w:outlineLvl w:val="0"/>
    </w:pPr>
    <w:rPr>
      <w:b/>
      <w:bCs/>
      <w:kern w:val="36"/>
      <w:sz w:val="16"/>
      <w:szCs w:val="16"/>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3">
    <w:name w:val="Body Text 3"/>
    <w:basedOn w:val="prastasis"/>
    <w:pPr>
      <w:jc w:val="center"/>
    </w:pPr>
    <w:rPr>
      <w:b/>
    </w:rPr>
  </w:style>
  <w:style w:type="character" w:customStyle="1" w:styleId="Datametai">
    <w:name w:val="Data_metai"/>
    <w:basedOn w:val="Numatytasispastraiposriftas"/>
  </w:style>
  <w:style w:type="character" w:customStyle="1" w:styleId="Datamnuo">
    <w:name w:val="Data_mënuo"/>
    <w:rPr>
      <w:rFonts w:ascii="HelveticaLT" w:hAnsi="HelveticaLT"/>
      <w:sz w:val="24"/>
    </w:rPr>
  </w:style>
  <w:style w:type="character" w:customStyle="1" w:styleId="Datadiena">
    <w:name w:val="Data_diena"/>
    <w:basedOn w:val="Numatytasispastraiposriftas"/>
  </w:style>
  <w:style w:type="character" w:customStyle="1" w:styleId="statymoNr">
    <w:name w:val="Įstatymo Nr."/>
    <w:rPr>
      <w:rFonts w:ascii="HelveticaLT" w:hAnsi="HelveticaLT"/>
    </w:rPr>
  </w:style>
  <w:style w:type="paragraph" w:styleId="Pagrindinistekstas">
    <w:name w:val="Body Text"/>
    <w:basedOn w:val="prastasis"/>
    <w:pPr>
      <w:spacing w:after="120"/>
    </w:pPr>
  </w:style>
  <w:style w:type="paragraph" w:styleId="Pagrindiniotekstotrauka">
    <w:name w:val="Body Text Indent"/>
    <w:basedOn w:val="prastasis"/>
    <w:pPr>
      <w:spacing w:after="120"/>
      <w:ind w:left="283"/>
    </w:pPr>
  </w:style>
  <w:style w:type="paragraph" w:customStyle="1" w:styleId="tekstas">
    <w:name w:val="tekstas"/>
    <w:basedOn w:val="prastasis"/>
    <w:pPr>
      <w:spacing w:before="100" w:beforeAutospacing="1" w:after="100" w:afterAutospacing="1"/>
    </w:pPr>
  </w:style>
  <w:style w:type="character" w:styleId="Puslapioinaosnuoroda">
    <w:name w:val="footnote reference"/>
    <w:basedOn w:val="Numatytasispastraiposriftas"/>
    <w:semiHidden/>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CentrBold">
    <w:name w:val="CentrBold"/>
    <w:pPr>
      <w:jc w:val="center"/>
    </w:pPr>
    <w:rPr>
      <w:rFonts w:ascii="TimesLT" w:hAnsi="TimesLT"/>
      <w:b/>
      <w:caps/>
      <w:snapToGrid w:val="0"/>
      <w:lang w:val="en-US" w:eastAsia="en-US"/>
    </w:rPr>
  </w:style>
  <w:style w:type="paragraph" w:styleId="Pagrindiniotekstotrauka3">
    <w:name w:val="Body Text Indent 3"/>
    <w:basedOn w:val="prastasis"/>
    <w:pPr>
      <w:spacing w:after="120"/>
      <w:ind w:left="283"/>
    </w:pPr>
    <w:rPr>
      <w:sz w:val="16"/>
      <w:szCs w:val="16"/>
    </w:rPr>
  </w:style>
  <w:style w:type="paragraph" w:styleId="Pagrindiniotekstotrauka2">
    <w:name w:val="Body Text Indent 2"/>
    <w:basedOn w:val="prastasis"/>
    <w:pPr>
      <w:spacing w:after="120" w:line="480" w:lineRule="auto"/>
      <w:ind w:left="283"/>
    </w:pPr>
  </w:style>
  <w:style w:type="character" w:customStyle="1" w:styleId="HTMLTypewriter1">
    <w:name w:val="HTML Typewriter1"/>
    <w:rPr>
      <w:rFonts w:ascii="Courier New" w:eastAsia="Times New Roman" w:hAnsi="Courier New" w:cs="Tahoma"/>
      <w:sz w:val="20"/>
      <w:szCs w:val="20"/>
    </w:rPr>
  </w:style>
  <w:style w:type="paragraph" w:styleId="Tekstoblokas">
    <w:name w:val="Block Text"/>
    <w:basedOn w:val="prastasis"/>
    <w:pPr>
      <w:spacing w:before="100" w:beforeAutospacing="1" w:after="100" w:afterAutospacing="1"/>
    </w:pPr>
  </w:style>
  <w:style w:type="paragraph" w:customStyle="1" w:styleId="bodytext">
    <w:name w:val="bodytext"/>
    <w:basedOn w:val="prastasis"/>
    <w:pPr>
      <w:spacing w:before="100" w:beforeAutospacing="1" w:after="100" w:afterAutospacing="1"/>
    </w:pPr>
  </w:style>
  <w:style w:type="paragraph" w:customStyle="1" w:styleId="BalloonText1">
    <w:name w:val="Balloon Text1"/>
    <w:basedOn w:val="prastasis"/>
    <w:semiHidden/>
    <w:rPr>
      <w:rFonts w:ascii="Tahoma" w:hAnsi="Tahoma" w:cs="HelveticaLT"/>
      <w:sz w:val="16"/>
      <w:szCs w:val="16"/>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customStyle="1" w:styleId="mazas">
    <w:name w:val="mazas"/>
    <w:basedOn w:val="prastasis"/>
    <w:pPr>
      <w:spacing w:before="100" w:beforeAutospacing="1" w:after="100" w:afterAutospacing="1"/>
    </w:pPr>
    <w:rPr>
      <w:rFonts w:ascii="Arial Unicode MS" w:eastAsia="Arial Unicode MS" w:hAnsi="Arial Unicode MS" w:cs="TimesLT"/>
    </w:rPr>
  </w:style>
  <w:style w:type="paragraph" w:styleId="Pagrindinistekstas2">
    <w:name w:val="Body Text 2"/>
    <w:basedOn w:val="prastasis"/>
    <w:rPr>
      <w:sz w:val="22"/>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rPr>
  </w:style>
  <w:style w:type="paragraph" w:customStyle="1" w:styleId="BalloonText2">
    <w:name w:val="Balloon Text2"/>
    <w:basedOn w:val="prastasis"/>
    <w:semiHidden/>
    <w:rPr>
      <w:rFonts w:ascii="Tahoma" w:hAnsi="Tahoma" w:cs="HelveticaLT"/>
      <w:sz w:val="16"/>
      <w:szCs w:val="16"/>
    </w:rPr>
  </w:style>
  <w:style w:type="paragraph" w:styleId="Puslapioinaostekstas">
    <w:name w:val="footnote text"/>
    <w:basedOn w:val="prastasis"/>
    <w:semiHidden/>
    <w:rPr>
      <w:sz w:val="20"/>
      <w:lang w:eastAsia="en-US"/>
    </w:rPr>
  </w:style>
  <w:style w:type="character" w:styleId="Emfaz">
    <w:name w:val="Emphasis"/>
    <w:qFormat/>
    <w:rPr>
      <w:i/>
    </w:rPr>
  </w:style>
  <w:style w:type="paragraph" w:styleId="Debesliotekstas">
    <w:name w:val="Balloon Text"/>
    <w:basedOn w:val="prastasis"/>
    <w:link w:val="DebesliotekstasDiagrama"/>
    <w:uiPriority w:val="99"/>
    <w:semiHidden/>
    <w:rPr>
      <w:rFonts w:ascii="Tahoma" w:hAnsi="Tahoma" w:cs="Tahoma"/>
      <w:sz w:val="16"/>
      <w:szCs w:val="16"/>
    </w:rPr>
  </w:style>
  <w:style w:type="character" w:styleId="Hipersaitas">
    <w:name w:val="Hyperlink"/>
    <w:rPr>
      <w:color w:val="000000"/>
      <w:u w:val="single"/>
    </w:rPr>
  </w:style>
  <w:style w:type="character" w:styleId="Perirtashipersaitas">
    <w:name w:val="FollowedHyperlink"/>
    <w:rPr>
      <w:color w:val="800080"/>
      <w:u w:val="single"/>
    </w:rPr>
  </w:style>
  <w:style w:type="paragraph" w:styleId="prastasiniatinklio">
    <w:name w:val="Normal (Web)"/>
    <w:basedOn w:val="prastasis"/>
    <w:rsid w:val="00BB380C"/>
    <w:pPr>
      <w:spacing w:before="150" w:after="150"/>
      <w:ind w:left="675" w:right="525"/>
      <w:jc w:val="left"/>
    </w:pPr>
    <w:rPr>
      <w:sz w:val="19"/>
      <w:szCs w:val="19"/>
    </w:rPr>
  </w:style>
  <w:style w:type="paragraph" w:customStyle="1" w:styleId="Default">
    <w:name w:val="Default"/>
    <w:rsid w:val="006C3C4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6C3C46"/>
    <w:rPr>
      <w:rFonts w:cs="Times New Roman"/>
      <w:color w:val="auto"/>
    </w:rPr>
  </w:style>
  <w:style w:type="paragraph" w:customStyle="1" w:styleId="CM3">
    <w:name w:val="CM3"/>
    <w:basedOn w:val="Default"/>
    <w:next w:val="Default"/>
    <w:uiPriority w:val="99"/>
    <w:rsid w:val="006C3C46"/>
    <w:rPr>
      <w:rFonts w:cs="Times New Roman"/>
      <w:color w:val="auto"/>
    </w:rPr>
  </w:style>
  <w:style w:type="character" w:styleId="Komentaronuoroda">
    <w:name w:val="annotation reference"/>
    <w:rsid w:val="008A540C"/>
    <w:rPr>
      <w:sz w:val="16"/>
      <w:szCs w:val="16"/>
    </w:rPr>
  </w:style>
  <w:style w:type="paragraph" w:styleId="Komentarotekstas">
    <w:name w:val="annotation text"/>
    <w:basedOn w:val="prastasis"/>
    <w:link w:val="KomentarotekstasDiagrama"/>
    <w:rsid w:val="008A540C"/>
    <w:rPr>
      <w:sz w:val="20"/>
    </w:rPr>
  </w:style>
  <w:style w:type="character" w:customStyle="1" w:styleId="KomentarotekstasDiagrama">
    <w:name w:val="Komentaro tekstas Diagrama"/>
    <w:basedOn w:val="Numatytasispastraiposriftas"/>
    <w:link w:val="Komentarotekstas"/>
    <w:rsid w:val="008A540C"/>
  </w:style>
  <w:style w:type="paragraph" w:styleId="Komentarotema">
    <w:name w:val="annotation subject"/>
    <w:basedOn w:val="Komentarotekstas"/>
    <w:next w:val="Komentarotekstas"/>
    <w:link w:val="KomentarotemaDiagrama"/>
    <w:rsid w:val="008A540C"/>
    <w:rPr>
      <w:b/>
      <w:bCs/>
      <w:lang w:val="x-none" w:eastAsia="x-none"/>
    </w:rPr>
  </w:style>
  <w:style w:type="character" w:customStyle="1" w:styleId="KomentarotemaDiagrama">
    <w:name w:val="Komentaro tema Diagrama"/>
    <w:link w:val="Komentarotema"/>
    <w:rsid w:val="008A540C"/>
    <w:rPr>
      <w:b/>
      <w:bCs/>
    </w:rPr>
  </w:style>
  <w:style w:type="character" w:customStyle="1" w:styleId="DebesliotekstasDiagrama">
    <w:name w:val="Debesėlio tekstas Diagrama"/>
    <w:basedOn w:val="Numatytasispastraiposriftas"/>
    <w:link w:val="Debesliotekstas"/>
    <w:uiPriority w:val="99"/>
    <w:semiHidden/>
    <w:locked/>
    <w:rsid w:val="00135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022673">
      <w:bodyDiv w:val="1"/>
      <w:marLeft w:val="0"/>
      <w:marRight w:val="0"/>
      <w:marTop w:val="0"/>
      <w:marBottom w:val="0"/>
      <w:divBdr>
        <w:top w:val="none" w:sz="0" w:space="0" w:color="auto"/>
        <w:left w:val="none" w:sz="0" w:space="0" w:color="auto"/>
        <w:bottom w:val="none" w:sz="0" w:space="0" w:color="auto"/>
        <w:right w:val="none" w:sz="0" w:space="0" w:color="auto"/>
      </w:divBdr>
      <w:divsChild>
        <w:div w:id="2104952987">
          <w:marLeft w:val="0"/>
          <w:marRight w:val="0"/>
          <w:marTop w:val="0"/>
          <w:marBottom w:val="0"/>
          <w:divBdr>
            <w:top w:val="none" w:sz="0" w:space="0" w:color="auto"/>
            <w:left w:val="none" w:sz="0" w:space="0" w:color="auto"/>
            <w:bottom w:val="none" w:sz="0" w:space="0" w:color="auto"/>
            <w:right w:val="none" w:sz="0" w:space="0" w:color="auto"/>
          </w:divBdr>
          <w:divsChild>
            <w:div w:id="209731975">
              <w:marLeft w:val="0"/>
              <w:marRight w:val="0"/>
              <w:marTop w:val="0"/>
              <w:marBottom w:val="0"/>
              <w:divBdr>
                <w:top w:val="none" w:sz="0" w:space="0" w:color="auto"/>
                <w:left w:val="none" w:sz="0" w:space="0" w:color="auto"/>
                <w:bottom w:val="none" w:sz="0" w:space="0" w:color="auto"/>
                <w:right w:val="none" w:sz="0" w:space="0" w:color="auto"/>
              </w:divBdr>
            </w:div>
            <w:div w:id="1723478646">
              <w:marLeft w:val="0"/>
              <w:marRight w:val="0"/>
              <w:marTop w:val="0"/>
              <w:marBottom w:val="0"/>
              <w:divBdr>
                <w:top w:val="none" w:sz="0" w:space="0" w:color="auto"/>
                <w:left w:val="none" w:sz="0" w:space="0" w:color="auto"/>
                <w:bottom w:val="none" w:sz="0" w:space="0" w:color="auto"/>
                <w:right w:val="none" w:sz="0" w:space="0" w:color="auto"/>
              </w:divBdr>
            </w:div>
            <w:div w:id="26831338">
              <w:marLeft w:val="0"/>
              <w:marRight w:val="0"/>
              <w:marTop w:val="0"/>
              <w:marBottom w:val="0"/>
              <w:divBdr>
                <w:top w:val="none" w:sz="0" w:space="0" w:color="auto"/>
                <w:left w:val="none" w:sz="0" w:space="0" w:color="auto"/>
                <w:bottom w:val="none" w:sz="0" w:space="0" w:color="auto"/>
                <w:right w:val="none" w:sz="0" w:space="0" w:color="auto"/>
              </w:divBdr>
            </w:div>
            <w:div w:id="1269583154">
              <w:marLeft w:val="0"/>
              <w:marRight w:val="0"/>
              <w:marTop w:val="0"/>
              <w:marBottom w:val="0"/>
              <w:divBdr>
                <w:top w:val="none" w:sz="0" w:space="0" w:color="auto"/>
                <w:left w:val="none" w:sz="0" w:space="0" w:color="auto"/>
                <w:bottom w:val="none" w:sz="0" w:space="0" w:color="auto"/>
                <w:right w:val="none" w:sz="0" w:space="0" w:color="auto"/>
              </w:divBdr>
            </w:div>
            <w:div w:id="576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1629">
      <w:bodyDiv w:val="1"/>
      <w:marLeft w:val="0"/>
      <w:marRight w:val="0"/>
      <w:marTop w:val="0"/>
      <w:marBottom w:val="0"/>
      <w:divBdr>
        <w:top w:val="none" w:sz="0" w:space="0" w:color="auto"/>
        <w:left w:val="none" w:sz="0" w:space="0" w:color="auto"/>
        <w:bottom w:val="none" w:sz="0" w:space="0" w:color="auto"/>
        <w:right w:val="none" w:sz="0" w:space="0" w:color="auto"/>
      </w:divBdr>
      <w:divsChild>
        <w:div w:id="1440492469">
          <w:marLeft w:val="3"/>
          <w:marRight w:val="3"/>
          <w:marTop w:val="0"/>
          <w:marBottom w:val="0"/>
          <w:divBdr>
            <w:top w:val="single" w:sz="6" w:space="0" w:color="112449"/>
            <w:left w:val="single" w:sz="6" w:space="0" w:color="112449"/>
            <w:bottom w:val="single" w:sz="6" w:space="0" w:color="112449"/>
            <w:right w:val="single" w:sz="6" w:space="0" w:color="112449"/>
          </w:divBdr>
          <w:divsChild>
            <w:div w:id="124368092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A4EE-210E-4D64-80DD-7A366F17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2321</Words>
  <Characters>1323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pozicijos Europos Sąjungos institucijose nagrinėjamais klausimais rengimo, derinimo, pristatymo ir Europo</vt:lpstr>
      <vt:lpstr>Lietuvos Respublikos pozicijos Europos Sąjungos institucijose nagrinėjamais klausimais rengimo, derinimo, pristatymo ir Europo</vt:lpstr>
    </vt:vector>
  </TitlesOfParts>
  <Company>NVTAT</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2021-05-10T12:17:00Z</dcterms:created>
  <dc:creator>Girma</dc:creator>
  <cp:lastModifiedBy>Evaldas Bacevičius</cp:lastModifiedBy>
  <cp:lastPrinted>2005-11-23T07:04:00Z</cp:lastPrinted>
  <dcterms:modified xsi:type="dcterms:W3CDTF">2021-05-10T12:17:00Z</dcterms:modified>
  <cp:revision>2</cp:revision>
  <dc:title>Lietuvos Respublikos pozicijos Europos Sąjungos institucijose nagrinėjamais klausimais rengimo, derinimo, pristatymo ir Europo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